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833755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-228600</wp:posOffset>
            </wp:positionV>
            <wp:extent cx="19094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9445" cy="8255"/>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95885</wp:posOffset>
            </wp:positionV>
            <wp:extent cx="19094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40" w:right="1740" w:hanging="3632"/>
        <w:spacing w:after="0" w:line="266" w:lineRule="auto"/>
        <w:tabs>
          <w:tab w:leader="none" w:pos="3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6" w:lineRule="exact"/>
        <w:rPr>
          <w:sz w:val="24"/>
          <w:szCs w:val="24"/>
          <w:color w:val="auto"/>
        </w:rPr>
      </w:pPr>
    </w:p>
    <w:p>
      <w:pPr>
        <w:ind w:left="3300" w:right="1720" w:hanging="3292"/>
        <w:spacing w:after="0" w:line="336" w:lineRule="auto"/>
        <w:tabs>
          <w:tab w:leader="none" w:pos="35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2616835</wp:posOffset>
            </wp:positionH>
            <wp:positionV relativeFrom="paragraph">
              <wp:posOffset>79375</wp:posOffset>
            </wp:positionV>
            <wp:extent cx="1909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6" w:lineRule="exact"/>
        <w:rPr>
          <w:sz w:val="24"/>
          <w:szCs w:val="24"/>
          <w:color w:val="auto"/>
        </w:rPr>
      </w:pPr>
    </w:p>
    <w:tbl>
      <w:tblPr>
        <w:tblLayout w:type="fixed"/>
        <w:tblInd w:w="1420" w:type="dxa"/>
        <w:tblCellMar>
          <w:top w:w="0" w:type="dxa"/>
          <w:left w:w="0" w:type="dxa"/>
          <w:bottom w:w="0" w:type="dxa"/>
          <w:right w:w="0" w:type="dxa"/>
        </w:tblCellMar>
      </w:tblPr>
      <w:tr>
        <w:trPr>
          <w:trHeight w:val="230"/>
        </w:trPr>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0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81-3563824</w:t>
            </w:r>
          </w:p>
        </w:tc>
      </w:tr>
      <w:tr>
        <w:trPr>
          <w:trHeight w:val="226"/>
        </w:trPr>
        <w:tc>
          <w:tcPr>
            <w:tcW w:w="6240" w:type="dxa"/>
            <w:vAlign w:val="bottom"/>
            <w:gridSpan w:val="3"/>
          </w:tcPr>
          <w:p>
            <w:pPr>
              <w:jc w:val="center"/>
              <w:ind w:right="34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or other jurisdiction of</w:t>
            </w: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9"/>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i w:val="1"/>
                <w:iCs w:val="1"/>
                <w:color w:val="auto"/>
                <w:w w:val="99"/>
              </w:rPr>
              <w:t>incorporation or organization</w:t>
            </w:r>
            <w:r>
              <w:rPr>
                <w:rFonts w:ascii="Times New Roman" w:cs="Times New Roman" w:eastAsia="Times New Roman" w:hAnsi="Times New Roman"/>
                <w:sz w:val="17"/>
                <w:szCs w:val="17"/>
                <w:color w:val="auto"/>
                <w:w w:val="99"/>
              </w:rPr>
              <w:t>)</w:t>
            </w: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458"/>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1150 North Alma School Road</w:t>
            </w:r>
          </w:p>
        </w:tc>
        <w:tc>
          <w:tcPr>
            <w:tcW w:w="144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85201</w:t>
            </w:r>
          </w:p>
        </w:tc>
      </w:tr>
      <w:tr>
        <w:trPr>
          <w:trHeight w:val="229"/>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Mesa, Arizona</w:t>
            </w:r>
          </w:p>
        </w:tc>
        <w:tc>
          <w:tcPr>
            <w:tcW w:w="144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29"/>
        </w:trPr>
        <w:tc>
          <w:tcPr>
            <w:tcW w:w="624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Address of Principal Executive Offices</w:t>
            </w:r>
            <w:r>
              <w:rPr>
                <w:rFonts w:ascii="Times New Roman" w:cs="Times New Roman" w:eastAsia="Times New Roman" w:hAnsi="Times New Roman"/>
                <w:sz w:val="17"/>
                <w:szCs w:val="17"/>
                <w:color w:val="auto"/>
                <w:w w:val="99"/>
              </w:rPr>
              <w:t>)</w:t>
            </w:r>
          </w:p>
        </w:tc>
        <w:tc>
          <w:tcPr>
            <w:tcW w:w="1440" w:type="dxa"/>
            <w:vAlign w:val="bottom"/>
          </w:tcPr>
          <w:p>
            <w:pPr>
              <w:spacing w:after="0"/>
              <w:rPr>
                <w:sz w:val="19"/>
                <w:szCs w:val="19"/>
                <w:color w:val="auto"/>
              </w:rPr>
            </w:pPr>
          </w:p>
        </w:tc>
      </w:tr>
      <w:tr>
        <w:trPr>
          <w:trHeight w:val="259"/>
        </w:trPr>
        <w:tc>
          <w:tcPr>
            <w:tcW w:w="570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5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6"/>
        </w:trPr>
        <w:tc>
          <w:tcPr>
            <w:tcW w:w="6240" w:type="dxa"/>
            <w:vAlign w:val="bottom"/>
            <w:gridSpan w:val="3"/>
          </w:tcPr>
          <w:p>
            <w:pPr>
              <w:jc w:val="center"/>
              <w:ind w:left="2095"/>
              <w:spacing w:after="0"/>
              <w:rPr>
                <w:sz w:val="20"/>
                <w:szCs w:val="20"/>
                <w:color w:val="auto"/>
              </w:rPr>
            </w:pPr>
            <w:r>
              <w:rPr>
                <w:rFonts w:ascii="Times New Roman" w:cs="Times New Roman" w:eastAsia="Times New Roman" w:hAnsi="Times New Roman"/>
                <w:sz w:val="17"/>
                <w:szCs w:val="17"/>
                <w:color w:val="auto"/>
                <w:w w:val="98"/>
              </w:rPr>
              <w:t>(</w:t>
            </w:r>
            <w:r>
              <w:rPr>
                <w:rFonts w:ascii="Times New Roman" w:cs="Times New Roman" w:eastAsia="Times New Roman" w:hAnsi="Times New Roman"/>
                <w:sz w:val="17"/>
                <w:szCs w:val="17"/>
                <w:i w:val="1"/>
                <w:iCs w:val="1"/>
                <w:color w:val="auto"/>
                <w:w w:val="98"/>
              </w:rPr>
              <w:t>Registrant’s Telephone Number, Including Area Code</w:t>
            </w:r>
            <w:r>
              <w:rPr>
                <w:rFonts w:ascii="Times New Roman" w:cs="Times New Roman" w:eastAsia="Times New Roman" w:hAnsi="Times New Roman"/>
                <w:sz w:val="17"/>
                <w:szCs w:val="17"/>
                <w:color w:val="auto"/>
                <w:w w:val="98"/>
              </w:rPr>
              <w:t>)</w:t>
            </w:r>
          </w:p>
        </w:tc>
        <w:tc>
          <w:tcPr>
            <w:tcW w:w="1440" w:type="dxa"/>
            <w:vAlign w:val="bottom"/>
          </w:tcPr>
          <w:p>
            <w:pPr>
              <w:spacing w:after="0"/>
              <w:rPr>
                <w:sz w:val="19"/>
                <w:szCs w:val="19"/>
                <w:color w:val="auto"/>
              </w:rPr>
            </w:pPr>
          </w:p>
        </w:tc>
      </w:tr>
    </w:tbl>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346" w:right="339" w:bottom="1440" w:gutter="0" w:footer="0" w:header="0"/>
        </w:sectPr>
      </w:pPr>
    </w:p>
    <w:p>
      <w:pPr>
        <w:spacing w:after="0" w:line="9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(Trading Symbol)</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4540" w:space="720"/>
            <w:col w:w="1500" w:space="720"/>
            <w:col w:w="3760"/>
          </w:cols>
          <w:pgMar w:left="320" w:top="1346"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VRRM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Capital Market</w:t>
      </w:r>
    </w:p>
    <w:p>
      <w:pPr>
        <w:spacing w:after="0" w:line="146" w:lineRule="exact"/>
        <w:rPr>
          <w:sz w:val="24"/>
          <w:szCs w:val="24"/>
          <w:color w:val="auto"/>
        </w:rPr>
      </w:pPr>
    </w:p>
    <w:p>
      <w:pPr>
        <w:sectPr>
          <w:pgSz w:w="11900" w:h="16838" w:orient="portrait"/>
          <w:cols w:equalWidth="0" w:num="3">
            <w:col w:w="4860" w:space="720"/>
            <w:col w:w="1940" w:space="720"/>
            <w:col w:w="3000"/>
          </w:cols>
          <w:pgMar w:left="320" w:top="1346" w:right="339" w:bottom="1440" w:gutter="0" w:footer="0" w:header="0"/>
          <w:type w:val="continuous"/>
        </w:sect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2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40" w:type="dxa"/>
            <w:vAlign w:val="bottom"/>
          </w:tcPr>
          <w:p>
            <w:pPr>
              <w:ind w:left="2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0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October 25, 2024, there were 164,804,157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80" w:type="dxa"/>
            <w:vAlign w:val="bottom"/>
            <w:gridSpan w:val="9"/>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70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0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10"/>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2024</w:t>
            </w:r>
          </w:p>
        </w:tc>
        <w:tc>
          <w:tcPr>
            <w:tcW w:w="17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0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31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6360" w:type="dxa"/>
            <w:vAlign w:val="bottom"/>
            <w:gridSpan w:val="11"/>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900" w:type="dxa"/>
            <w:vAlign w:val="bottom"/>
            <w:gridSpan w:val="3"/>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240" w:type="dxa"/>
            <w:vAlign w:val="bottom"/>
            <w:gridSpan w:val="4"/>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9"/>
                <w:szCs w:val="19"/>
                <w:color w:val="auto"/>
              </w:rPr>
            </w:pPr>
          </w:p>
        </w:tc>
        <w:tc>
          <w:tcPr>
            <w:tcW w:w="4340" w:type="dxa"/>
            <w:vAlign w:val="bottom"/>
            <w:gridSpan w:val="6"/>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9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080" w:type="dxa"/>
            <w:vAlign w:val="bottom"/>
            <w:tcBorders>
              <w:top w:val="single" w:sz="8" w:color="0000FF"/>
            </w:tcBorders>
            <w:gridSpan w:val="3"/>
          </w:tcPr>
          <w:p>
            <w:pPr>
              <w:spacing w:after="0"/>
              <w:rPr>
                <w:sz w:val="19"/>
                <w:szCs w:val="19"/>
                <w:color w:val="auto"/>
              </w:rPr>
            </w:pPr>
          </w:p>
        </w:tc>
        <w:tc>
          <w:tcPr>
            <w:tcW w:w="2200" w:type="dxa"/>
            <w:vAlign w:val="bottom"/>
            <w:gridSpan w:val="2"/>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20" w:type="dxa"/>
            <w:vAlign w:val="bottom"/>
            <w:gridSpan w:val="9"/>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6660" w:type="dxa"/>
            <w:vAlign w:val="bottom"/>
            <w:gridSpan w:val="12"/>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300" w:type="dxa"/>
            <w:vAlign w:val="bottom"/>
            <w:gridSpan w:val="15"/>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0" w:type="dxa"/>
            <w:vAlign w:val="bottom"/>
            <w:tcBorders>
              <w:bottom w:val="single" w:sz="8" w:color="0000EE"/>
            </w:tcBorders>
          </w:tcPr>
          <w:p>
            <w:pPr>
              <w:spacing w:after="0"/>
              <w:rPr>
                <w:sz w:val="19"/>
                <w:szCs w:val="19"/>
                <w:color w:val="auto"/>
              </w:rPr>
            </w:pPr>
          </w:p>
        </w:tc>
        <w:tc>
          <w:tcPr>
            <w:tcW w:w="7580" w:type="dxa"/>
            <w:vAlign w:val="bottom"/>
            <w:gridSpan w:val="17"/>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4820" w:type="dxa"/>
            <w:vAlign w:val="bottom"/>
            <w:tcBorders>
              <w:top w:val="single" w:sz="8" w:color="0000FF"/>
            </w:tcBorders>
            <w:gridSpan w:val="9"/>
          </w:tcPr>
          <w:p>
            <w:pPr>
              <w:spacing w:after="0"/>
              <w:rPr>
                <w:sz w:val="19"/>
                <w:szCs w:val="19"/>
                <w:color w:val="auto"/>
              </w:rPr>
            </w:pPr>
          </w:p>
        </w:tc>
        <w:tc>
          <w:tcPr>
            <w:tcW w:w="1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60" w:type="dxa"/>
            <w:vAlign w:val="bottom"/>
            <w:tcBorders>
              <w:top w:val="single" w:sz="8" w:color="0000FF"/>
            </w:tcBorders>
            <w:gridSpan w:val="3"/>
          </w:tcPr>
          <w:p>
            <w:pPr>
              <w:spacing w:after="0"/>
              <w:rPr>
                <w:sz w:val="19"/>
                <w:szCs w:val="19"/>
                <w:color w:val="auto"/>
              </w:rPr>
            </w:pPr>
          </w:p>
        </w:tc>
        <w:tc>
          <w:tcPr>
            <w:tcW w:w="6860" w:type="dxa"/>
            <w:vAlign w:val="bottom"/>
            <w:gridSpan w:val="13"/>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8040" w:type="dxa"/>
            <w:vAlign w:val="bottom"/>
            <w:gridSpan w:val="19"/>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Pr>
          <w:p>
            <w:pPr>
              <w:spacing w:after="0"/>
              <w:rPr>
                <w:sz w:val="19"/>
                <w:szCs w:val="19"/>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360" w:type="dxa"/>
            <w:vAlign w:val="bottom"/>
            <w:gridSpan w:val="20"/>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81"/>
        </w:trPr>
        <w:tc>
          <w:tcPr>
            <w:tcW w:w="6640" w:type="dxa"/>
            <w:vAlign w:val="bottom"/>
            <w:gridSpan w:val="21"/>
          </w:tcPr>
          <w:p>
            <w:pPr>
              <w:jc w:val="center"/>
              <w:ind w:left="4510"/>
              <w:spacing w:after="0"/>
              <w:rPr>
                <w:sz w:val="20"/>
                <w:szCs w:val="20"/>
                <w:color w:val="auto"/>
              </w:rPr>
            </w:pPr>
            <w:r>
              <w:rPr>
                <w:rFonts w:ascii="Times New Roman" w:cs="Times New Roman" w:eastAsia="Times New Roman" w:hAnsi="Times New Roman"/>
                <w:sz w:val="18"/>
                <w:szCs w:val="18"/>
                <w:color w:val="auto"/>
                <w:w w:val="88"/>
              </w:rPr>
              <w:t>2</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contains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All statements contained in this Report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p>
    <w:p>
      <w:pPr>
        <w:spacing w:after="0" w:line="7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2023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as updated by the Company’s subsequent filings with the SEC, which highlight, among other risks:</w:t>
      </w:r>
    </w:p>
    <w:p>
      <w:pPr>
        <w:spacing w:after="0" w:line="74" w:lineRule="exact"/>
        <w:rPr>
          <w:sz w:val="20"/>
          <w:szCs w:val="20"/>
          <w:color w:val="auto"/>
        </w:rPr>
      </w:pPr>
    </w:p>
    <w:p>
      <w:pPr>
        <w:jc w:val="both"/>
        <w:ind w:left="1020" w:hanging="504"/>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 including risks impacting these segments such as travel demand and legislation, and risks relating to our contract with NYCDOT (defined below), which comprises a material portion of our revenue, expires on December 31, 2024 and is subject to competitive procurement, and for which there can be no assurance that we will be successful in securing an extension of the contract or winning the competitive procurement. If our contract with NYCDOT is not extended or we are not successful in winning the competitive procurement for a new contract with NYCDOT, it would have a material adverse effect on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internal controls over financial reporting on a timely basis and ability to establish and maintain effective internal controls over financial reporting;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 or other incidents;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w:t>
      </w:r>
    </w:p>
    <w:p>
      <w:pPr>
        <w:spacing w:after="0" w:line="22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spacing w:after="0" w:line="18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spacing w:after="0" w:line="18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Report refer to Verra Mobility Corporation, a Delaware corporation, and its subsidiaries taken as a whole.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0"/>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43"/>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206,088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136,309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0"/>
                <w:szCs w:val="20"/>
                <w:color w:val="auto"/>
              </w:rPr>
            </w:pPr>
          </w:p>
        </w:tc>
      </w:tr>
      <w:tr>
        <w:trPr>
          <w:trHeight w:val="215"/>
        </w:trPr>
        <w:tc>
          <w:tcPr>
            <w:tcW w:w="2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$19.6 million and</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$18.5 million at September 30, 2024 and December 31, 2023, respectively)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194,587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197,824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51,407</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529,015</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439,538</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136,815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251,327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301,025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838,151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835,835</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34,429</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1,850,581</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100,225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93,119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756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202,493</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214,773</w:t>
            </w:r>
          </w:p>
        </w:tc>
        <w:tc>
          <w:tcPr>
            <w:tcW w:w="100" w:type="dxa"/>
            <w:vAlign w:val="bottom"/>
            <w:tcBorders>
              <w:top w:val="single" w:sz="8" w:color="CFF0FC"/>
            </w:tcBorders>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1,037,174</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26,873</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1,364,035</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1,368,516</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24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 260,000 shares authorized with 164,804</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166,555 shares issued and outstanding at September 30, 2024 and December 31, 2023,</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564,491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557,513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(71,149 )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(125,887 )</w:t>
            </w:r>
          </w:p>
        </w:tc>
      </w:tr>
      <w:tr>
        <w:trPr>
          <w:trHeight w:val="238"/>
        </w:trPr>
        <w:tc>
          <w:tcPr>
            <w:tcW w:w="20" w:type="dxa"/>
            <w:vAlign w:val="bottom"/>
          </w:tcPr>
          <w:p>
            <w:pPr>
              <w:spacing w:after="0"/>
              <w:rPr>
                <w:sz w:val="20"/>
                <w:szCs w:val="20"/>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(6,812 )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(10,176 )</w:t>
            </w: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7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486,546</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1,850,581</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-4357370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-4357370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-3090545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-3090545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2"/>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9"/>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217,267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201,029</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632,005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581,777</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8,284</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8,904</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25,702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24,520</w:t>
            </w:r>
          </w:p>
        </w:tc>
        <w:tc>
          <w:tcPr>
            <w:tcW w:w="100" w:type="dxa"/>
            <w:vAlign w:val="bottom"/>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225,551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209,933</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657,707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606,297</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 amortization</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13,718</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5,621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18,755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18,209</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221,569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196,373</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47,918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42,276</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142,432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125,494</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Borders>
              <w:bottom w:val="single" w:sz="8" w:color="CFF0FC"/>
            </w:tcBorders>
          </w:tcPr>
          <w:p>
            <w:pPr>
              <w:spacing w:after="0"/>
              <w:rPr>
                <w:sz w:val="19"/>
                <w:szCs w:val="19"/>
                <w:color w:val="auto"/>
              </w:rPr>
            </w:pPr>
          </w:p>
        </w:tc>
        <w:tc>
          <w:tcPr>
            <w:tcW w:w="51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 of assets, net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26,718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27,597</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81,215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87,018</w:t>
            </w:r>
          </w:p>
        </w:tc>
        <w:tc>
          <w:tcPr>
            <w:tcW w:w="100" w:type="dxa"/>
            <w:vAlign w:val="bottom"/>
            <w:tcBorders>
              <w:bottom w:val="single" w:sz="8" w:color="CFF0FC"/>
            </w:tcBorders>
          </w:tcPr>
          <w:p>
            <w:pPr>
              <w:spacing w:after="0"/>
              <w:rPr>
                <w:sz w:val="19"/>
                <w:szCs w:val="19"/>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161,661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150,760</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478,295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440,812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59,173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165,485</w:t>
            </w:r>
          </w:p>
        </w:tc>
        <w:tc>
          <w:tcPr>
            <w:tcW w:w="100" w:type="dxa"/>
            <w:vAlign w:val="bottom"/>
          </w:tcPr>
          <w:p>
            <w:pPr>
              <w:spacing w:after="0"/>
              <w:rPr>
                <w:sz w:val="19"/>
                <w:szCs w:val="19"/>
                <w:color w:val="auto"/>
              </w:rPr>
            </w:pPr>
          </w:p>
        </w:tc>
      </w:tr>
      <w:tr>
        <w:trPr>
          <w:trHeight w:val="231"/>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18,723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20,384</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57,203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65,842</w:t>
            </w:r>
          </w:p>
        </w:tc>
        <w:tc>
          <w:tcPr>
            <w:tcW w:w="100" w:type="dxa"/>
            <w:vAlign w:val="bottom"/>
            <w:shd w:val="clear" w:color="auto" w:fill="CFF0FC"/>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18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(553 )</w:t>
            </w:r>
          </w:p>
        </w:tc>
        <w:tc>
          <w:tcPr>
            <w:tcW w:w="2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24,966</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(gain) on interest rate swap</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(1,947 )</w:t>
            </w: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(4,272 )</w:t>
            </w: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(4,498 )</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(13,970 )</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(12,766 )</w:t>
            </w:r>
          </w:p>
        </w:tc>
      </w:tr>
      <w:tr>
        <w:trPr>
          <w:trHeight w:val="223"/>
        </w:trPr>
        <w:tc>
          <w:tcPr>
            <w:tcW w:w="20" w:type="dxa"/>
            <w:vAlign w:val="bottom"/>
            <w:tcBorders>
              <w:top w:val="single" w:sz="8" w:color="CFF0FC"/>
            </w:tcBorders>
          </w:tcPr>
          <w:p>
            <w:pPr>
              <w:spacing w:after="0"/>
              <w:rPr>
                <w:sz w:val="19"/>
                <w:szCs w:val="19"/>
                <w:color w:val="auto"/>
              </w:rPr>
            </w:pPr>
          </w:p>
        </w:tc>
        <w:tc>
          <w:tcPr>
            <w:tcW w:w="51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other expenses</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15,397</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17,368</w:t>
            </w:r>
          </w:p>
        </w:tc>
        <w:tc>
          <w:tcPr>
            <w:tcW w:w="3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44,355</w:t>
            </w: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79,628</w:t>
            </w:r>
          </w:p>
        </w:tc>
        <w:tc>
          <w:tcPr>
            <w:tcW w:w="100" w:type="dxa"/>
            <w:vAlign w:val="bottom"/>
            <w:tcBorders>
              <w:top w:val="single" w:sz="8" w:color="CFF0FC"/>
            </w:tcBorders>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41,805</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135,057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85,857</w:t>
            </w:r>
          </w:p>
        </w:tc>
        <w:tc>
          <w:tcPr>
            <w:tcW w:w="100" w:type="dxa"/>
            <w:vAlign w:val="bottom"/>
            <w:shd w:val="clear" w:color="auto" w:fill="CFF0FC"/>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13,761</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11,497</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36,953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31,864</w:t>
            </w:r>
          </w:p>
        </w:tc>
        <w:tc>
          <w:tcPr>
            <w:tcW w:w="100" w:type="dxa"/>
            <w:vAlign w:val="bottom"/>
          </w:tcPr>
          <w:p>
            <w:pPr>
              <w:spacing w:after="0"/>
              <w:rPr>
                <w:sz w:val="19"/>
                <w:szCs w:val="19"/>
                <w:color w:val="auto"/>
              </w:rPr>
            </w:pPr>
          </w:p>
        </w:tc>
      </w:tr>
      <w:tr>
        <w:trPr>
          <w:trHeight w:val="265"/>
        </w:trPr>
        <w:tc>
          <w:tcPr>
            <w:tcW w:w="20" w:type="dxa"/>
            <w:vAlign w:val="bottom"/>
            <w:tcBorders>
              <w:bottom w:val="single" w:sz="8" w:color="CFF0FC"/>
            </w:tcBorders>
            <w:shd w:val="clear" w:color="auto" w:fill="CFF0FC"/>
          </w:tcPr>
          <w:p>
            <w:pPr>
              <w:spacing w:after="0"/>
              <w:rPr>
                <w:sz w:val="23"/>
                <w:szCs w:val="23"/>
                <w:color w:val="auto"/>
              </w:rPr>
            </w:pPr>
          </w:p>
        </w:tc>
        <w:tc>
          <w:tcPr>
            <w:tcW w:w="51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34,732</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30,308</w:t>
            </w:r>
          </w:p>
        </w:tc>
        <w:tc>
          <w:tcPr>
            <w:tcW w:w="3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98,104</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53,993</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8"/>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5,190</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(4,189 )</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(3,561 )</w:t>
            </w:r>
          </w:p>
        </w:tc>
      </w:tr>
      <w:tr>
        <w:trPr>
          <w:trHeight w:val="219"/>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39,922</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26,119</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101,468</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 w:type="dxa"/>
            <w:vAlign w:val="bottom"/>
            <w:shd w:val="clear" w:color="auto" w:fill="CFF0FC"/>
          </w:tcPr>
          <w:p>
            <w:pPr>
              <w:spacing w:after="0"/>
              <w:rPr>
                <w:sz w:val="18"/>
                <w:szCs w:val="18"/>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income per share:</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3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2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tcPr>
          <w:p>
            <w:pPr>
              <w:spacing w:after="0"/>
              <w:rPr>
                <w:sz w:val="19"/>
                <w:szCs w:val="19"/>
                <w:color w:val="auto"/>
              </w:rPr>
            </w:pPr>
          </w:p>
        </w:tc>
      </w:tr>
      <w:tr>
        <w:trPr>
          <w:trHeight w:val="233"/>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0.58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shd w:val="clear" w:color="auto" w:fill="CFF0FC"/>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20" w:type="dxa"/>
            <w:vAlign w:val="bottom"/>
            <w:shd w:val="clear" w:color="auto" w:fill="CFF0FC"/>
          </w:tcPr>
          <w:p>
            <w:pPr>
              <w:spacing w:after="0"/>
              <w:rPr>
                <w:sz w:val="20"/>
                <w:szCs w:val="20"/>
                <w:color w:val="auto"/>
              </w:rPr>
            </w:pPr>
          </w:p>
        </w:tc>
        <w:tc>
          <w:tcPr>
            <w:tcW w:w="5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164,735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168,089</w:t>
            </w: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165,676</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156,196</w:t>
            </w:r>
          </w:p>
        </w:tc>
        <w:tc>
          <w:tcPr>
            <w:tcW w:w="100" w:type="dxa"/>
            <w:vAlign w:val="bottom"/>
            <w:shd w:val="clear" w:color="auto" w:fill="CFF0FC"/>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167,624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169,497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157,133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-3021330</wp:posOffset>
            </wp:positionV>
            <wp:extent cx="102235" cy="187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235" cy="187960"/>
                    </a:xfrm>
                    <a:prstGeom prst="rect">
                      <a:avLst/>
                    </a:prstGeom>
                    <a:noFill/>
                  </pic:spPr>
                </pic:pic>
              </a:graphicData>
            </a:graphic>
          </wp:anchor>
        </w:drawing>
        <w:drawing>
          <wp:anchor simplePos="0" relativeHeight="251657728" behindDoc="1" locked="0" layoutInCell="0" allowOverlap="1">
            <wp:simplePos x="0" y="0"/>
            <wp:positionH relativeFrom="column">
              <wp:posOffset>5027295</wp:posOffset>
            </wp:positionH>
            <wp:positionV relativeFrom="paragraph">
              <wp:posOffset>-3021330</wp:posOffset>
            </wp:positionV>
            <wp:extent cx="93980" cy="187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-3021330</wp:posOffset>
            </wp:positionV>
            <wp:extent cx="93980" cy="187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-3021330</wp:posOffset>
            </wp:positionV>
            <wp:extent cx="93980" cy="187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-1972945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-1972945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-1972945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-1972945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-1364615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-1347470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-1364615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-1347470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-1364615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-1347470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-1364615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-1347470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8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460"/>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Stock</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5"/>
                <w:szCs w:val="15"/>
                <w:color w:val="auto"/>
              </w:rPr>
            </w:pPr>
          </w:p>
        </w:tc>
        <w:tc>
          <w:tcPr>
            <w:tcW w:w="1180" w:type="dxa"/>
            <w:vAlign w:val="bottom"/>
            <w:tcBorders>
              <w:bottom w:val="single" w:sz="8" w:color="auto"/>
            </w:tcBorders>
          </w:tcPr>
          <w:p>
            <w:pPr>
              <w:jc w:val="right"/>
              <w:ind w:right="284"/>
              <w:spacing w:after="0" w:line="169" w:lineRule="exact"/>
              <w:rPr>
                <w:sz w:val="20"/>
                <w:szCs w:val="20"/>
                <w:color w:val="auto"/>
              </w:rPr>
            </w:pPr>
            <w:r>
              <w:rPr>
                <w:rFonts w:ascii="Times New Roman" w:cs="Times New Roman" w:eastAsia="Times New Roman" w:hAnsi="Times New Roman"/>
                <w:sz w:val="15"/>
                <w:szCs w:val="15"/>
                <w:b w:val="1"/>
                <w:bCs w:val="1"/>
                <w:color w:val="auto"/>
              </w:rPr>
              <w:t>Shares</w:t>
            </w: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Amount</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4"/>
              <w:spacing w:after="0" w:line="169"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4"/>
              <w:spacing w:after="0" w:line="169" w:lineRule="exact"/>
              <w:rPr>
                <w:sz w:val="20"/>
                <w:szCs w:val="20"/>
                <w:color w:val="auto"/>
              </w:rPr>
            </w:pPr>
            <w:r>
              <w:rPr>
                <w:rFonts w:ascii="Times New Roman" w:cs="Times New Roman" w:eastAsia="Times New Roman" w:hAnsi="Times New Roman"/>
                <w:sz w:val="15"/>
                <w:szCs w:val="15"/>
                <w:b w:val="1"/>
                <w:bCs w:val="1"/>
                <w:color w:val="auto"/>
              </w:rPr>
              <w:t>Deficit</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4"/>
              <w:spacing w:after="0" w:line="169" w:lineRule="exact"/>
              <w:rPr>
                <w:sz w:val="20"/>
                <w:szCs w:val="20"/>
                <w:color w:val="auto"/>
              </w:rPr>
            </w:pPr>
            <w:r>
              <w:rPr>
                <w:rFonts w:ascii="Times New Roman" w:cs="Times New Roman" w:eastAsia="Times New Roman" w:hAnsi="Times New Roman"/>
                <w:sz w:val="15"/>
                <w:szCs w:val="15"/>
                <w:b w:val="1"/>
                <w:bCs w:val="1"/>
                <w:color w:val="auto"/>
              </w:rPr>
              <w:t>Loss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4"/>
              <w:spacing w:after="0" w:line="169" w:lineRule="exact"/>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166,555</w:t>
            </w:r>
          </w:p>
        </w:tc>
        <w:tc>
          <w:tcPr>
            <w:tcW w:w="30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557,513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(125,887 )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(10,176 )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421,467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repurchases and retirement</w:t>
            </w:r>
          </w:p>
        </w:tc>
        <w:tc>
          <w:tcPr>
            <w:tcW w:w="14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(534 )</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(1,789 )</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gridSpan w:val="2"/>
          </w:tcPr>
          <w:p>
            <w:pPr>
              <w:spacing w:after="0" w:line="154" w:lineRule="exact"/>
              <w:rPr>
                <w:sz w:val="20"/>
                <w:szCs w:val="20"/>
                <w:color w:val="auto"/>
              </w:rPr>
            </w:pPr>
            <w:r>
              <w:rPr>
                <w:rFonts w:ascii="Times New Roman" w:cs="Times New Roman" w:eastAsia="Times New Roman" w:hAnsi="Times New Roman"/>
                <w:sz w:val="15"/>
                <w:szCs w:val="15"/>
                <w:color w:val="auto"/>
              </w:rPr>
              <w:t>Vesting of restricted stock units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s") and</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performance share units ("</w:t>
            </w:r>
            <w:r>
              <w:rPr>
                <w:rFonts w:ascii="Times New Roman" w:cs="Times New Roman" w:eastAsia="Times New Roman" w:hAnsi="Times New Roman"/>
                <w:sz w:val="15"/>
                <w:szCs w:val="15"/>
                <w:b w:val="1"/>
                <w:bCs w:val="1"/>
                <w:i w:val="1"/>
                <w:iCs w:val="1"/>
                <w:color w:val="auto"/>
              </w:rPr>
              <w:t>PSU</w:t>
            </w:r>
            <w:r>
              <w:rPr>
                <w:rFonts w:ascii="Times New Roman" w:cs="Times New Roman" w:eastAsia="Times New Roman" w:hAnsi="Times New Roman"/>
                <w:sz w:val="15"/>
                <w:szCs w:val="15"/>
                <w:color w:val="auto"/>
              </w:rPr>
              <w:t>s")</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0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(4,608 )</w:t>
            </w:r>
          </w:p>
        </w:tc>
        <w:tc>
          <w:tcPr>
            <w:tcW w:w="10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(4,608 )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4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5,558</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(3,260 )</w:t>
            </w:r>
          </w:p>
        </w:tc>
        <w:tc>
          <w:tcPr>
            <w:tcW w:w="1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166,516</w:t>
            </w:r>
          </w:p>
        </w:tc>
        <w:tc>
          <w:tcPr>
            <w:tcW w:w="3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557,363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(94,949 )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(13,436 )</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448,995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34,223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repurchases and retirement</w:t>
            </w:r>
          </w:p>
        </w:tc>
        <w:tc>
          <w:tcPr>
            <w:tcW w:w="14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(2,000 )</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(1 )</w:t>
            </w: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(6,694 )</w:t>
            </w: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(45,155 )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(51,850 )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30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8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(1,050 )</w:t>
            </w:r>
          </w:p>
        </w:tc>
        <w:tc>
          <w:tcPr>
            <w:tcW w:w="10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(1,050 )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4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6,590</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164,658</w:t>
            </w:r>
          </w:p>
        </w:tc>
        <w:tc>
          <w:tcPr>
            <w:tcW w:w="30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556,494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(105,881 )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(12,002 )</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438,627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34,732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0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308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1180" w:type="dxa"/>
            <w:vAlign w:val="bottom"/>
            <w:shd w:val="clear" w:color="auto" w:fill="CFF0FC"/>
          </w:tcPr>
          <w:p>
            <w:pPr>
              <w:spacing w:after="0"/>
              <w:rPr>
                <w:sz w:val="13"/>
                <w:szCs w:val="13"/>
                <w:color w:val="auto"/>
              </w:rPr>
            </w:pPr>
          </w:p>
        </w:tc>
        <w:tc>
          <w:tcPr>
            <w:tcW w:w="300" w:type="dxa"/>
            <w:vAlign w:val="bottom"/>
            <w:tcBorders>
              <w:right w:val="single" w:sz="8" w:color="CFF0FC"/>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3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4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(168 )</w:t>
            </w: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(168 )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30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bottom w:val="single" w:sz="8" w:color="CFF0FC"/>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5,190</w:t>
            </w: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5,190</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September 30, 2024</w:t>
            </w: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164,804</w:t>
            </w:r>
          </w:p>
        </w:tc>
        <w:tc>
          <w:tcPr>
            <w:tcW w:w="300" w:type="dxa"/>
            <w:vAlign w:val="bottom"/>
          </w:tcPr>
          <w:p>
            <w:pPr>
              <w:spacing w:after="0"/>
              <w:rPr>
                <w:sz w:val="15"/>
                <w:szCs w:val="15"/>
                <w:color w:val="auto"/>
              </w:rPr>
            </w:pPr>
          </w:p>
        </w:tc>
        <w:tc>
          <w:tcPr>
            <w:tcW w:w="200" w:type="dxa"/>
            <w:vAlign w:val="bottom"/>
          </w:tcPr>
          <w:p>
            <w:pPr>
              <w:jc w:val="right"/>
              <w:ind w:right="44"/>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w:t>
            </w:r>
          </w:p>
        </w:tc>
        <w:tc>
          <w:tcPr>
            <w:tcW w:w="280" w:type="dxa"/>
            <w:vAlign w:val="bottom"/>
          </w:tcPr>
          <w:p>
            <w:pPr>
              <w:spacing w:after="0"/>
              <w:rPr>
                <w:sz w:val="15"/>
                <w:szCs w:val="15"/>
                <w:color w:val="auto"/>
              </w:rPr>
            </w:pPr>
          </w:p>
        </w:tc>
        <w:tc>
          <w:tcPr>
            <w:tcW w:w="1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564,491</w:t>
            </w:r>
          </w:p>
        </w:tc>
        <w:tc>
          <w:tcPr>
            <w:tcW w:w="260" w:type="dxa"/>
            <w:vAlign w:val="bottom"/>
          </w:tcPr>
          <w:p>
            <w:pPr>
              <w:spacing w:after="0"/>
              <w:rPr>
                <w:sz w:val="15"/>
                <w:szCs w:val="15"/>
                <w:color w:val="auto"/>
              </w:rPr>
            </w:pP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(71,149 )</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gridSpan w:val="2"/>
          </w:tcPr>
          <w:p>
            <w:pPr>
              <w:jc w:val="right"/>
              <w:ind w:right="200"/>
              <w:spacing w:after="0" w:line="169" w:lineRule="exact"/>
              <w:rPr>
                <w:sz w:val="20"/>
                <w:szCs w:val="20"/>
                <w:color w:val="auto"/>
              </w:rPr>
            </w:pPr>
            <w:r>
              <w:rPr>
                <w:rFonts w:ascii="Times New Roman" w:cs="Times New Roman" w:eastAsia="Times New Roman" w:hAnsi="Times New Roman"/>
                <w:sz w:val="15"/>
                <w:szCs w:val="15"/>
                <w:color w:val="auto"/>
              </w:rPr>
              <w:t>(6,812 )</w:t>
            </w:r>
          </w:p>
        </w:tc>
        <w:tc>
          <w:tcPr>
            <w:tcW w:w="1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486,546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-153670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-153670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4500245</wp:posOffset>
            </wp:positionH>
            <wp:positionV relativeFrom="paragraph">
              <wp:posOffset>-153670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-153670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-153670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center"/>
              <w:ind w:right="4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6" w:lineRule="exact"/>
              <w:rPr>
                <w:sz w:val="20"/>
                <w:szCs w:val="20"/>
                <w:color w:val="auto"/>
              </w:rPr>
            </w:pPr>
            <w:r>
              <w:rPr>
                <w:rFonts w:ascii="Times New Roman" w:cs="Times New Roman" w:eastAsia="Times New Roman" w:hAnsi="Times New Roman"/>
                <w:sz w:val="15"/>
                <w:szCs w:val="15"/>
                <w:b w:val="1"/>
                <w:bCs w:val="1"/>
                <w:color w:val="auto"/>
              </w:rPr>
              <w:t>Stock</w:t>
            </w:r>
          </w:p>
        </w:tc>
        <w:tc>
          <w:tcPr>
            <w:tcW w:w="120" w:type="dxa"/>
            <w:vAlign w:val="bottom"/>
          </w:tcPr>
          <w:p>
            <w:pPr>
              <w:spacing w:after="0"/>
              <w:rPr>
                <w:sz w:val="13"/>
                <w:szCs w:val="13"/>
                <w:color w:val="auto"/>
              </w:rPr>
            </w:pPr>
          </w:p>
        </w:tc>
        <w:tc>
          <w:tcPr>
            <w:tcW w:w="1080" w:type="dxa"/>
            <w:vAlign w:val="bottom"/>
            <w:gridSpan w:val="3"/>
          </w:tcPr>
          <w:p>
            <w:pPr>
              <w:jc w:val="center"/>
              <w:ind w:right="340"/>
              <w:spacing w:after="0" w:line="156"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4"/>
          </w:tcPr>
          <w:p>
            <w:pPr>
              <w:jc w:val="center"/>
              <w:ind w:right="240"/>
              <w:spacing w:after="0" w:line="156" w:lineRule="exact"/>
              <w:rPr>
                <w:sz w:val="20"/>
                <w:szCs w:val="20"/>
                <w:color w:val="auto"/>
              </w:rPr>
            </w:pPr>
            <w:r>
              <w:rPr>
                <w:rFonts w:ascii="Times New Roman" w:cs="Times New Roman" w:eastAsia="Times New Roman" w:hAnsi="Times New Roman"/>
                <w:sz w:val="15"/>
                <w:szCs w:val="15"/>
                <w:b w:val="1"/>
                <w:bCs w:val="1"/>
                <w:color w:val="auto"/>
              </w:rPr>
              <w:t>Comprehensi</w:t>
            </w:r>
          </w:p>
        </w:tc>
        <w:tc>
          <w:tcPr>
            <w:tcW w:w="180" w:type="dxa"/>
            <w:vAlign w:val="bottom"/>
          </w:tcPr>
          <w:p>
            <w:pPr>
              <w:spacing w:after="0"/>
              <w:rPr>
                <w:sz w:val="13"/>
                <w:szCs w:val="13"/>
                <w:color w:val="auto"/>
              </w:rPr>
            </w:pPr>
          </w:p>
        </w:tc>
        <w:tc>
          <w:tcPr>
            <w:tcW w:w="9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Contingent</w:t>
            </w:r>
          </w:p>
        </w:tc>
        <w:tc>
          <w:tcPr>
            <w:tcW w:w="120" w:type="dxa"/>
            <w:vAlign w:val="bottom"/>
          </w:tcPr>
          <w:p>
            <w:pPr>
              <w:spacing w:after="0"/>
              <w:rPr>
                <w:sz w:val="16"/>
                <w:szCs w:val="16"/>
                <w:color w:val="auto"/>
              </w:rPr>
            </w:pPr>
          </w:p>
        </w:tc>
        <w:tc>
          <w:tcPr>
            <w:tcW w:w="108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6"/>
                <w:szCs w:val="16"/>
                <w:color w:val="auto"/>
              </w:rPr>
            </w:pPr>
          </w:p>
        </w:tc>
        <w:tc>
          <w:tcPr>
            <w:tcW w:w="1000" w:type="dxa"/>
            <w:vAlign w:val="bottom"/>
            <w:gridSpan w:val="3"/>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w w:val="98"/>
              </w:rPr>
              <w:t>ve</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15"/>
                <w:szCs w:val="15"/>
                <w:color w:val="auto"/>
              </w:rPr>
            </w:pPr>
          </w:p>
        </w:tc>
        <w:tc>
          <w:tcPr>
            <w:tcW w:w="1040" w:type="dxa"/>
            <w:vAlign w:val="bottom"/>
            <w:tcBorders>
              <w:bottom w:val="single" w:sz="8" w:color="auto"/>
            </w:tcBorders>
          </w:tcPr>
          <w:p>
            <w:pPr>
              <w:jc w:val="right"/>
              <w:ind w:right="224"/>
              <w:spacing w:after="0" w:line="169"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4"/>
              <w:spacing w:after="0" w:line="169" w:lineRule="exact"/>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Consideration</w:t>
            </w:r>
          </w:p>
        </w:tc>
        <w:tc>
          <w:tcPr>
            <w:tcW w:w="24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4"/>
              <w:spacing w:after="0" w:line="169"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4"/>
              <w:spacing w:after="0" w:line="169" w:lineRule="exact"/>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Loss</w:t>
            </w:r>
          </w:p>
        </w:tc>
        <w:tc>
          <w:tcPr>
            <w:tcW w:w="22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4"/>
              <w:spacing w:after="0" w:line="169" w:lineRule="exact"/>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148,962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36,575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305,423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(98,078 )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(12,865 )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231,070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276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(2,526 )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(2,526 )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FF0FC"/>
          </w:tcPr>
          <w:p>
            <w:pPr>
              <w:spacing w:after="0"/>
              <w:rPr>
                <w:sz w:val="15"/>
                <w:szCs w:val="15"/>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Balance as of March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149,961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36,575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306,974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(93,501 )</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(12,955 )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237,108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FF0FC"/>
          </w:tcPr>
          <w:p>
            <w:pPr>
              <w:spacing w:after="0"/>
              <w:rPr>
                <w:sz w:val="13"/>
                <w:szCs w:val="13"/>
                <w:color w:val="auto"/>
              </w:rPr>
            </w:pPr>
          </w:p>
        </w:tc>
        <w:tc>
          <w:tcPr>
            <w:tcW w:w="2760" w:type="dxa"/>
            <w:vAlign w:val="bottom"/>
            <w:gridSpan w:val="2"/>
            <w:shd w:val="clear" w:color="auto" w:fill="CFF0FC"/>
          </w:tcPr>
          <w:p>
            <w:pPr>
              <w:spacing w:after="0" w:line="158" w:lineRule="exact"/>
              <w:rPr>
                <w:sz w:val="20"/>
                <w:szCs w:val="20"/>
                <w:color w:val="auto"/>
              </w:rPr>
            </w:pPr>
            <w:r>
              <w:rPr>
                <w:rFonts w:ascii="Times New Roman" w:cs="Times New Roman" w:eastAsia="Times New Roman" w:hAnsi="Times New Roman"/>
                <w:sz w:val="15"/>
                <w:szCs w:val="15"/>
                <w:color w:val="auto"/>
              </w:rPr>
              <w:t>Earn-out shares issued to PE Greenlight</w:t>
            </w: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Holdings, LLC</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(18,288 )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18,288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(502 )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(502 )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14,208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202,652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202,654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income, net of tax</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as of June 30,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166,917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533,626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(74,393 )</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(12,237 )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w:t>
            </w:r>
          </w:p>
        </w:tc>
        <w:tc>
          <w:tcPr>
            <w:tcW w:w="12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30,308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30,308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Earn-out shares issued to PE Greenlight</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Holdings, LLC</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(18,287 )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Share repurchases and retirement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(4,581 )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(15,176 )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(84,824 )</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(100,000 )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Vesting of RSUs and PSUs</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760" w:type="dxa"/>
            <w:vAlign w:val="bottom"/>
            <w:gridSpan w:val="2"/>
          </w:tcPr>
          <w:p>
            <w:pPr>
              <w:spacing w:after="0" w:line="158" w:lineRule="exact"/>
              <w:rPr>
                <w:sz w:val="20"/>
                <w:szCs w:val="20"/>
                <w:color w:val="auto"/>
              </w:rPr>
            </w:pPr>
            <w:r>
              <w:rPr>
                <w:rFonts w:ascii="Times New Roman" w:cs="Times New Roman" w:eastAsia="Times New Roman" w:hAnsi="Times New Roman"/>
                <w:sz w:val="15"/>
                <w:szCs w:val="15"/>
                <w:color w:val="auto"/>
              </w:rPr>
              <w:t>Payment of employee tax withholding</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related to RSUs and PSUs vesting</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(49 )</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Exercise of 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1,433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7,786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2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comprehensive loss, net of tax</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(4,189 )</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(4,189 )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7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as of September 30, 2023</w:t>
            </w: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166,310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w:t>
            </w:r>
          </w:p>
        </w:tc>
        <w:tc>
          <w:tcPr>
            <w:tcW w:w="260" w:type="dxa"/>
            <w:vAlign w:val="bottom"/>
            <w:gridSpan w:val="2"/>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549,374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(128,909 )</w:t>
            </w:r>
          </w:p>
        </w:tc>
        <w:tc>
          <w:tcPr>
            <w:tcW w:w="120" w:type="dxa"/>
            <w:vAlign w:val="bottom"/>
          </w:tcPr>
          <w:p>
            <w:pPr>
              <w:spacing w:after="0"/>
              <w:rPr>
                <w:sz w:val="15"/>
                <w:szCs w:val="15"/>
                <w:color w:val="auto"/>
              </w:rPr>
            </w:pPr>
          </w:p>
        </w:tc>
        <w:tc>
          <w:tcPr>
            <w:tcW w:w="200" w:type="dxa"/>
            <w:vAlign w:val="bottom"/>
          </w:tcPr>
          <w:p>
            <w:pPr>
              <w:jc w:val="right"/>
              <w:ind w:right="2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(16,426 )</w:t>
            </w:r>
          </w:p>
        </w:tc>
        <w:tc>
          <w:tcPr>
            <w:tcW w:w="120" w:type="dxa"/>
            <w:vAlign w:val="bottom"/>
          </w:tcPr>
          <w:p>
            <w:pPr>
              <w:spacing w:after="0"/>
              <w:rPr>
                <w:sz w:val="15"/>
                <w:szCs w:val="15"/>
                <w:color w:val="auto"/>
              </w:rPr>
            </w:pPr>
          </w:p>
        </w:tc>
        <w:tc>
          <w:tcPr>
            <w:tcW w:w="180" w:type="dxa"/>
            <w:vAlign w:val="bottom"/>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404,056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2419350</wp:posOffset>
            </wp:positionH>
            <wp:positionV relativeFrom="paragraph">
              <wp:posOffset>-1566545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-1566545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-1566545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-1566545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-1566545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-1566545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2419350</wp:posOffset>
            </wp:positionH>
            <wp:positionV relativeFrom="paragraph">
              <wp:posOffset>-153670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-153670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-153670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-153670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-153670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-153670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98,104</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36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(1,684 )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(7,236 )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(7,891 )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(35,854 )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(13,912 )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(9,529 )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(3,423 )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(6,600 )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1"/>
                <w:szCs w:val="21"/>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(474 )</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21"/>
                <w:szCs w:val="21"/>
                <w:color w:val="auto"/>
              </w:rPr>
            </w:pP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183,155</w:t>
            </w: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170,371</w:t>
            </w:r>
          </w:p>
        </w:tc>
        <w:tc>
          <w:tcPr>
            <w:tcW w:w="100" w:type="dxa"/>
            <w:vAlign w:val="bottom"/>
            <w:shd w:val="clear" w:color="auto" w:fill="CFF0FC"/>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receipts (payments) for interest rate swap</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(52,009 )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(40,501 )</w:t>
            </w: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(51,031 )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(41,693 )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6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(4,509 )</w:t>
            </w:r>
          </w:p>
        </w:tc>
        <w:tc>
          <w:tcPr>
            <w:tcW w:w="3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(179,264 )</w:t>
            </w: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360" w:type="dxa"/>
            <w:vAlign w:val="bottom"/>
          </w:tcPr>
          <w:p>
            <w:pPr>
              <w:spacing w:after="0"/>
              <w:rPr>
                <w:sz w:val="20"/>
                <w:szCs w:val="20"/>
                <w:color w:val="auto"/>
              </w:rPr>
            </w:pPr>
          </w:p>
        </w:tc>
        <w:tc>
          <w:tcPr>
            <w:tcW w:w="1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(51,500 )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(100,000 )</w:t>
            </w:r>
          </w:p>
        </w:tc>
      </w:tr>
      <w:tr>
        <w:trPr>
          <w:trHeight w:val="238"/>
        </w:trPr>
        <w:tc>
          <w:tcPr>
            <w:tcW w:w="20" w:type="dxa"/>
            <w:vAlign w:val="bottom"/>
          </w:tcPr>
          <w:p>
            <w:pPr>
              <w:spacing w:after="0"/>
              <w:rPr>
                <w:sz w:val="20"/>
                <w:szCs w:val="20"/>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(5,826 )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(3,077 )</w:t>
            </w: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(59,574</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(1,013 )</w:t>
            </w:r>
          </w:p>
        </w:tc>
      </w:tr>
      <w:tr>
        <w:trPr>
          <w:trHeight w:val="232"/>
        </w:trPr>
        <w:tc>
          <w:tcPr>
            <w:tcW w:w="20" w:type="dxa"/>
            <w:vAlign w:val="bottom"/>
            <w:tcBorders>
              <w:top w:val="single" w:sz="8" w:color="CFF0FC"/>
            </w:tcBorders>
          </w:tcPr>
          <w:p>
            <w:pPr>
              <w:spacing w:after="0"/>
              <w:rPr>
                <w:sz w:val="20"/>
                <w:szCs w:val="20"/>
                <w:color w:val="auto"/>
              </w:rPr>
            </w:pPr>
          </w:p>
        </w:tc>
        <w:tc>
          <w:tcPr>
            <w:tcW w:w="77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73,491</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100" w:type="dxa"/>
            <w:vAlign w:val="bottom"/>
            <w:tcBorders>
              <w:top w:val="single" w:sz="8" w:color="CFF0FC"/>
            </w:tcBorders>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139,722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20" w:type="dxa"/>
            <w:vAlign w:val="bottom"/>
            <w:shd w:val="clear" w:color="auto" w:fill="CFF0FC"/>
          </w:tcPr>
          <w:p>
            <w:pPr>
              <w:spacing w:after="0"/>
              <w:rPr>
                <w:sz w:val="17"/>
                <w:szCs w:val="17"/>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52"/>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114,379</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213,213</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118,330</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-3021965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-3021965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-1793240</wp:posOffset>
            </wp:positionV>
            <wp:extent cx="93980"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-1793240</wp:posOffset>
            </wp:positionV>
            <wp:extent cx="9398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-1454785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-1454785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-1137920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53,821</w:t>
            </w:r>
          </w:p>
        </w:tc>
        <w:tc>
          <w:tcPr>
            <w:tcW w:w="12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38,018</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excise tax payable on net share repurchases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Earn-out shares issued to PE Greenlight Holdings, LLC</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36,575</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additional paid-in capital due to exercise of private placement warrants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Verra Mobility Corporation (collectively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Verra Mobility</w:t>
      </w:r>
      <w:r>
        <w:rPr>
          <w:rFonts w:ascii="Times New Roman" w:cs="Times New Roman" w:eastAsia="Times New Roman" w:hAnsi="Times New Roman"/>
          <w:sz w:val="18"/>
          <w:szCs w:val="18"/>
          <w:color w:val="auto"/>
        </w:rPr>
        <w:t xml:space="preserve">”) offers integrated technology solutions and services to its customers who are located throughout the world, primarily within the United States, Australia, Canada and Europe.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and perform timely transfers of liability on the customers’ behalf, and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recurring maintenance services related to the equipment and software.</w:t>
      </w:r>
    </w:p>
    <w:p>
      <w:pPr>
        <w:spacing w:after="0" w:line="18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28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 Revenue from the single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Solutions customer exceeding 10% of total revenue is presented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8"/>
        </w:trPr>
        <w:tc>
          <w:tcPr>
            <w:tcW w:w="5640" w:type="dxa"/>
            <w:vAlign w:val="bottom"/>
            <w:gridSpan w:val="2"/>
          </w:tcPr>
          <w:p>
            <w:pPr>
              <w:jc w:val="right"/>
              <w:ind w:right="2068"/>
              <w:spacing w:after="0"/>
              <w:rPr>
                <w:sz w:val="20"/>
                <w:szCs w:val="20"/>
                <w:color w:val="auto"/>
              </w:rPr>
            </w:pPr>
            <w:r>
              <w:rPr>
                <w:rFonts w:ascii="Times New Roman" w:cs="Times New Roman" w:eastAsia="Times New Roman" w:hAnsi="Times New Roman"/>
                <w:sz w:val="18"/>
                <w:szCs w:val="18"/>
                <w:color w:val="auto"/>
                <w:w w:val="99"/>
              </w:rPr>
              <w:t>City of New York Department of Transportation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15.5 %</w:t>
            </w: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16.5 %</w:t>
            </w:r>
          </w:p>
        </w:tc>
        <w:tc>
          <w:tcPr>
            <w:tcW w:w="9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10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jc w:val="both"/>
        <w:ind w:right="60" w:firstLine="374"/>
        <w:spacing w:after="0" w:line="268" w:lineRule="auto"/>
        <w:rPr>
          <w:sz w:val="20"/>
          <w:szCs w:val="20"/>
          <w:color w:val="auto"/>
        </w:rPr>
      </w:pPr>
      <w:r>
        <w:rPr>
          <w:rFonts w:ascii="Times New Roman" w:cs="Times New Roman" w:eastAsia="Times New Roman" w:hAnsi="Times New Roman"/>
          <w:sz w:val="18"/>
          <w:szCs w:val="18"/>
          <w:color w:val="auto"/>
        </w:rPr>
        <w:t>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13% and 18% of total accounts receivable, net as of September 30, 2024 and December 31, 2023, respectively. There is no material reserve related to NYCDOT open receivables as amounts are deemed collectible based on current conditions and expectations. No other Government Solutions customer exceeded 10% of total accounts receivable, net as of any period presented.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 revenues generated through the Company’s Commercial Services partners as a percent of total revenue are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2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Hertz Corporation</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10.5 %</w:t>
            </w:r>
          </w:p>
        </w:tc>
        <w:tc>
          <w:tcPr>
            <w:tcW w:w="10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11.8 %</w:t>
            </w:r>
          </w:p>
        </w:tc>
        <w:tc>
          <w:tcPr>
            <w:tcW w:w="9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0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3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Avis Budget Group, Inc.</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14.2 %</w:t>
            </w:r>
          </w:p>
        </w:tc>
        <w:tc>
          <w:tcPr>
            <w:tcW w:w="10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15.1 %</w:t>
            </w:r>
          </w:p>
        </w:tc>
        <w:tc>
          <w:tcPr>
            <w:tcW w:w="9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c>
          <w:tcPr>
            <w:tcW w:w="10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Enterprise Mobility</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12.2 %</w:t>
            </w:r>
          </w:p>
        </w:tc>
        <w:tc>
          <w:tcPr>
            <w:tcW w:w="1080" w:type="dxa"/>
            <w:vAlign w:val="bottom"/>
          </w:tcPr>
          <w:p>
            <w:pPr>
              <w:spacing w:after="0"/>
              <w:rPr>
                <w:sz w:val="21"/>
                <w:szCs w:val="21"/>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11.6 %</w:t>
            </w:r>
          </w:p>
        </w:tc>
        <w:tc>
          <w:tcPr>
            <w:tcW w:w="98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10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Commercial Services customer exceeded 10% of total accounts receivable, net as of any of the periods presented.</w:t>
      </w:r>
    </w:p>
    <w:p>
      <w:pPr>
        <w:spacing w:after="0" w:line="225" w:lineRule="exact"/>
        <w:rPr>
          <w:sz w:val="20"/>
          <w:szCs w:val="20"/>
          <w:color w:val="auto"/>
        </w:rPr>
      </w:pPr>
    </w:p>
    <w:p>
      <w:pPr>
        <w:jc w:val="both"/>
        <w:ind w:right="60" w:firstLine="374"/>
        <w:spacing w:after="0" w:line="281"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 net for the Parking Solutions segment as of or for any of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rate estimates as of the balance sheet date, which includes adjustments for current and future expectations using probability-weighted assumptions about potential outcomes.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evaluates the adequacy of its allowance for expected credit losses by comparing its actual write-offs to its previously recorded estimates and adjusts appropriately.</w:t>
      </w:r>
    </w:p>
    <w:p>
      <w:pPr>
        <w:spacing w:after="0" w:line="1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8" w:right="279" w:bottom="1440" w:gutter="0" w:footer="0" w:header="0"/>
        </w:sectPr>
      </w:pPr>
    </w:p>
    <w:bookmarkStart w:id="11" w:name="page12"/>
    <w:bookmarkEnd w:id="11"/>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identified pools of receivables based on the type of business, industry in which the customer operates and historical credit loss patterns. The following presents the activity in the allowance for credit losses by reportable segment for the nine months ended September 30, 2024 and 2023, respectively: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6"/>
                <w:szCs w:val="16"/>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32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8"/>
                <w:szCs w:val="18"/>
                <w:color w:val="auto"/>
              </w:rPr>
            </w:pPr>
          </w:p>
        </w:tc>
        <w:tc>
          <w:tcPr>
            <w:tcW w:w="1680" w:type="dxa"/>
            <w:vAlign w:val="bottom"/>
            <w:gridSpan w:val="2"/>
          </w:tcPr>
          <w:p>
            <w:pPr>
              <w:jc w:val="center"/>
              <w:ind w:right="580"/>
              <w:spacing w:after="0" w:line="214"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260" w:type="dxa"/>
            <w:vAlign w:val="bottom"/>
          </w:tcPr>
          <w:p>
            <w:pPr>
              <w:spacing w:after="0"/>
              <w:rPr>
                <w:sz w:val="18"/>
                <w:szCs w:val="18"/>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20" w:type="dxa"/>
            <w:vAlign w:val="bottom"/>
          </w:tcPr>
          <w:p>
            <w:pPr>
              <w:spacing w:after="0"/>
              <w:rPr>
                <w:sz w:val="18"/>
                <w:szCs w:val="18"/>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(226 )</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(10,240 )</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(10,363 )</w:t>
            </w:r>
          </w:p>
        </w:tc>
      </w:tr>
      <w:tr>
        <w:trPr>
          <w:trHeight w:val="236"/>
        </w:trPr>
        <w:tc>
          <w:tcPr>
            <w:tcW w:w="20" w:type="dxa"/>
            <w:vAlign w:val="bottom"/>
            <w:tcBorders>
              <w:top w:val="single" w:sz="8" w:color="CFF0FC"/>
            </w:tcBorders>
          </w:tcPr>
          <w:p>
            <w:pPr>
              <w:spacing w:after="0"/>
              <w:rPr>
                <w:sz w:val="20"/>
                <w:szCs w:val="20"/>
                <w:color w:val="auto"/>
              </w:rPr>
            </w:pPr>
          </w:p>
        </w:tc>
        <w:tc>
          <w:tcPr>
            <w:tcW w:w="384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3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6"/>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24"/>
                <w:szCs w:val="24"/>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320" w:type="dxa"/>
            <w:vAlign w:val="bottom"/>
          </w:tcPr>
          <w:p>
            <w:pPr>
              <w:spacing w:after="0"/>
              <w:rPr>
                <w:sz w:val="24"/>
                <w:szCs w:val="24"/>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8"/>
                <w:szCs w:val="18"/>
                <w:color w:val="auto"/>
              </w:rPr>
            </w:pPr>
          </w:p>
        </w:tc>
        <w:tc>
          <w:tcPr>
            <w:tcW w:w="1680" w:type="dxa"/>
            <w:vAlign w:val="bottom"/>
            <w:gridSpan w:val="2"/>
          </w:tcPr>
          <w:p>
            <w:pPr>
              <w:jc w:val="center"/>
              <w:ind w:right="580"/>
              <w:spacing w:after="0" w:line="214"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260" w:type="dxa"/>
            <w:vAlign w:val="bottom"/>
          </w:tcPr>
          <w:p>
            <w:pPr>
              <w:spacing w:after="0"/>
              <w:rPr>
                <w:sz w:val="18"/>
                <w:szCs w:val="18"/>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20" w:type="dxa"/>
            <w:vAlign w:val="bottom"/>
          </w:tcPr>
          <w:p>
            <w:pPr>
              <w:spacing w:after="0"/>
              <w:rPr>
                <w:sz w:val="18"/>
                <w:szCs w:val="18"/>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(1,964 )</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38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(5,135 )</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(185 )</w:t>
            </w:r>
          </w:p>
        </w:tc>
        <w:tc>
          <w:tcPr>
            <w:tcW w:w="3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(5,882 )</w:t>
            </w:r>
          </w:p>
        </w:tc>
      </w:tr>
      <w:tr>
        <w:trPr>
          <w:trHeight w:val="20"/>
        </w:trPr>
        <w:tc>
          <w:tcPr>
            <w:tcW w:w="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(266 )</w:t>
            </w:r>
          </w:p>
        </w:tc>
        <w:tc>
          <w:tcPr>
            <w:tcW w:w="1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-1335405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-1335405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-1335405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-187960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left="680" w:hanging="373"/>
        <w:spacing w:after="0" w:line="260"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82% and 86% of the total Commercial Services allowance for credit losses as of September 30, 2024 and 2023,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The Company had approximately $11.2 million and $13.1 million of deferred revenue in the Government Solutions segment as of September 30, 2024 and December 31, 2023, respectively. The Company recognized $1.1 million and $1.7 million of revenue excluding exchange rate impact during the three months ended September 30, 2024 and 2023, respectively, and $7.0 million and $5.8 million, of revenue excluding exchange rate impact during the nine months ended September 30, 2024 and 2023, respectively, related to amounts that were included in deferred revenue as of December 31, 2023 and 2022. The Company had approximately $24.5 million and $19.7 million of deferred revenue in the Parking Solutions segment as of September 30, 2024 and December 31, 2023, respectively. The Company recognized $2.6 million and $3.9 million of revenue during the three months ended September 30, 2024 and 2023, respectively, and $18.0 million and $18.7 million of revenue during the nine months ended September 30, 2024 and 2023, respectively, related to amounts that were included in deferred revenue as of December 31, 2023 and 2022.</w:t>
      </w:r>
    </w:p>
    <w:p>
      <w:pPr>
        <w:spacing w:after="0" w:line="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includes deferred revenue above and unbilled amounts that are expected to be recognized as revenue in future periods. As of September 30, 2024, total transaction price allocated to performance obligations in the Government Solutions segment that were unsatisfied or partially unsatisfied was $254.8 million, of which $127.8 million is expected to be recognized as revenue in the next twelve months and the rest over the remaining performance obligation period.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cancellable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portion of the variable interest rate on its 2021 Term Loan. Under the interest rate swap agreement, the Company paid a fixed rate of 5.17% and the counterparty paid a variable interest rate. The Company entered into an International Swaps and Derivatives Association, Inc. Master Agreement with the counterparty which provided for the net settlement of all, or a specified group, of derivative transactions through a single payment. The notional amount on the interest rate swap was $675.0 million. The Company had the option to effectively terminate the interest rate swap agreement starting in December 2023, and monthly thereafter until December 2025. The Company treated the interest rate swap as an economic hedge for accounting purposes and any changes in the fair value of the derivative instrument (including accrued interest) and related cash receipts or payments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jc w:val="both"/>
        <w:spacing w:after="0" w:line="281" w:lineRule="auto"/>
        <w:rPr>
          <w:sz w:val="20"/>
          <w:szCs w:val="20"/>
          <w:color w:val="auto"/>
        </w:rPr>
      </w:pPr>
      <w:r>
        <w:rPr>
          <w:rFonts w:ascii="Times New Roman" w:cs="Times New Roman" w:eastAsia="Times New Roman" w:hAnsi="Times New Roman"/>
          <w:sz w:val="18"/>
          <w:szCs w:val="18"/>
          <w:color w:val="auto"/>
        </w:rPr>
        <w:t>were recorded in the condensed consolidated statements of operations within the loss (gain) on interest rate swap line item. The Company exercised its option to cancel the interest rate swap agreement as of September 30, 2024.</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the components of the loss (gain) on interest rate swap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4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(3,361 )</w:t>
            </w:r>
          </w:p>
        </w:tc>
      </w:tr>
      <w:tr>
        <w:trPr>
          <w:trHeight w:val="238"/>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(receipts) payments</w:t>
            </w:r>
          </w:p>
        </w:tc>
        <w:tc>
          <w:tcPr>
            <w:tcW w:w="9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(256 )</w:t>
            </w:r>
          </w:p>
        </w:tc>
        <w:tc>
          <w:tcPr>
            <w:tcW w:w="10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(142 )</w:t>
            </w:r>
          </w:p>
        </w:tc>
        <w:tc>
          <w:tcPr>
            <w:tcW w:w="9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(822 )</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20" w:type="dxa"/>
            <w:vAlign w:val="bottom"/>
            <w:shd w:val="clear" w:color="auto" w:fill="CFF0FC"/>
          </w:tcPr>
          <w:p>
            <w:pPr>
              <w:spacing w:after="0"/>
              <w:rPr>
                <w:sz w:val="22"/>
                <w:szCs w:val="22"/>
                <w:color w:val="auto"/>
              </w:rPr>
            </w:pPr>
          </w:p>
        </w:tc>
        <w:tc>
          <w:tcPr>
            <w:tcW w:w="47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loss (gain) on interest rate swap</w:t>
            </w:r>
          </w:p>
        </w:tc>
        <w:tc>
          <w:tcPr>
            <w:tcW w:w="94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(1,947 )</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7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-24765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 xml:space="preserve">The effect of remeasurement to fair value was recorded within the operating activities section and the monthly cash proceeds received or payments made were recorded within the investing activities section in the condensed consolidated statements of cash flows. See Note 7, </w:t>
      </w:r>
      <w:r>
        <w:rPr>
          <w:rFonts w:ascii="Times New Roman" w:cs="Times New Roman" w:eastAsia="Times New Roman" w:hAnsi="Times New Roman"/>
          <w:sz w:val="18"/>
          <w:szCs w:val="18"/>
          <w:i w:val="1"/>
          <w:iCs w:val="1"/>
          <w:color w:val="auto"/>
        </w:rPr>
        <w:t>Fair Value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for further discussion on the fair value measurement of the interest rate swap.</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 Adopted</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On June 30, 2022,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2022-03,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(Topic 820): Fair Value Measurement of Equity Securities Subject to Contractual Sale Restrictions</w:t>
      </w:r>
      <w:r>
        <w:rPr>
          <w:rFonts w:ascii="Times New Roman" w:cs="Times New Roman" w:eastAsia="Times New Roman" w:hAnsi="Times New Roman"/>
          <w:sz w:val="18"/>
          <w:szCs w:val="18"/>
          <w:color w:val="auto"/>
        </w:rPr>
        <w:t>. The ASU clarifies that a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 on the sale of an equity security is not considered part of the unit of account of the equity security and, therefore, is not considered in measuring fair value. It also requires entities with investments in equity securities subject to contractual sale restrictions to disclose certain qualitative and quantitative information about such securities. The Company adopted this standard as of January 1, 2024. The adoption of this standard did not have an impact on the Company's financial statements or disclosures.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ASU intends to enhance disclosure related to significant segment expenses regularly provided to the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amounts presented as “other” within segment profit (loss), require that all annual disclosures are also reported for interim periods, further define the CODM and how they use segment profit (loss) to allocate resources, and require that entities with only a single reportable segment provide all required segment disclosures. The guidance is effective for fiscal years beginning after December 15, 2023 and interim periods within fiscal years beginning after December 15, 2024. This change will apply retrospectively to all periods presented. The adoption of this standard will only require changes to the Company's disclosures with no expected impact to its results of operations, financial position or cash flows. The Company is currently evaluating the impact of this standard on its financial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 w:name="page14"/>
    <w:bookmarkEnd w:id="13"/>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ASU requires companies to disclose specific categories in the rate reconciliation, provide 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Early adoption is permitted. The Company is currently evaluating the impact of this standard on its financial statements.</w:t>
      </w:r>
    </w:p>
    <w:p>
      <w:pPr>
        <w:spacing w:after="0" w:line="28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computer maintenance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Borders>
              <w:bottom w:val="single" w:sz="8" w:color="CFF0FC"/>
            </w:tcBorders>
          </w:tcPr>
          <w:p>
            <w:pPr>
              <w:spacing w:after="0"/>
              <w:rPr>
                <w:sz w:val="20"/>
                <w:szCs w:val="20"/>
                <w:color w:val="auto"/>
              </w:rPr>
            </w:pPr>
          </w:p>
        </w:tc>
        <w:tc>
          <w:tcPr>
            <w:tcW w:w="7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FF0FC"/>
            </w:tcBorders>
          </w:tcPr>
          <w:p>
            <w:pPr>
              <w:spacing w:after="0"/>
              <w:rPr>
                <w:sz w:val="20"/>
                <w:szCs w:val="20"/>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7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51,407</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5"/>
                <w:szCs w:val="15"/>
                <w:color w:val="auto"/>
              </w:rPr>
            </w:pP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422,091</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214,602</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835,835</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424,159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214,850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4131945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80"/>
        </w:trPr>
        <w:tc>
          <w:tcPr>
            <w:tcW w:w="20" w:type="dxa"/>
            <w:vAlign w:val="bottom"/>
          </w:tcPr>
          <w:p>
            <w:pPr>
              <w:spacing w:after="0"/>
              <w:rPr>
                <w:sz w:val="15"/>
                <w:szCs w:val="15"/>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274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5.3 years</w:t>
            </w:r>
          </w:p>
        </w:tc>
        <w:tc>
          <w:tcPr>
            <w:tcW w:w="1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8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 years</w:t>
            </w: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36,190</w:t>
            </w: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0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0.0 years</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62,540</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 years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560,388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334,420</w:t>
            </w:r>
          </w:p>
        </w:tc>
        <w:tc>
          <w:tcPr>
            <w:tcW w:w="2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 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288,065</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3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4.0 years</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40,807</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0.8 years</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201,657</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606,507</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355,180</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859,688</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558,663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(355,180 )</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(558,663 )</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37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0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251,327</w:t>
            </w:r>
          </w:p>
        </w:tc>
        <w:tc>
          <w:tcPr>
            <w:tcW w:w="2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301,025</w:t>
            </w:r>
          </w:p>
        </w:tc>
        <w:tc>
          <w:tcPr>
            <w:tcW w:w="2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9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3815080</wp:posOffset>
            </wp:positionH>
            <wp:positionV relativeFrom="paragraph">
              <wp:posOffset>-530225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-530225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-530225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-530225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3815080</wp:posOffset>
            </wp:positionH>
            <wp:positionV relativeFrom="paragraph">
              <wp:posOffset>-187960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Amortization expense was $16.8 million and $18.9 million for the three months ended September 30, 2024 and 2023, respectively, and was $50.3 million and $60.9 million for the nine months ended September 30,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4" w:name="page15"/>
    <w:bookmarkEnd w:id="14"/>
    <w:p>
      <w:pPr>
        <w:ind w:left="380"/>
        <w:spacing w:after="0"/>
        <w:rPr>
          <w:sz w:val="20"/>
          <w:szCs w:val="20"/>
          <w:color w:val="auto"/>
        </w:rPr>
      </w:pPr>
      <w:r>
        <w:rPr>
          <w:rFonts w:ascii="Times New Roman" w:cs="Times New Roman" w:eastAsia="Times New Roman" w:hAnsi="Times New Roman"/>
          <w:sz w:val="17"/>
          <w:szCs w:val="17"/>
          <w:color w:val="auto"/>
        </w:rPr>
        <w:t>Estimated amortization expense in future years is expected to be:</w:t>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2024</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5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Accrued liabilities consist of the following at:</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500"/>
        <w:spacing w:after="0"/>
        <w:tabs>
          <w:tab w:leader="none" w:pos="2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16,842</w:t>
      </w:r>
    </w:p>
    <w:p>
      <w:pPr>
        <w:spacing w:after="0" w:line="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64,670</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57,657</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28,624</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22,612</w:t>
      </w:r>
    </w:p>
    <w:p>
      <w:pPr>
        <w:spacing w:after="0" w:line="3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60,922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26035</wp:posOffset>
            </wp:positionV>
            <wp:extent cx="993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 w:lineRule="exact"/>
        <w:rPr>
          <w:sz w:val="20"/>
          <w:szCs w:val="20"/>
          <w:color w:val="auto"/>
        </w:rPr>
      </w:pPr>
    </w:p>
    <w:p>
      <w:pPr>
        <w:ind w:left="1500"/>
        <w:spacing w:after="0"/>
        <w:tabs>
          <w:tab w:leader="none" w:pos="2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251,327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ind w:left="30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9" w:lineRule="exact"/>
        <w:rPr>
          <w:sz w:val="20"/>
          <w:szCs w:val="20"/>
          <w:color w:val="auto"/>
        </w:rPr>
      </w:pPr>
    </w:p>
    <w:p>
      <w:pPr>
        <w:sectPr>
          <w:pgSz w:w="11900" w:h="16838" w:orient="portrait"/>
          <w:cols w:equalWidth="0" w:num="2">
            <w:col w:w="7360" w:space="720"/>
            <w:col w:w="3160"/>
          </w:cols>
          <w:pgMar w:left="320" w:top="1092"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shd w:val="clear" w:color="auto" w:fill="CFF0FC"/>
          </w:tcPr>
          <w:p>
            <w:pPr>
              <w:spacing w:after="0"/>
              <w:rPr>
                <w:sz w:val="19"/>
                <w:szCs w:val="19"/>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deferred tax liabilities</w:t>
            </w: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tax liabilities</w:t>
            </w: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settlement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66,966</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5"/>
                <w:szCs w:val="15"/>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 due 2028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700,078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704,587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2029</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original issue discounts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(2,745 )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(3,646 )</w:t>
            </w:r>
          </w:p>
        </w:tc>
      </w:tr>
      <w:tr>
        <w:trPr>
          <w:trHeight w:val="243"/>
        </w:trPr>
        <w:tc>
          <w:tcPr>
            <w:tcW w:w="20" w:type="dxa"/>
            <w:vAlign w:val="bottom"/>
          </w:tcPr>
          <w:p>
            <w:pPr>
              <w:spacing w:after="0"/>
              <w:rPr>
                <w:sz w:val="21"/>
                <w:szCs w:val="21"/>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22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(10,159 )</w:t>
            </w:r>
          </w:p>
        </w:tc>
        <w:tc>
          <w:tcPr>
            <w:tcW w:w="2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(12,809 )</w:t>
            </w:r>
          </w:p>
        </w:tc>
      </w:tr>
      <w:tr>
        <w:trPr>
          <w:trHeight w:val="236"/>
        </w:trPr>
        <w:tc>
          <w:tcPr>
            <w:tcW w:w="20" w:type="dxa"/>
            <w:vAlign w:val="bottom"/>
            <w:shd w:val="clear" w:color="auto" w:fill="CFF0FC"/>
          </w:tcPr>
          <w:p>
            <w:pPr>
              <w:spacing w:after="0"/>
              <w:rPr>
                <w:sz w:val="20"/>
                <w:szCs w:val="20"/>
                <w:color w:val="auto"/>
              </w:rPr>
            </w:pPr>
          </w:p>
        </w:tc>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1,037,174</w:t>
            </w: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1,038,132</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(9,019 )</w:t>
            </w: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77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1,037,174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1,029,113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the Company had $4.6 million of offering discount costs and $4.5 million in deferred financing costs, both of which were capitalized and are being amortized over the remaining life of the 2021 Term Loan.</w:t>
      </w:r>
    </w:p>
    <w:p>
      <w:pPr>
        <w:spacing w:after="0" w:line="72"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w:t>
      </w:r>
      <w:r>
        <w:rPr>
          <w:rFonts w:ascii="Times New Roman" w:cs="Times New Roman" w:eastAsia="Times New Roman" w:hAnsi="Times New Roman"/>
          <w:sz w:val="18"/>
          <w:szCs w:val="18"/>
          <w:color w:val="auto"/>
        </w:rPr>
        <w:t>”). Pursuant to the Third Amendment, the interest rate was reduced by 0.50% to SOFR plus 2.75% from SOFR plus 3.25% with the SOFR floor unchanged at 0.00%. The credit spread adjustment, ranging from 0.11448% to 0.71513%, was eliminated. In addition, the 2021 Term Loan no longer contains a provision for principal repayments which were previously required to be paid in quarterly installments. The Company evaluated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type w:val="continuous"/>
        </w:sectPr>
      </w:pPr>
    </w:p>
    <w:bookmarkStart w:id="15" w:name="page16"/>
    <w:bookmarkEnd w:id="15"/>
    <w:p>
      <w:pPr>
        <w:jc w:val="both"/>
        <w:spacing w:after="0" w:line="281" w:lineRule="auto"/>
        <w:rPr>
          <w:sz w:val="20"/>
          <w:szCs w:val="20"/>
          <w:color w:val="auto"/>
        </w:rPr>
      </w:pPr>
      <w:r>
        <w:rPr>
          <w:rFonts w:ascii="Times New Roman" w:cs="Times New Roman" w:eastAsia="Times New Roman" w:hAnsi="Times New Roman"/>
          <w:sz w:val="18"/>
          <w:szCs w:val="18"/>
          <w:color w:val="auto"/>
        </w:rPr>
        <w:t>the Refinancing Transaction on a lender-by-lender basis and accounted accordingly for debt extinguishment costs and debt modification costs (for the portion of the transaction that did not meet the accounting criteria for debt extinguishment).</w:t>
      </w:r>
    </w:p>
    <w:p>
      <w:pPr>
        <w:spacing w:after="0" w:line="5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made early repayments of approximately $4.5 million and $172.5 million, respectively, on the 2021 Term Loan, and as a result the total principal outstanding on the 2021 Term Loan was $700.1 million as of September 30, 2024.</w:t>
      </w:r>
    </w:p>
    <w:p>
      <w:pPr>
        <w:spacing w:after="0" w:line="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recorded less than $0.1 million and $0.6 million loss on extinguishment of debt during the three and nine months ended September 30, 2024 primarily related to the write-off of pre-existing deferred financing costs and discounts in connection with the Refinancing Transaction. It recognized a loss on extinguishment of debt of $2.0 million and $3.5 million for the three and nine months ended September 30, 2023, respectively, related to the write-off of pre-existing deferred financing costs and discounts in connection with the early repayments.</w:t>
      </w:r>
    </w:p>
    <w:p>
      <w:pPr>
        <w:spacing w:after="0" w:line="74"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2021 Term Loan bears interest based at the Company’s option, on either (i) Term SOFR plus an applicable margin of 2.75% per annum, or (ii) an alternate base rate plus an applicable margin of 1.75% per annum. As of September 30, 2024, the interest rate on the 2021 Term Loan was 7.6%.</w:t>
      </w:r>
    </w:p>
    <w:p>
      <w:pPr>
        <w:spacing w:after="0" w:line="55"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&lt; 3.70:1.00 and &gt; 3.20:1.00</w:t>
            </w:r>
          </w:p>
        </w:tc>
        <w:tc>
          <w:tcPr>
            <w:tcW w:w="250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Subsequent to September 30, 2024, the Company amended the 2021 Term Loan agreement to refinance the entire outstanding amount under the 2021 Term Loan and to reduce the interest rate by 50 basis points. See Note 15,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for additional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66"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6"/>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102.750%</w:t>
            </w:r>
          </w:p>
        </w:tc>
      </w:tr>
      <w:tr>
        <w:trPr>
          <w:trHeight w:val="238"/>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101.375%</w:t>
            </w:r>
          </w:p>
        </w:tc>
      </w:tr>
      <w:tr>
        <w:trPr>
          <w:trHeight w:val="247"/>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2026 and thereafter</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Term SOFR and the applicable margin percentages. There were no outstanding borrowings on the Revolver as of September 30, 2024 or December 31, 2023. The availability to borrow was $74.6 million, net of $0.4 million of outstanding letters of credit at September 30, 2024.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$0.4 million of outstanding letters of credit as of September 30, 2024.</w:t>
      </w:r>
    </w:p>
    <w:p>
      <w:pPr>
        <w:spacing w:after="0" w:line="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September 30, 2024, the Company was compliant with all debt covenants in its debt agreements.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$18.7 million and $20.4 million for the three months ended September 30, 2024 and 2023, respectively, and $57.2 million and $65.8 million for the nine months ended September 30, 2024 and 2023, respectively.</w:t>
      </w:r>
    </w:p>
    <w:p>
      <w:pPr>
        <w:spacing w:after="0" w:line="6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weighted average effective interest rates on the Company’s outstanding borrowings were 6.9% and 7.7% at September 30, 2024 and December 31, 2023, respectively.</w:t>
      </w:r>
    </w:p>
    <w:p>
      <w:pPr>
        <w:spacing w:after="0" w:line="53"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information on the interest rate swap entered into in December 2022 to hedge the Company’s exposure against higher interest rates, which was cancelled by the Company as of September 30, 2024</w:t>
      </w:r>
      <w:r>
        <w:rPr>
          <w:rFonts w:ascii="Arial" w:cs="Arial" w:eastAsia="Arial" w:hAnsi="Arial"/>
          <w:sz w:val="16"/>
          <w:szCs w:val="16"/>
          <w:color w:val="auto"/>
        </w:rPr>
        <w:t>.</w:t>
      </w:r>
    </w:p>
    <w:p>
      <w:pPr>
        <w:spacing w:after="0" w:line="265"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98" w:lineRule="exact"/>
        <w:rPr>
          <w:sz w:val="20"/>
          <w:szCs w:val="20"/>
          <w:color w:val="auto"/>
        </w:rPr>
      </w:pPr>
    </w:p>
    <w:p>
      <w:pPr>
        <w:ind w:left="760" w:right="2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19" w:lineRule="exact"/>
        <w:rPr>
          <w:sz w:val="20"/>
          <w:szCs w:val="20"/>
          <w:color w:val="auto"/>
        </w:rPr>
      </w:pPr>
    </w:p>
    <w:p>
      <w:pPr>
        <w:ind w:left="760"/>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53"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was calculated based upon available market information. The carrying value and the estimated fair value of long-term debt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280" w:type="dxa"/>
            <w:vAlign w:val="bottom"/>
          </w:tcPr>
          <w:p>
            <w:pPr>
              <w:spacing w:after="0"/>
              <w:rPr>
                <w:sz w:val="16"/>
                <w:szCs w:val="16"/>
                <w:color w:val="auto"/>
              </w:rPr>
            </w:pPr>
          </w:p>
        </w:tc>
        <w:tc>
          <w:tcPr>
            <w:tcW w:w="2880" w:type="dxa"/>
            <w:vAlign w:val="bottom"/>
            <w:gridSpan w:val="4"/>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61"/>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19"/>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5"/>
                <w:szCs w:val="15"/>
                <w:color w:val="auto"/>
              </w:rPr>
            </w:pPr>
          </w:p>
        </w:tc>
        <w:tc>
          <w:tcPr>
            <w:tcW w:w="11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1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690,343</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702,703</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691,821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709,872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346,831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had issued Private Placement Warrants (as defined below) to acquire shares of the Company's Class A Common Stock in connection with its initial public offering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which Private Placement Warrants had a five-year term and expired in October 2023. During fiscal year 2023, all Private Placement Warrants were exercised by the warrant holders.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7" w:name="page18"/>
    <w:bookmarkEnd w:id="17"/>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summarizes the change in fair value of Private Placement Warrant liabilities included in net income and the impact of exercises during the three and nine months ended September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9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5"/>
                <w:szCs w:val="15"/>
                <w:color w:val="auto"/>
              </w:rPr>
            </w:pPr>
          </w:p>
        </w:tc>
        <w:tc>
          <w:tcPr>
            <w:tcW w:w="21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80" w:type="dxa"/>
            <w:vAlign w:val="bottom"/>
          </w:tcPr>
          <w:p>
            <w:pPr>
              <w:spacing w:after="0"/>
              <w:rPr>
                <w:sz w:val="15"/>
                <w:szCs w:val="15"/>
                <w:color w:val="auto"/>
              </w:rPr>
            </w:pPr>
          </w:p>
        </w:tc>
        <w:tc>
          <w:tcPr>
            <w:tcW w:w="19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260" w:type="dxa"/>
            <w:vAlign w:val="bottom"/>
          </w:tcPr>
          <w:p>
            <w:pPr>
              <w:spacing w:after="0"/>
              <w:rPr>
                <w:sz w:val="20"/>
                <w:szCs w:val="20"/>
                <w:color w:val="auto"/>
              </w:rPr>
            </w:pP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(553 )</w:t>
            </w:r>
          </w:p>
        </w:tc>
        <w:tc>
          <w:tcPr>
            <w:tcW w:w="2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26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(4,877 )</w:t>
            </w:r>
          </w:p>
        </w:tc>
        <w:tc>
          <w:tcPr>
            <w:tcW w:w="28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(49,032 )</w:t>
            </w:r>
          </w:p>
        </w:tc>
      </w:tr>
      <w:tr>
        <w:trPr>
          <w:trHeight w:val="236"/>
        </w:trPr>
        <w:tc>
          <w:tcPr>
            <w:tcW w:w="20" w:type="dxa"/>
            <w:vAlign w:val="bottom"/>
            <w:tcBorders>
              <w:top w:val="single" w:sz="8" w:color="CFF0FC"/>
            </w:tcBorders>
          </w:tcPr>
          <w:p>
            <w:pPr>
              <w:spacing w:after="0"/>
              <w:rPr>
                <w:sz w:val="20"/>
                <w:szCs w:val="20"/>
                <w:color w:val="auto"/>
              </w:rPr>
            </w:pPr>
          </w:p>
        </w:tc>
        <w:tc>
          <w:tcPr>
            <w:tcW w:w="660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-187960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change in fair value of private placement warrants consisted of adjustments related to the unexercised Private Placement Warrants re-measured to fair value as of September 30, 2023 and the final mark-to-market adjustments for the exercised warrants. During the nine months ended September 30, 2023, there were approximately 6.7 million exercises of Private Placement Warrants which reduced our private placement warrant liabilities by $49.0 million with an offset to common stock at par value and the remaining to additional paid in capital.</w:t>
      </w:r>
    </w:p>
    <w:p>
      <w:pPr>
        <w:spacing w:after="0" w:line="29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$2.1 million as of September 30, 2024 and as of December 31, 2023,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nine months ended September 30, 2024.</w:t>
      </w:r>
    </w:p>
    <w:p>
      <w:pPr>
        <w:spacing w:after="0" w:line="290"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was classified within level 2 of the fair value hierarchy. The following presents the changes in the fair value of the interest rate swap in the gross balances within the below line items for the respective periods: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30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(799 )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(689 )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(370 )</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(204 )</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(627 )</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21"/>
                <w:szCs w:val="21"/>
                <w:color w:val="auto"/>
              </w:rPr>
            </w:pPr>
          </w:p>
        </w:tc>
      </w:tr>
      <w:tr>
        <w:trPr>
          <w:trHeight w:val="236"/>
        </w:trPr>
        <w:tc>
          <w:tcPr>
            <w:tcW w:w="20" w:type="dxa"/>
            <w:vAlign w:val="bottom"/>
            <w:tcBorders>
              <w:top w:val="single" w:sz="8" w:color="CFF0FC"/>
            </w:tcBorders>
          </w:tcPr>
          <w:p>
            <w:pPr>
              <w:spacing w:after="0"/>
              <w:rPr>
                <w:sz w:val="20"/>
                <w:szCs w:val="20"/>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(977 )</w:t>
            </w:r>
          </w:p>
        </w:tc>
      </w:tr>
      <w:tr>
        <w:trPr>
          <w:trHeight w:val="236"/>
        </w:trPr>
        <w:tc>
          <w:tcPr>
            <w:tcW w:w="20" w:type="dxa"/>
            <w:vAlign w:val="bottom"/>
            <w:tcBorders>
              <w:top w:val="single" w:sz="8" w:color="CFF0FC"/>
            </w:tcBorders>
          </w:tcPr>
          <w:p>
            <w:pPr>
              <w:spacing w:after="0"/>
              <w:rPr>
                <w:sz w:val="20"/>
                <w:szCs w:val="20"/>
                <w:color w:val="auto"/>
              </w:rPr>
            </w:pPr>
          </w:p>
        </w:tc>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-1814830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-1814830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-1814830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-1009650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-1009650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-1009650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-187960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-187960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t xml:space="preserve">The Company separately classified the current and non-current components based on the value of settlements due within 12 months (current) and greater than 12 months (non-current). The Company exercised its option to cancel the interest rate swap as of September 30, 2024. Refer to Note 2,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281"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8" w:name="page19"/>
    <w:bookmarkEnd w:id="18"/>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2"/>
        </w:trPr>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3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34,732</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98,104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164,735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165,676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156,196</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169,497</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168,318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157,133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r>
      <w:tr>
        <w:trPr>
          <w:trHeight w:val="215"/>
        </w:trPr>
        <w:tc>
          <w:tcPr>
            <w:tcW w:w="20" w:type="dxa"/>
            <w:vAlign w:val="bottom"/>
            <w:shd w:val="clear" w:color="auto" w:fill="CFF0FC"/>
          </w:tcPr>
          <w:p>
            <w:pPr>
              <w:spacing w:after="0"/>
              <w:rPr>
                <w:sz w:val="18"/>
                <w:szCs w:val="18"/>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net income per</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ASR shares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r>
      <w:tr>
        <w:trPr>
          <w:trHeight w:val="243"/>
        </w:trPr>
        <w:tc>
          <w:tcPr>
            <w:tcW w:w="20" w:type="dxa"/>
            <w:vAlign w:val="bottom"/>
            <w:shd w:val="clear" w:color="auto" w:fill="CFF0FC"/>
          </w:tcPr>
          <w:p>
            <w:pPr>
              <w:spacing w:after="0"/>
              <w:rPr>
                <w:sz w:val="21"/>
                <w:szCs w:val="21"/>
                <w:color w:val="auto"/>
              </w:rPr>
            </w:pPr>
          </w:p>
        </w:tc>
        <w:tc>
          <w:tcPr>
            <w:tcW w:w="46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6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-1566545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-1566545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-1566545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-187960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4885690</wp:posOffset>
            </wp:positionH>
            <wp:positionV relativeFrom="paragraph">
              <wp:posOffset>-187960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-187960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left="1020" w:hanging="504"/>
        <w:spacing w:after="0" w:line="26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represents the number of additional estimated shares the counterparties to the Company’s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initiated in the third quarter of 2023 would have been required to deliver had the ASR been settled as of September 30, 2023. The final settlement occurred in the first quarter of 2024, at which time, the Company received 534,499 additional shares calculated using a volume-weighted average price over the term of the ASR agreement.</w:t>
      </w:r>
    </w:p>
    <w:p>
      <w:pPr>
        <w:spacing w:after="0" w:line="28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77"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74"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Company’s effective income tax rate was 28.4% and 27.5% for the three months ended September 30, 2024 and 2023, respectively, and 27.4% and 37.1% for the nine months ended September 30, 2024 and 2023, respectively. The primary driver for the effective tax rate variance is the permanent difference related to the mark-to-market adjustments on the Private Placement Warrants that impacted the rate in the prior year periods without a comparable impact in the current periods.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As of September 30, 2023, all warrants that were outstanding to acquire shares of the Company’s Class A Common Stock, including warrants originally issued to Gores Sponsor II, LLC in a private placement in connection with the IPO (the “</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and the remaining warrants issued in connection with the IPO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were either exercised by the holder or redeemed by the Company.</w:t>
      </w:r>
    </w:p>
    <w:p>
      <w:pPr>
        <w:spacing w:after="0" w:line="74"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processed the exercise of 20.0 million Warrants in exchange for the issuance of 16,273,406 shares of Class A Common Stock. There were 14,035,449 shares issued in exchange for cash-basis warrant exercises resulting in the receipt of $161.4 million in cash proceeds as of September 30, 2023. The remaining Warrant exercises were completed on a cashless basis. In addition, the Company redeemed 634 Public Warrants at a price of $0.01 per warrant pursuant to the terms of the warrant agreement governing the Public Warrants.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over an 18-month period in open market, ASR or privately negotiated transactions, each as permitted under applicable rules and regulations, any of which may use pre-arranged trading plans that are designed to meet the requirements of Rule 10b5-1 of the Exchange Act.</w:t>
      </w:r>
    </w:p>
    <w:p>
      <w:pPr>
        <w:spacing w:after="0" w:line="7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paid $8.1 million to repurchase 449,432 shares of its Class A Common Stock through open market transactions during the three months ended September 2023, which it subsequently retired. In September 2023, the Company used the remaining availability under the share repurchase program for an ASR and paid approximately $91.9 million to receive an initial delivery of 4,131,551 shares of its Class A Common Stock in accordance with an ASR agreement with a third-party financial institution. The final settlement occurred on January 12, 2024, at which time, the Company received 534,499 additional shares calculated using a volume-weighted average price over the term of the ASR agreement.</w:t>
      </w:r>
    </w:p>
    <w:p>
      <w:pPr>
        <w:spacing w:after="0" w:line="7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paid a total of $100.0 million for share repurchases during the three and nine months ended September 30, 2023, and accounted for the transactions by deducting the par value of the Class A Common Stock from the Company’s common stock, reducing $15.2 million from additional paid-in capital calculated using an average share price, and by increasing accumulated deficit for the remaining cost of $84.8 million. In connection with the final settlement, the Company reduced the par value of the Class A Common Stock from common stock and $1.8 million from additional paid-in capital calculated using an average share price, with an offset of $1.8 million to accumulated deficit on the condensed consolidated statements of stockholders' equity during the nine months ended September 30, 2024.</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Company’s Board of Directors authorized a new share repurchase program for up to an aggregate amount of $100.0 million of its outstanding shares of Class A Common Stock over an 18-month period in open market, ASR or privately negotiated transactions.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June 6, 2024, the Company entered into a share repurchase agreement with a stockholder, pursuant to which the Company repurchased, directly from the stockholder, 2.0 million shares of the Company’s Class A Common Stock for an aggregate purchase price of $51.5 million. The repurchased shares were subsequently retired. In addition, the Company recorded approximately $0.4 million within accrued liabilities for direct costs related to the excise tax payable on net share repurchases on the condensed consolidated balance sheets as of September 30, 2024. In connection with this repurchase, the Company reduced the par value from common stock and $6.7 million from additional paid-in capital calculated using an average share price, with an increase of $45.2 million to accumulated deficit on the condensed consolidated statements of stockholders' equity. As of September 30, 2024, $48.5 million remains available under the Company’s authorized share repurchase program.</w:t>
      </w:r>
    </w:p>
    <w:p>
      <w:pPr>
        <w:spacing w:after="0" w:line="290"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4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9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21"/>
                <w:szCs w:val="21"/>
                <w:color w:val="auto"/>
              </w:rPr>
            </w:pPr>
          </w:p>
        </w:tc>
      </w:tr>
      <w:tr>
        <w:trPr>
          <w:trHeight w:val="276"/>
        </w:trPr>
        <w:tc>
          <w:tcPr>
            <w:tcW w:w="20" w:type="dxa"/>
            <w:vAlign w:val="bottom"/>
            <w:shd w:val="clear" w:color="auto" w:fill="CFF0FC"/>
          </w:tcPr>
          <w:p>
            <w:pPr>
              <w:spacing w:after="0"/>
              <w:rPr>
                <w:sz w:val="24"/>
                <w:szCs w:val="24"/>
                <w:color w:val="auto"/>
              </w:rPr>
            </w:pPr>
          </w:p>
        </w:tc>
        <w:tc>
          <w:tcPr>
            <w:tcW w:w="45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shd w:val="clear" w:color="auto" w:fill="CFF0FC"/>
          </w:tcPr>
          <w:p>
            <w:pPr>
              <w:spacing w:after="0"/>
              <w:rPr>
                <w:sz w:val="24"/>
                <w:szCs w:val="24"/>
                <w:color w:val="auto"/>
              </w:rPr>
            </w:pPr>
          </w:p>
        </w:tc>
      </w:tr>
      <w:tr>
        <w:trPr>
          <w:trHeight w:val="736"/>
        </w:trPr>
        <w:tc>
          <w:tcPr>
            <w:tcW w:w="2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35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-1001395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-984250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-1001395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-984250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-1001395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-984250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Other Significant Transactions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TRA.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spacing w:after="0" w:line="76"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At September 30, 2024, the TRA liability was approximately $53.5 million of which $5.1 million was the current portion and $48.4 million was the non-current portion, both of which are included in the respective tax receivable agreement liability line items on the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Agreement</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Agreement and Plan of Merger (as 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pursuant to which the Company became the owner, directly or indirectly, of all of the equity interests of Verra Mobility Holdings, LLC and its subsidiaries, PE Greenlight Holdings, LLC was entitled to receive additional shares of Class A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if the volume weighted average closing sale price of one share of Class A Common Stock on the Nasdaq exceeded certain defined thresholds for a period of at least 10 days out of 20 consecutive trading days at any time during a five-year period. There were four tranches of contingent shares under the agreement, with each tranche resulting in an issuance of 2,500,000 shares of Class A Common Stock (not to exceed a total of 10,000,000 shares). On June 14, 2023 and July 26, 2023, the criteria for the issuance of the remaining tranches of Earn-out Shares was met and the Company issued an aggregate 5,000,000 shares, which resulted in an increase in the Company's common stock and additional paid-in capital accounts of approximately $36.6 million with a corresponding decrease to the common stock contingent consideration account. As of September 30, 2023, all contingent shares have been issued under the Merger Agreement.</w:t>
      </w:r>
    </w:p>
    <w:p>
      <w:pPr>
        <w:spacing w:after="0" w:line="294"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0"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$2.5 million of bank guarantees at September 30, 2024 required to support bids and contracts with certain international customers.</w:t>
      </w:r>
    </w:p>
    <w:p>
      <w:pPr>
        <w:spacing w:after="0" w:line="11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 Company has non-cancelable purchase commitments to certain vendors. The aggregate non-cancelable purchase commitments outstanding at September 30, 2024 were $33.7 million. The majority of these outstanding commitments are expected to be incurred in the next twelve months, and approximately $9.6 million is expected to be incurred subsequent to September 30, 2025.</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Other than the PlusPass matter discussed below, the Company has determined that resolution of the remaining pending matters is not probable to have a material adverse impact on its consolidated results of operations, cash flows, or financial position.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 w:name="page22"/>
    <w:bookmarkEnd w:id="21"/>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Merits discovery in the trial court is underway. Trial is expected to occur in March 2025. Based on the information available to the Company at present, the Company is unable to estimate a reasonably possible range of loss for this action and, accordingly, it has not accrued any liability associated with this action.</w:t>
      </w:r>
    </w:p>
    <w:p>
      <w:pPr>
        <w:spacing w:after="0" w:line="76"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PlusPass Inc. (“</w:t>
      </w:r>
      <w:r>
        <w:rPr>
          <w:rFonts w:ascii="Times New Roman" w:cs="Times New Roman" w:eastAsia="Times New Roman" w:hAnsi="Times New Roman"/>
          <w:sz w:val="18"/>
          <w:szCs w:val="18"/>
          <w:b w:val="1"/>
          <w:bCs w:val="1"/>
          <w:i w:val="1"/>
          <w:iCs w:val="1"/>
          <w:color w:val="auto"/>
        </w:rPr>
        <w:t>PlusPass</w:t>
      </w:r>
      <w:r>
        <w:rPr>
          <w:rFonts w:ascii="Times New Roman" w:cs="Times New Roman" w:eastAsia="Times New Roman" w:hAnsi="Times New Roman"/>
          <w:sz w:val="18"/>
          <w:szCs w:val="18"/>
          <w:i w:val="1"/>
          <w:iCs w:val="1"/>
          <w:color w:val="auto"/>
        </w:rPr>
        <w:t xml:space="preserve">”) v. Verra Mobility Corporation, et al. </w:t>
      </w:r>
      <w:r>
        <w:rPr>
          <w:rFonts w:ascii="Times New Roman" w:cs="Times New Roman" w:eastAsia="Times New Roman" w:hAnsi="Times New Roman"/>
          <w:sz w:val="18"/>
          <w:szCs w:val="18"/>
          <w:color w:val="auto"/>
        </w:rPr>
        <w:t>is a lawsuit filed in the United States District Court, Central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Verra Mobility, The Gores Group LLC, Platinum Equity LLC and ATS Processing Services, Inc., in November 2020. In February 2024, Verra Mobility and PlusPass entered into a confidential business arrangement pursuant to which Verra Mobility (i) acquired certain assets from PlusPass and (ii) fully and finally resolved all litigation and disputes between the parties. Verra Mobility accrued $31.5 million for this matter at December 31, 2023 which was presented within selling, general and administrative expenses on the consolidated statements of operations, and payment was made during the first quarter of 2024.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 The Company defines the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as its Chief Executive Officer. The Company’s CODM monitors operating performance, allocates resources and deploys capital based on these three segments.</w:t>
      </w:r>
    </w:p>
    <w:p>
      <w:pPr>
        <w:spacing w:after="0" w:line="7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7"/>
                <w:szCs w:val="17"/>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109,139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109,139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95,851</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225,551</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(3,977 )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(445 )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(4,272 )</w:t>
            </w:r>
          </w:p>
        </w:tc>
      </w:tr>
      <w:tr>
        <w:trPr>
          <w:trHeight w:val="238"/>
        </w:trPr>
        <w:tc>
          <w:tcPr>
            <w:tcW w:w="20" w:type="dxa"/>
            <w:vAlign w:val="bottom"/>
            <w:tcBorders>
              <w:top w:val="single" w:sz="8" w:color="CFF0FC"/>
            </w:tcBorders>
          </w:tcPr>
          <w:p>
            <w:pPr>
              <w:spacing w:after="0"/>
              <w:rPr>
                <w:sz w:val="20"/>
                <w:szCs w:val="20"/>
                <w:color w:val="auto"/>
              </w:rPr>
            </w:pPr>
          </w:p>
        </w:tc>
        <w:tc>
          <w:tcPr>
            <w:tcW w:w="48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72,867</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104,697</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104,697</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100" w:type="dxa"/>
            <w:vAlign w:val="bottom"/>
          </w:tcPr>
          <w:p>
            <w:pPr>
              <w:spacing w:after="0"/>
              <w:rPr>
                <w:sz w:val="20"/>
                <w:szCs w:val="20"/>
                <w:color w:val="auto"/>
              </w:rPr>
            </w:pPr>
          </w:p>
        </w:tc>
      </w:tr>
      <w:tr>
        <w:trPr>
          <w:trHeight w:val="256"/>
        </w:trPr>
        <w:tc>
          <w:tcPr>
            <w:tcW w:w="20" w:type="dxa"/>
            <w:vAlign w:val="bottom"/>
            <w:shd w:val="clear" w:color="auto" w:fill="CFF0FC"/>
          </w:tcPr>
          <w:p>
            <w:pPr>
              <w:spacing w:after="0"/>
              <w:rPr>
                <w:sz w:val="22"/>
                <w:szCs w:val="22"/>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72,867</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3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(56,204 )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48,493</w:t>
            </w:r>
          </w:p>
        </w:tc>
        <w:tc>
          <w:tcPr>
            <w:tcW w:w="100" w:type="dxa"/>
            <w:vAlign w:val="bottom"/>
            <w:shd w:val="clear" w:color="auto" w:fill="CFF0FC"/>
          </w:tcPr>
          <w:p>
            <w:pPr>
              <w:spacing w:after="0"/>
              <w:rPr>
                <w:sz w:val="22"/>
                <w:szCs w:val="22"/>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7"/>
                <w:szCs w:val="17"/>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98,149</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85,092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8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98,149</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90,285</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209,933</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15,181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(4,418 )</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(4,498 )</w:t>
            </w:r>
          </w:p>
        </w:tc>
      </w:tr>
      <w:tr>
        <w:trPr>
          <w:trHeight w:val="238"/>
        </w:trPr>
        <w:tc>
          <w:tcPr>
            <w:tcW w:w="20" w:type="dxa"/>
            <w:vAlign w:val="bottom"/>
            <w:tcBorders>
              <w:top w:val="single" w:sz="8" w:color="CFF0FC"/>
            </w:tcBorders>
          </w:tcPr>
          <w:p>
            <w:pPr>
              <w:spacing w:after="0"/>
              <w:rPr>
                <w:sz w:val="20"/>
                <w:szCs w:val="20"/>
                <w:color w:val="auto"/>
              </w:rPr>
            </w:pPr>
          </w:p>
        </w:tc>
        <w:tc>
          <w:tcPr>
            <w:tcW w:w="488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65,282</w:t>
            </w:r>
          </w:p>
        </w:tc>
        <w:tc>
          <w:tcPr>
            <w:tcW w:w="30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97,378</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97,378</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(553 )</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(553 )</w:t>
            </w: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65,282</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(55,573 )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-6266815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-6266815</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-6266815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-6266815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-6266815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-4683125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-4665980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-4683125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-4665980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-4683125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-4665980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-4683125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-4665980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-4683125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-4665980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-2670810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-2670810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-2670810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-2670810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-1095375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-1095375</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-1095375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-1095375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60" w:type="dxa"/>
            <w:vAlign w:val="bottom"/>
          </w:tcPr>
          <w:p>
            <w:pPr>
              <w:spacing w:after="0"/>
              <w:rPr>
                <w:sz w:val="17"/>
                <w:szCs w:val="17"/>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309,013</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632,005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25,702</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309,013</w:t>
            </w:r>
          </w:p>
        </w:tc>
        <w:tc>
          <w:tcPr>
            <w:tcW w:w="32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287,753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60,941</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657,707</w:t>
            </w:r>
          </w:p>
        </w:tc>
        <w:tc>
          <w:tcPr>
            <w:tcW w:w="10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218,383</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(13,473 )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(532 )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(13,970 )</w:t>
            </w:r>
          </w:p>
        </w:tc>
      </w:tr>
      <w:tr>
        <w:trPr>
          <w:trHeight w:val="238"/>
        </w:trPr>
        <w:tc>
          <w:tcPr>
            <w:tcW w:w="20" w:type="dxa"/>
            <w:vAlign w:val="bottom"/>
            <w:tcBorders>
              <w:top w:val="single" w:sz="8" w:color="CFF0FC"/>
            </w:tcBorders>
          </w:tcPr>
          <w:p>
            <w:pPr>
              <w:spacing w:after="0"/>
              <w:rPr>
                <w:sz w:val="20"/>
                <w:szCs w:val="20"/>
                <w:color w:val="auto"/>
              </w:rPr>
            </w:pPr>
          </w:p>
        </w:tc>
        <w:tc>
          <w:tcPr>
            <w:tcW w:w="47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3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87,124</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299,626</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299,626</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00" w:type="dxa"/>
            <w:vAlign w:val="bottom"/>
          </w:tcPr>
          <w:p>
            <w:pPr>
              <w:spacing w:after="0"/>
              <w:rPr>
                <w:sz w:val="20"/>
                <w:szCs w:val="20"/>
                <w:color w:val="auto"/>
              </w:rPr>
            </w:pPr>
          </w:p>
        </w:tc>
      </w:tr>
      <w:tr>
        <w:trPr>
          <w:trHeight w:val="276"/>
        </w:trPr>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4720" w:type="dxa"/>
            <w:vAlign w:val="bottom"/>
            <w:tcBorders>
              <w:top w:val="single" w:sz="8" w:color="CFF0FC"/>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203,165</w:t>
            </w:r>
          </w:p>
        </w:tc>
        <w:tc>
          <w:tcPr>
            <w:tcW w:w="320" w:type="dxa"/>
            <w:vAlign w:val="bottom"/>
            <w:tcBorders>
              <w:top w:val="single" w:sz="8" w:color="CFF0FC"/>
              <w:left w:val="single" w:sz="8" w:color="CFF0FC"/>
              <w:bottom w:val="single" w:sz="8" w:color="CFF0FC"/>
              <w:right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87,124</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8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(164,569</w:t>
            </w:r>
          </w:p>
        </w:tc>
        <w:tc>
          <w:tcPr>
            <w:tcW w:w="260" w:type="dxa"/>
            <w:vAlign w:val="bottom"/>
            <w:tcBorders>
              <w:top w:val="single" w:sz="8" w:color="CFF0FC"/>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135,057</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55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6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60" w:type="dxa"/>
            <w:vAlign w:val="bottom"/>
          </w:tcPr>
          <w:p>
            <w:pPr>
              <w:spacing w:after="0"/>
              <w:rPr>
                <w:sz w:val="17"/>
                <w:szCs w:val="17"/>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6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5"/>
                <w:szCs w:val="15"/>
                <w:color w:val="auto"/>
              </w:rPr>
            </w:pPr>
          </w:p>
        </w:tc>
        <w:tc>
          <w:tcPr>
            <w:tcW w:w="12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278,243</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581,777</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24,520</w:t>
            </w:r>
          </w:p>
        </w:tc>
        <w:tc>
          <w:tcPr>
            <w:tcW w:w="100" w:type="dxa"/>
            <w:vAlign w:val="bottom"/>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47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278,243</w:t>
            </w:r>
          </w:p>
        </w:tc>
        <w:tc>
          <w:tcPr>
            <w:tcW w:w="32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264,462</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63,592</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606,297</w:t>
            </w:r>
          </w:p>
        </w:tc>
        <w:tc>
          <w:tcPr>
            <w:tcW w:w="10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w:t>
            </w:r>
          </w:p>
        </w:tc>
        <w:tc>
          <w:tcPr>
            <w:tcW w:w="100" w:type="dxa"/>
            <w:vAlign w:val="bottom"/>
          </w:tcPr>
          <w:p>
            <w:pPr>
              <w:spacing w:after="0"/>
              <w:rPr>
                <w:sz w:val="20"/>
                <w:szCs w:val="20"/>
                <w:color w:val="auto"/>
              </w:rPr>
            </w:pPr>
          </w:p>
        </w:tc>
      </w:tr>
      <w:tr>
        <w:trPr>
          <w:trHeight w:val="249"/>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194,866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320" w:type="dxa"/>
            <w:vAlign w:val="bottom"/>
            <w:tcBorders>
              <w:left w:val="single" w:sz="8" w:color="CFF0FC"/>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111,865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(12,372 )</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(325 )</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(12,766 )</w:t>
            </w:r>
          </w:p>
        </w:tc>
      </w:tr>
      <w:tr>
        <w:trPr>
          <w:trHeight w:val="238"/>
        </w:trPr>
        <w:tc>
          <w:tcPr>
            <w:tcW w:w="20" w:type="dxa"/>
            <w:vAlign w:val="bottom"/>
            <w:tcBorders>
              <w:top w:val="single" w:sz="8" w:color="CFF0FC"/>
            </w:tcBorders>
          </w:tcPr>
          <w:p>
            <w:pPr>
              <w:spacing w:after="0"/>
              <w:rPr>
                <w:sz w:val="20"/>
                <w:szCs w:val="20"/>
                <w:color w:val="auto"/>
              </w:rPr>
            </w:pPr>
          </w:p>
        </w:tc>
        <w:tc>
          <w:tcPr>
            <w:tcW w:w="472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179,931</w:t>
            </w:r>
          </w:p>
        </w:tc>
        <w:tc>
          <w:tcPr>
            <w:tcW w:w="3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26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2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280,222</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20" w:type="dxa"/>
            <w:vAlign w:val="bottom"/>
            <w:shd w:val="clear" w:color="auto" w:fill="CFF0FC"/>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179,931</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280,222</w:t>
            </w: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86,835</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and other related expenses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Transformation expenses</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(1,947 )</w:t>
            </w: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(1,947 )</w:t>
            </w:r>
          </w:p>
        </w:tc>
      </w:tr>
      <w:tr>
        <w:trPr>
          <w:trHeight w:val="247"/>
        </w:trPr>
        <w:tc>
          <w:tcPr>
            <w:tcW w:w="20" w:type="dxa"/>
            <w:vAlign w:val="bottom"/>
            <w:shd w:val="clear" w:color="auto" w:fill="CFF0FC"/>
          </w:tcPr>
          <w:p>
            <w:pPr>
              <w:spacing w:after="0"/>
              <w:rPr>
                <w:sz w:val="21"/>
                <w:szCs w:val="21"/>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FF0FC"/>
          </w:tcPr>
          <w:p>
            <w:pPr>
              <w:spacing w:after="0"/>
              <w:rPr>
                <w:sz w:val="21"/>
                <w:szCs w:val="21"/>
                <w:color w:val="auto"/>
              </w:rPr>
            </w:pPr>
          </w:p>
        </w:tc>
        <w:tc>
          <w:tcPr>
            <w:tcW w:w="134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00" w:type="dxa"/>
            <w:vAlign w:val="bottom"/>
          </w:tcPr>
          <w:p>
            <w:pPr>
              <w:spacing w:after="0"/>
              <w:rPr>
                <w:sz w:val="20"/>
                <w:szCs w:val="20"/>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47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FF0FC"/>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179,931</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(194,365 )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85,857</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-6438265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-6438265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-6438265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-6438265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-6438265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-4853940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-4837430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-5017135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-4853940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-4837430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-5017135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-4853940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-4837430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-5017135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-4853940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-4837430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-5017135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-4853940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-4837430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-5017135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-2670810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-2670810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-2670810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-2670810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-2670810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3763645</wp:posOffset>
            </wp:positionH>
            <wp:positionV relativeFrom="paragraph">
              <wp:posOffset>-1095375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-1095375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-1095375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-1095375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The table below details the following assets by reportable segment as of the respective period-ends: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8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0" w:type="dxa"/>
            <w:vAlign w:val="bottom"/>
          </w:tcPr>
          <w:p>
            <w:pPr>
              <w:spacing w:after="0"/>
              <w:rPr>
                <w:sz w:val="15"/>
                <w:szCs w:val="15"/>
                <w:color w:val="auto"/>
              </w:rPr>
            </w:pPr>
          </w:p>
        </w:tc>
        <w:tc>
          <w:tcPr>
            <w:tcW w:w="188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Commercials Services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Government Solutions</w:t>
            </w:r>
          </w:p>
        </w:tc>
        <w:tc>
          <w:tcPr>
            <w:tcW w:w="4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110,032</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98,611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Parking Solutions</w:t>
            </w:r>
          </w:p>
        </w:tc>
        <w:tc>
          <w:tcPr>
            <w:tcW w:w="4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62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136,815</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123,248</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6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Commercials Services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718,401</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721,192</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6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Government Solutions</w:t>
            </w:r>
          </w:p>
        </w:tc>
        <w:tc>
          <w:tcPr>
            <w:tcW w:w="4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515,543</w:t>
            </w:r>
          </w:p>
        </w:tc>
        <w:tc>
          <w:tcPr>
            <w:tcW w:w="3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523,687</w:t>
            </w:r>
          </w:p>
        </w:tc>
        <w:tc>
          <w:tcPr>
            <w:tcW w:w="100" w:type="dxa"/>
            <w:vAlign w:val="bottom"/>
            <w:shd w:val="clear" w:color="auto" w:fill="CFF0FC"/>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Parking Solutions</w:t>
            </w:r>
          </w:p>
        </w:tc>
        <w:tc>
          <w:tcPr>
            <w:tcW w:w="40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395,891</w:t>
            </w: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404,267</w:t>
            </w:r>
          </w:p>
        </w:tc>
        <w:tc>
          <w:tcPr>
            <w:tcW w:w="100" w:type="dxa"/>
            <w:vAlign w:val="bottom"/>
          </w:tcPr>
          <w:p>
            <w:pPr>
              <w:spacing w:after="0"/>
              <w:rPr>
                <w:sz w:val="22"/>
                <w:szCs w:val="22"/>
                <w:color w:val="auto"/>
              </w:rPr>
            </w:pP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622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4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220,746</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1,850,581</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1,789,983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-1163955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In addition, refer to Note 4,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for goodwill balances by segment.</w:t>
      </w:r>
    </w:p>
    <w:p>
      <w:pPr>
        <w:spacing w:after="0" w:line="11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Revenues earned from goods transferred to customers at a point in time were approximately $8.3 million and $8.9 million for the three months ended September 30, 2024 and 2023, respectively and were $25.7 million and $24.5 million for the nine months ended September 30, 2024 and 2023, respectively.</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details the revenues from international operations for the respective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3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160" w:type="dxa"/>
            <w:vAlign w:val="bottom"/>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4"/>
                <w:szCs w:val="14"/>
                <w:color w:val="auto"/>
              </w:rPr>
            </w:pPr>
          </w:p>
        </w:tc>
        <w:tc>
          <w:tcPr>
            <w:tcW w:w="1460" w:type="dxa"/>
            <w:vAlign w:val="bottom"/>
            <w:gridSpan w:val="2"/>
          </w:tcPr>
          <w:p>
            <w:pPr>
              <w:jc w:val="right"/>
              <w:ind w:right="30"/>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268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32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28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28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3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1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17,585</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1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0"/>
                <w:szCs w:val="20"/>
                <w:color w:val="auto"/>
              </w:rPr>
            </w:pPr>
          </w:p>
        </w:tc>
      </w:tr>
      <w:tr>
        <w:trPr>
          <w:trHeight w:val="280"/>
        </w:trPr>
        <w:tc>
          <w:tcPr>
            <w:tcW w:w="20" w:type="dxa"/>
            <w:vAlign w:val="bottom"/>
            <w:tcBorders>
              <w:bottom w:val="single" w:sz="8" w:color="CFF0FC"/>
            </w:tcBorders>
            <w:shd w:val="clear" w:color="auto" w:fill="CFF0FC"/>
          </w:tcPr>
          <w:p>
            <w:pPr>
              <w:spacing w:after="0"/>
              <w:rPr>
                <w:sz w:val="24"/>
                <w:szCs w:val="24"/>
                <w:color w:val="auto"/>
              </w:rPr>
            </w:pPr>
          </w:p>
        </w:tc>
        <w:tc>
          <w:tcPr>
            <w:tcW w:w="36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16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28,355</w:t>
            </w:r>
          </w:p>
        </w:tc>
        <w:tc>
          <w:tcPr>
            <w:tcW w:w="3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25,927</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83,577</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Amendment to 2021 Term Loan</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discussed in the Current Report on 8-K filed with the SEC dated October 3, 2024, the Company amended the 2021 Term Loan agreement to refinance the entire outstanding amount under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in October 2024 and incurred new Term B-3 Loans (the “</w:t>
      </w:r>
      <w:r>
        <w:rPr>
          <w:rFonts w:ascii="Times New Roman" w:cs="Times New Roman" w:eastAsia="Times New Roman" w:hAnsi="Times New Roman"/>
          <w:sz w:val="18"/>
          <w:szCs w:val="18"/>
          <w:b w:val="1"/>
          <w:bCs w:val="1"/>
          <w:i w:val="1"/>
          <w:iCs w:val="1"/>
          <w:color w:val="auto"/>
        </w:rPr>
        <w:t>New Term Loans</w:t>
      </w:r>
      <w:r>
        <w:rPr>
          <w:rFonts w:ascii="Times New Roman" w:cs="Times New Roman" w:eastAsia="Times New Roman" w:hAnsi="Times New Roman"/>
          <w:sz w:val="18"/>
          <w:szCs w:val="18"/>
          <w:color w:val="auto"/>
        </w:rPr>
        <w:t>”) in the aggregate principal amount of $700.1 million. The proceeds from the New Term Loans were used in their entirety to prepay in full the then outstanding principal amount of the existing term loan under the 2021 Term Loan agreement. In connection with the Fourth Amendment, the interest rate on the approximately $700.1 million outstanding balance of the New Term Loans was reduced by 50 basis points to SOFR + 2.25% from SOFR + 2.75% with the SOFR floor unchanged at 0.00%. The New Term Loans will be subject to a prepayment premium of 1.00% of the principal amount repaid for any voluntary prepayment or mandatory prepayment with proceeds of debt that has a lower effective yield than the New Term Loans or any amendment to the New Term Loans that reduces the interest rate thereon, in each case, to the extent occurring within six months of the effective date of the Fourth Amendment. The maturity date for the 2021 Term Loan agreement remains March 24, 2028, and no changes were made to the financial covenants or other debt repayment terms.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together with our Annual Report, and our financial statements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believe 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spacing w:after="0" w:line="7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and legislation regarding the adoption, expansion or prohibition of automated enforcement and traffic safety technology by local or state governments. We continue to monitor the potential favorable or unfavorable impacts of these and other factors on our business, operations, financial condition, and future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operate under long-term contracts and a highly reoccurring service revenue model. We continue to execute our strategy to grow revenue organically year over year and focus on initiatives that support our long-term vision. During the periods presented, we:</w:t>
      </w:r>
    </w:p>
    <w:p>
      <w:pPr>
        <w:spacing w:after="0" w:line="55" w:lineRule="exact"/>
        <w:rPr>
          <w:sz w:val="20"/>
          <w:szCs w:val="20"/>
          <w:color w:val="auto"/>
        </w:rPr>
      </w:pPr>
    </w:p>
    <w:p>
      <w:pPr>
        <w:jc w:val="both"/>
        <w:ind w:left="1020" w:hanging="504"/>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$51.4 million, or 8.5%, from $606.3 million in the nine months ended September 30, 2023 to $657.7 million in the same period in 2024. The increase was mainly due to service revenue resulting from increased travel volume in the Commercial Services segment and the growth from speed, red light and maintenance programs in the Government Solutions segment.</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$183.2 million and $170.4 million for the nine months ended September 30, 2024 and 2023, respectively. Our cash on hand was $206.1 million as of September 30, 2024.</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focus on debt management and lowering our exposure to higher interest rates, and as a result, we refinanced our debt and reduced our interest rate by 50 basis points and made early repayments of approximately $4.5 million on our 2021 Term Loan during the nine months ended September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the Interest Rate Swap</w:t>
      </w:r>
    </w:p>
    <w:p>
      <w:pPr>
        <w:spacing w:after="0" w:line="11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 xml:space="preserve">We exercised our option to cancel the interest rate swap agreement, effective September 30, 2024, which was previously used to hedge our exposure to higher interest rates associated with the variable portion of the interest rate on our 2021 Term Loan.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Part I, Item 1, Financial Statements,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October 2023, our Board of Directors authorized a new share repurchase program for up to an aggregate amount of $100.0 million of our outstanding shares of Class A Common Stock over an 18-month period in open market, ASR or privately negotiated transactions. On June 6, 2024, we entered into a share repurchase agreement with a stockholder, pursuant to which we repurchased, directly from the stockholder, 2.0 million shares of our Class A Common Stock for an aggregate purchase price of $51.5 million. The repurchased shares were subsequently retired. As of September 30, 2024, $48.5 million remains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6" w:name="page27"/>
    <w:bookmarkEnd w:id="26"/>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available under the share repurchase program.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Part I, Item 1, Financial Statements for additional information on our share repurchases.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NYCDOT Contract</w:t>
      </w:r>
    </w:p>
    <w:p>
      <w:pPr>
        <w:spacing w:after="0" w:line="11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New York City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approximately 16% and 17% of our total revenue for the nine months ended September 30, 2024 and 2023, respectively, and 13% and 18% of total accounts receivable, net as of September 30, 2024 and December 31, 2023, respectively. Our contract with NYCDOT expires on December 31, 2024, and we are presently participating in a competitive procurement for a new NYCDOT automated enforcement program contract. We are in discussions with NYCDOT on an extension and expect to conclude those discussions in a way that will allow NYCDOT to continue to utilize our automated enforcement program until the competitive procurement process is completed. However, there is no assurance that we will be successful in extending the contract at the conclusion of its term or winning the competitive procurement for the new automated enforcement contract. If we are unable to extend the contract with NYCDOT or win the competitive procurement for a new contact with NYCDOT, it would have a material adverse effect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Direct Fleets and FMCs in North America. In Europe, we provide tolling and violations processing services.</w:t>
      </w:r>
    </w:p>
    <w:p>
      <w:pPr>
        <w:spacing w:after="0" w:line="5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Our international operations primarily involve the sale of traffic enforcement products and recurring maintenance services related to the equipment and software.</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healthcare facilities and commercial parking operators in the United States and Canada.</w:t>
      </w:r>
    </w:p>
    <w:p>
      <w:pPr>
        <w:spacing w:after="0" w:line="163"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8"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73"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subscription fees, professional services and citation processing services related to parking management solutions to its customers.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27" w:name="page28"/>
    <w:bookmarkEnd w:id="27"/>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service costs, collection and other third-party costs in our segments.</w:t>
      </w:r>
    </w:p>
    <w:p>
      <w:pPr>
        <w:spacing w:after="0" w:line="15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hardware sold to Parking Solutions customers.</w:t>
      </w:r>
    </w:p>
    <w:p>
      <w:pPr>
        <w:spacing w:after="0" w:line="15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59" w:lineRule="exact"/>
        <w:rPr>
          <w:sz w:val="20"/>
          <w:szCs w:val="20"/>
          <w:color w:val="auto"/>
        </w:rPr>
      </w:pPr>
    </w:p>
    <w:p>
      <w:pPr>
        <w:jc w:val="both"/>
        <w:ind w:right="2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and general corporate expenses.</w:t>
      </w:r>
    </w:p>
    <w:p>
      <w:pPr>
        <w:spacing w:after="0" w:line="159"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25"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Change in fair value of private placement warrants consists of liability adjustments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Private Placement Warrants originally issued to Gores Sponsor II, LLC re-measured to fair value at the end of the reporting period, and the final re-measurement upon their exercise.</w:t>
      </w:r>
    </w:p>
    <w:p>
      <w:pPr>
        <w:spacing w:after="0" w:line="172"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Loss (Gain) on Interest Rate Swap. </w:t>
      </w:r>
      <w:r>
        <w:rPr>
          <w:rFonts w:ascii="Times New Roman" w:cs="Times New Roman" w:eastAsia="Times New Roman" w:hAnsi="Times New Roman"/>
          <w:sz w:val="18"/>
          <w:szCs w:val="18"/>
          <w:color w:val="auto"/>
        </w:rPr>
        <w:t>Loss (gain) on interest rate swap related to the changes associated with the derivative instrument re-measured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at the end of the reporting period and the related periodic cash receipts or payments.</w:t>
      </w:r>
    </w:p>
    <w:p>
      <w:pPr>
        <w:spacing w:after="0" w:line="15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5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credit card transactions, gains or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transactions and other non-operating expenses.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121"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4"/>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40" w:type="dxa"/>
            <w:vAlign w:val="bottom"/>
          </w:tcPr>
          <w:p>
            <w:pPr>
              <w:spacing w:after="0"/>
              <w:rPr>
                <w:sz w:val="11"/>
                <w:szCs w:val="11"/>
                <w:color w:val="auto"/>
              </w:rPr>
            </w:pPr>
          </w:p>
        </w:tc>
        <w:tc>
          <w:tcPr>
            <w:tcW w:w="1760" w:type="dxa"/>
            <w:vAlign w:val="bottom"/>
            <w:gridSpan w:val="4"/>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top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217,267</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201,029</w:t>
            </w:r>
          </w:p>
        </w:tc>
        <w:tc>
          <w:tcPr>
            <w:tcW w:w="12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96.3 %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95.8 %</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4.2 %</w:t>
            </w:r>
          </w:p>
        </w:tc>
        <w:tc>
          <w:tcPr>
            <w:tcW w:w="2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(620 )</w:t>
            </w:r>
          </w:p>
        </w:tc>
        <w:tc>
          <w:tcPr>
            <w:tcW w:w="3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100.0 %</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5,150</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2.4 %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2.5 %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3.3 %</w:t>
            </w: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(1,243 )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68,873</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33.7 %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32.8 %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42,276</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21.2 %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20.1 %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26,718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27,597</w:t>
            </w:r>
          </w:p>
        </w:tc>
        <w:tc>
          <w:tcPr>
            <w:tcW w:w="120" w:type="dxa"/>
            <w:vAlign w:val="bottom"/>
          </w:tcPr>
          <w:p>
            <w:pPr>
              <w:spacing w:after="0"/>
              <w:rPr>
                <w:sz w:val="18"/>
                <w:szCs w:val="18"/>
                <w:color w:val="auto"/>
              </w:rPr>
            </w:pPr>
          </w:p>
        </w:tc>
        <w:tc>
          <w:tcPr>
            <w:tcW w:w="120" w:type="dxa"/>
            <w:vAlign w:val="bottom"/>
            <w:vMerge w:val="restart"/>
          </w:tcPr>
          <w:p>
            <w:pPr>
              <w:spacing w:after="0"/>
              <w:rPr>
                <w:sz w:val="18"/>
                <w:szCs w:val="18"/>
                <w:color w:val="auto"/>
              </w:rPr>
            </w:pP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11.9 %</w:t>
            </w: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13.1 %</w:t>
            </w:r>
          </w:p>
        </w:tc>
        <w:tc>
          <w:tcPr>
            <w:tcW w:w="240" w:type="dxa"/>
            <w:vAlign w:val="bottom"/>
          </w:tcPr>
          <w:p>
            <w:pPr>
              <w:spacing w:after="0"/>
              <w:rPr>
                <w:sz w:val="18"/>
                <w:szCs w:val="18"/>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(879 )</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7.2 %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150,760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71.8 %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8.0 %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28.3 %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28.2 %</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20,384</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8.3 %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9.7 %</w:t>
            </w: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(1,661 )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(553 )</w:t>
            </w: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(0.3 )%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interest rate swap</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0.4 %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0.0 %</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1421.7 %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120" w:type="dxa"/>
            <w:vAlign w:val="bottom"/>
          </w:tcPr>
          <w:p>
            <w:pPr>
              <w:spacing w:after="0"/>
              <w:rPr>
                <w:sz w:val="19"/>
                <w:szCs w:val="19"/>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0.0 %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1.0 %</w:t>
            </w: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(1,942 )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(4,272 )</w:t>
            </w:r>
          </w:p>
        </w:tc>
        <w:tc>
          <w:tcPr>
            <w:tcW w:w="24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(4,498 )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8.3 %</w:t>
            </w:r>
          </w:p>
        </w:tc>
        <w:tc>
          <w:tcPr>
            <w:tcW w:w="2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(1,971 )</w:t>
            </w: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21.5 %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19.9 %</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5.5 %</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34,732</w:t>
            </w:r>
          </w:p>
        </w:tc>
        <w:tc>
          <w:tcPr>
            <w:tcW w:w="2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15.4 %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14.4 %</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-3090545</wp:posOffset>
            </wp:positionV>
            <wp:extent cx="713232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-2790825</wp:posOffset>
            </wp:positionV>
            <wp:extent cx="713232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3"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$16.2 million, or 8.1%, to $217.3 million for the three months ended September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$201.0 million for the three months ended September 30, 2023, representing 96.3% and 95.8% of total revenue, respectively. The following table depicts service revenue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1980" w:type="dxa"/>
            <w:vAlign w:val="bottom"/>
            <w:gridSpan w:val="4"/>
          </w:tcPr>
          <w:p>
            <w:pPr>
              <w:jc w:val="center"/>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40" w:type="dxa"/>
            <w:vAlign w:val="bottom"/>
            <w:tcBorders>
              <w:top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109,139</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98,149</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85,092</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40.5 %</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(663 )</w:t>
            </w:r>
          </w:p>
        </w:tc>
        <w:tc>
          <w:tcPr>
            <w:tcW w:w="40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217,267</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201,029</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45"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color w:val="auto"/>
        </w:rPr>
        <w:t>Commercial Services service revenue increased by $11.0 million, or 11.2%, from approximately $98.1 million for the three months ended September 30, 2023 to $109.1 million for the three months ended September 30, 2024. The increase in higher travel volume, product adoption and tolling activity compared to the prior year, contributed to a $4.9 million growth in RAC tolling revenue. In addition, the remaining $6.1 million in revenue growth was contributed from processing violations, titles and registrations, FMC and other revenue during the three months ended September 30, 2024 compared to the same period in 2023.</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2" w:right="239" w:bottom="1440" w:gutter="0" w:footer="0" w:header="0"/>
        </w:sectPr>
      </w:pPr>
    </w:p>
    <w:bookmarkStart w:id="29" w:name="page30"/>
    <w:bookmarkEnd w:id="29"/>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Government Solutions service revenue increased by $5.9 million, or 6.9%, from approximately $85.1 million for the three months ended September 30, 2023, to $91.0 million for the three months ended September 30, 2024. The increase was primarily driven by the expansion of speed and maintenance programs, contributing approximately $3.8 million to the increase in service revenue for the 2024 quarter. The remaining increase was attributable to expansions across school bus stop arm and bus lane programs. Service revenue growth was driven by 12% of growth outside of New York City.</w:t>
      </w:r>
    </w:p>
    <w:p>
      <w:pPr>
        <w:spacing w:after="0" w:line="182"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Parking Solutions service revenue modestly declined by $0.7 million, or 3.7%, from approximately $17.8 million for the three months ended September 30, 2023 to $17.1 million for the three months ended September 30, 2024. The increased revenue from SaaS product offerings was offset by a reduction in professional services related to parking management solutions.</w:t>
      </w:r>
    </w:p>
    <w:p>
      <w:pPr>
        <w:spacing w:after="0" w:line="175"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$8.3 million and $8.9 million for the three months ended September 30, 2024 and 2023, respectively.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by $0.6 million, which was due to a $0.3 million decline in product sales to Government Solutions international customers, along with a $0.3 million decrease in product sales to Parking Solutions customers driven by a structural transition from hardware to software and mobile payment solutions. Customer buying patterns vary greatly from period to period related to product sales.</w:t>
      </w:r>
    </w:p>
    <w:p>
      <w:pPr>
        <w:spacing w:after="0" w:line="178" w:lineRule="exact"/>
        <w:rPr>
          <w:sz w:val="20"/>
          <w:szCs w:val="20"/>
          <w:color w:val="auto"/>
        </w:rPr>
      </w:pPr>
    </w:p>
    <w:p>
      <w:pPr>
        <w:jc w:val="both"/>
        <w:ind w:right="100" w:firstLine="374"/>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$5.2 million for the three months ended September 30, 2023 to $5.4 million for the same period in 2024, mainly due to increased recurring service costs.</w:t>
      </w:r>
    </w:p>
    <w:p>
      <w:pPr>
        <w:spacing w:after="0" w:line="387" w:lineRule="exact"/>
        <w:rPr>
          <w:sz w:val="20"/>
          <w:szCs w:val="20"/>
          <w:color w:val="auto"/>
        </w:rPr>
      </w:pPr>
    </w:p>
    <w:p>
      <w:pPr>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decreased by approximately $1.3 million from $6.9 million in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$5.6 million in the three months ended September 30, 2024, which was in line with the decrease in product sales discussed above.</w:t>
      </w:r>
    </w:p>
    <w:p>
      <w:pPr>
        <w:spacing w:after="0" w:line="159"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approximately $7.2 million, or 10.4%, from $68.9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to $76.0 million for the three months ended September 30, 2024. The increase in 2024 compared to the prior year period was primarily due to increases of $5.1 million in wages expense, $1.3 million of information technology costs and $1.2 million of subcontractor costs, partially offset by lower costs related to operational equipment and maintenance. Operating expenses as a percentage of total revenue increased from 32.8% to 33.7% for the three months ended September 30, 2023 and 2024, respectively.</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operating expenses by segment:</w:t>
      </w:r>
    </w:p>
    <w:p>
      <w:pPr>
        <w:sectPr>
          <w:pgSz w:w="11900" w:h="16838" w:orient="portrait"/>
          <w:cols w:equalWidth="0" w:num="1">
            <w:col w:w="11340"/>
          </w:cols>
          <w:pgMar w:left="320" w:top="13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Commercial Services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Government Solutions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Parking Solutions</w:t>
      </w:r>
    </w:p>
    <w:p>
      <w:pPr>
        <w:spacing w:after="0" w:line="49" w:lineRule="exact"/>
        <w:rPr>
          <w:sz w:val="20"/>
          <w:szCs w:val="20"/>
          <w:color w:val="auto"/>
        </w:rPr>
      </w:pPr>
    </w:p>
    <w:p>
      <w:pPr>
        <w:ind w:left="20" w:right="380"/>
        <w:spacing w:after="0" w:line="273" w:lineRule="auto"/>
        <w:rPr>
          <w:sz w:val="20"/>
          <w:szCs w:val="20"/>
          <w:color w:val="auto"/>
        </w:rPr>
      </w:pPr>
      <w:r>
        <w:rPr>
          <w:rFonts w:ascii="Times New Roman" w:cs="Times New Roman" w:eastAsia="Times New Roman" w:hAnsi="Times New Roman"/>
          <w:sz w:val="18"/>
          <w:szCs w:val="18"/>
          <w:color w:val="auto"/>
        </w:rPr>
        <w:t>Total operating expenses before stock-based compensation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4"/>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5"/>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10.9 %</w:t>
            </w:r>
          </w:p>
        </w:tc>
        <w:tc>
          <w:tcPr>
            <w:tcW w:w="640" w:type="dxa"/>
            <w:vAlign w:val="bottom"/>
          </w:tcPr>
          <w:p>
            <w:pPr>
              <w:spacing w:after="0"/>
              <w:rPr>
                <w:sz w:val="24"/>
                <w:szCs w:val="24"/>
                <w:color w:val="auto"/>
              </w:rPr>
            </w:pPr>
          </w:p>
        </w:tc>
        <w:tc>
          <w:tcPr>
            <w:tcW w:w="8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10.1 %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20.5 %</w:t>
            </w:r>
          </w:p>
        </w:tc>
        <w:tc>
          <w:tcPr>
            <w:tcW w:w="6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20.2 %</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6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(548 )</w:t>
            </w:r>
          </w:p>
        </w:tc>
        <w:tc>
          <w:tcPr>
            <w:tcW w:w="3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68,245</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0"/>
              </w:rPr>
              <w:t>33.2 %</w:t>
            </w:r>
          </w:p>
        </w:tc>
        <w:tc>
          <w:tcPr>
            <w:tcW w:w="6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32.5 %</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6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66.7 %</w:t>
            </w:r>
          </w:p>
        </w:tc>
        <w:tc>
          <w:tcPr>
            <w:tcW w:w="0" w:type="dxa"/>
            <w:vAlign w:val="bottom"/>
          </w:tcPr>
          <w:p>
            <w:pPr>
              <w:spacing w:after="0"/>
              <w:rPr>
                <w:sz w:val="1"/>
                <w:szCs w:val="1"/>
                <w:color w:val="auto"/>
              </w:rPr>
            </w:pPr>
          </w:p>
        </w:tc>
      </w:tr>
      <w:tr>
        <w:trPr>
          <w:trHeight w:val="236"/>
        </w:trPr>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76,026</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68,873</w:t>
            </w:r>
          </w:p>
        </w:tc>
        <w:tc>
          <w:tcPr>
            <w:tcW w:w="240" w:type="dxa"/>
            <w:vAlign w:val="bottom"/>
          </w:tcPr>
          <w:p>
            <w:pPr>
              <w:spacing w:after="0"/>
              <w:rPr>
                <w:sz w:val="20"/>
                <w:szCs w:val="20"/>
                <w:color w:val="auto"/>
              </w:rPr>
            </w:pPr>
          </w:p>
        </w:tc>
        <w:tc>
          <w:tcPr>
            <w:tcW w:w="6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-1257935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-949960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-633095</wp:posOffset>
            </wp:positionV>
            <wp:extent cx="7132320" cy="290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-179070</wp:posOffset>
            </wp:positionV>
            <wp:extent cx="713232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720"/>
            <w:col w:w="7040"/>
          </w:cols>
          <w:pgMar w:left="320" w:top="1308" w:right="239" w:bottom="1440" w:gutter="0" w:footer="0" w:header="0"/>
          <w:type w:val="continuous"/>
        </w:sectPr>
      </w:pPr>
    </w:p>
    <w:p>
      <w:pPr>
        <w:spacing w:after="0" w:line="2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8" w:right="239" w:bottom="1440" w:gutter="0" w:footer="0" w:header="0"/>
          <w:type w:val="continuous"/>
        </w:sectPr>
      </w:pPr>
    </w:p>
    <w:bookmarkStart w:id="30" w:name="page31"/>
    <w:bookmarkEnd w:id="30"/>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$47.9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$42.3 million for the same period in 2023. This increase was mainly due to $2.4 million in higher wages and benefits expense, $1.6 million in stock-based compensation, and higher professional services and marketing costs compared to the prior year period. Selling, general and administrative expenses as a percentage of total revenue increased from 20.1% to 21.2% for the three months ended September 30, 2023 and 2024, respectively. The following table presents selling, general and administrative expenses by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20" w:type="dxa"/>
            <w:vAlign w:val="bottom"/>
            <w:gridSpan w:val="4"/>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vMerge w:val="continue"/>
          </w:tcPr>
          <w:p>
            <w:pPr>
              <w:spacing w:after="0"/>
              <w:rPr>
                <w:sz w:val="16"/>
                <w:szCs w:val="16"/>
                <w:color w:val="auto"/>
              </w:rPr>
            </w:pPr>
          </w:p>
        </w:tc>
        <w:tc>
          <w:tcPr>
            <w:tcW w:w="12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2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7.4 % $</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(719 )</w:t>
            </w:r>
          </w:p>
        </w:tc>
        <w:tc>
          <w:tcPr>
            <w:tcW w:w="3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15,181</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(285 )</w:t>
            </w: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99.9 %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Total selling, general and administrative expenses before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38,461</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18.8 %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18.3 %</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4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47,918</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42,276</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21.2 %</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6"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$0.9 million to $26.7 million for the three months ended September 30, 2024 from $27.6 million for the same period in 2023. This was mainly due to a developed technology intangible asset being fully amortized in the three months ended September 30, 2024 as compared to the prior year. This decrease was partially offset by an increase in depreciation expense in the 2024 period.</w:t>
      </w:r>
    </w:p>
    <w:p>
      <w:pPr>
        <w:spacing w:after="0" w:line="178"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approximately $1.7 million from $20.4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$18.7 million for the same period in 2024. This was primarily related to the February 2024 repricing of the 2021 Term Loan and the voluntary principal prepayments made during 2023 and 2024 which lowered the outstanding debt balance. The average variable interest rate on the 2021 Term Loan was 46 basis points lower for the three months ended September 30, 2024 compared to the prior year period. See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Financial Condition and Results of Operations—Liquidity and Capital Resources” </w:t>
      </w:r>
      <w:r>
        <w:rPr>
          <w:rFonts w:ascii="Times New Roman" w:cs="Times New Roman" w:eastAsia="Times New Roman" w:hAnsi="Times New Roman"/>
          <w:sz w:val="18"/>
          <w:szCs w:val="18"/>
          <w:color w:val="auto"/>
        </w:rPr>
        <w:t>in Part I, Item 2.”</w:t>
      </w:r>
    </w:p>
    <w:p>
      <w:pPr>
        <w:spacing w:after="0" w:line="182"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gain of approximately $0.6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related to the change in fair value of our Private Placement Warrants which were accounted for as liabilities on our condensed consolidated balance sheets. The change in fair value was the result of re-measurement of the liability at the end of the reporting period or a final re-measurement upon their exercise.</w:t>
      </w:r>
    </w:p>
    <w:p>
      <w:pPr>
        <w:spacing w:after="0" w:line="178"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on Interest Rate Swap. </w:t>
      </w:r>
      <w:r>
        <w:rPr>
          <w:rFonts w:ascii="Times New Roman" w:cs="Times New Roman" w:eastAsia="Times New Roman" w:hAnsi="Times New Roman"/>
          <w:sz w:val="18"/>
          <w:szCs w:val="18"/>
          <w:color w:val="auto"/>
        </w:rPr>
        <w:t>We recorded a loss of $0.9 million during the three months ended September 30, 2024, of which $1.2 million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derivative instrument re-measured to fair value at the end of the reporting period, offset by $0.3 million related to the monthly cash proceeds on the interest rate swap. We recorded a $0.1 million loss during the three months ended September 30, 2023, of which approximately $0.2 million was associated with the derivative instrument re-measured to fair value at the end of the reporting period, offset by $0.1 million related to the monthly cash proceeds. We exercised our option to cancel the interest rate swap agreement as of September 30, 2024.</w:t>
      </w:r>
    </w:p>
    <w:p>
      <w:pPr>
        <w:spacing w:after="0" w:line="182"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a less than $0.1 million loss on extinguishment of debt during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related to the write-off of pre-existing deferred financing costs and discounts on the 2021 Term Loan. We recorded a $2.0 million loss on extinguishment of debt during the three months ended September 30, 2023 related to the write-off of pre-existing deferred financing costs and discounts in connection with the early repayment of $100.0 million on the 2021 Term Loan.</w:t>
      </w:r>
    </w:p>
    <w:p>
      <w:pPr>
        <w:spacing w:after="0" w:line="178"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decreased to $4.3 million for the three months ended September 30, 2024 compared to $4.5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2023 primarily due to foreign currency transaction losses.</w:t>
      </w:r>
    </w:p>
    <w:p>
      <w:pPr>
        <w:spacing w:after="0" w:line="1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73" w:right="239" w:bottom="1440" w:gutter="0" w:footer="0" w:header="0"/>
        </w:sectPr>
      </w:pPr>
    </w:p>
    <w:bookmarkStart w:id="31" w:name="page32"/>
    <w:bookmarkEnd w:id="31"/>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$13.8 million representing an effective tax rate of 28.4%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a tax provision of $11.5 million, with an effective tax rate of 27.5% for the same period in 2023. The primary driver for the effective tax rate variance is the permanent difference related to the mark-to-market adjustments on the Private Placement Warrants that impacted the rate in the prior year without a comparable impact in the current period.</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$34.7 million for the three months ended September 30, 2024, as compared to a net income of $30.3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The $4.4 million increase in net income was primarily due to the decrease in loss on extinguishment of debt and the interest expense, and the other statement of operations activity discussed above.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121" w:lineRule="exact"/>
        <w:rPr>
          <w:sz w:val="20"/>
          <w:szCs w:val="20"/>
          <w:color w:val="auto"/>
        </w:rPr>
      </w:pPr>
    </w:p>
    <w:p>
      <w:pPr>
        <w:jc w:val="both"/>
        <w:ind w:right="100" w:firstLine="374"/>
        <w:spacing w:after="0" w:line="265"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80" w:type="dxa"/>
            <w:vAlign w:val="bottom"/>
            <w:gridSpan w:val="4"/>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20" w:type="dxa"/>
            <w:vAlign w:val="bottom"/>
          </w:tcPr>
          <w:p>
            <w:pPr>
              <w:spacing w:after="0"/>
              <w:rPr>
                <w:sz w:val="11"/>
                <w:szCs w:val="11"/>
                <w:color w:val="auto"/>
              </w:rPr>
            </w:pPr>
          </w:p>
        </w:tc>
        <w:tc>
          <w:tcPr>
            <w:tcW w:w="1780" w:type="dxa"/>
            <w:vAlign w:val="bottom"/>
            <w:gridSpan w:val="4"/>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left="27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632,005</w:t>
            </w:r>
          </w:p>
        </w:tc>
        <w:tc>
          <w:tcPr>
            <w:tcW w:w="28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581,777</w:t>
            </w:r>
          </w:p>
        </w:tc>
        <w:tc>
          <w:tcPr>
            <w:tcW w:w="14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96.1 %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96.0 %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8.6 %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3.9 %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657,707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13,718</w:t>
            </w:r>
          </w:p>
        </w:tc>
        <w:tc>
          <w:tcPr>
            <w:tcW w:w="14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2.2 %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18,209</w:t>
            </w:r>
          </w:p>
        </w:tc>
        <w:tc>
          <w:tcPr>
            <w:tcW w:w="14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2.9 %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221,569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196,373</w:t>
            </w:r>
          </w:p>
        </w:tc>
        <w:tc>
          <w:tcPr>
            <w:tcW w:w="14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33.7 %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32.4 %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25,196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12.8 %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125,494</w:t>
            </w:r>
          </w:p>
        </w:tc>
        <w:tc>
          <w:tcPr>
            <w:tcW w:w="14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20.7 %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81,215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87,018</w:t>
            </w:r>
          </w:p>
        </w:tc>
        <w:tc>
          <w:tcPr>
            <w:tcW w:w="14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3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12.2 %</w:t>
            </w:r>
          </w:p>
        </w:tc>
        <w:tc>
          <w:tcPr>
            <w:tcW w:w="1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14.4 %</w:t>
            </w:r>
          </w:p>
        </w:tc>
        <w:tc>
          <w:tcPr>
            <w:tcW w:w="220" w:type="dxa"/>
            <w:vAlign w:val="bottom"/>
          </w:tcPr>
          <w:p>
            <w:pPr>
              <w:spacing w:after="0"/>
              <w:rPr>
                <w:sz w:val="18"/>
                <w:szCs w:val="18"/>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(5,803 )</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8.5 %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478,295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440,812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72.7 %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37,483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8.4 %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27.3 %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65,842</w:t>
            </w:r>
          </w:p>
        </w:tc>
        <w:tc>
          <w:tcPr>
            <w:tcW w:w="14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8.7 %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(8,639 )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 of private placement warrants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(24,966 )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(gain) on interest rate swap</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(1,947 )</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(0.3 )%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14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0.1 %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0.5 %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(2,905 )</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(13,970 )</w:t>
            </w:r>
          </w:p>
        </w:tc>
        <w:tc>
          <w:tcPr>
            <w:tcW w:w="2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(12,766 )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(2.1 )%</w:t>
            </w:r>
          </w:p>
        </w:tc>
        <w:tc>
          <w:tcPr>
            <w:tcW w:w="2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(1,204 )</w:t>
            </w:r>
          </w:p>
        </w:tc>
        <w:tc>
          <w:tcPr>
            <w:tcW w:w="3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other expenses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(44.3 )%</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13.1 %</w:t>
            </w: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(35,273 )</w:t>
            </w:r>
          </w:p>
        </w:tc>
        <w:tc>
          <w:tcPr>
            <w:tcW w:w="3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57.3 %</w:t>
            </w: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20.5 %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14.2 %</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5.6 %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gridSpan w:val="2"/>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98,104</w:t>
            </w:r>
          </w:p>
        </w:tc>
        <w:tc>
          <w:tcPr>
            <w:tcW w:w="2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14.9 %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81.7 %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-3090545</wp:posOffset>
            </wp:positionV>
            <wp:extent cx="713232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-2790825</wp:posOffset>
            </wp:positionV>
            <wp:extent cx="7132320"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-2080260</wp:posOffset>
            </wp:positionV>
            <wp:extent cx="713232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13232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5"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$50.2 million, or 8.6%, to $632.0 million for the nine months ended September 30, 2024 from $581.8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representing 96.1% and 96.0% of total revenue, respectively. The following table depicts service revenue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gridSpan w:val="4"/>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280" w:type="dxa"/>
            <w:vAlign w:val="bottom"/>
          </w:tcPr>
          <w:p>
            <w:pPr>
              <w:spacing w:after="0"/>
              <w:rPr>
                <w:sz w:val="11"/>
                <w:szCs w:val="11"/>
                <w:color w:val="auto"/>
              </w:rPr>
            </w:pPr>
          </w:p>
        </w:tc>
        <w:tc>
          <w:tcPr>
            <w:tcW w:w="1980" w:type="dxa"/>
            <w:vAlign w:val="bottom"/>
            <w:gridSpan w:val="4"/>
          </w:tcPr>
          <w:p>
            <w:pPr>
              <w:jc w:val="center"/>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1040" w:type="dxa"/>
            <w:vAlign w:val="bottom"/>
            <w:tcBorders>
              <w:top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37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Service 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Commercial Services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309,013</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278,243</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253,319</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41.8 %</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50,215</w:t>
            </w:r>
          </w:p>
        </w:tc>
        <w:tc>
          <w:tcPr>
            <w:tcW w:w="24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8.3 %</w:t>
            </w: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service revenue</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740" w:type="dxa"/>
            <w:vAlign w:val="bottom"/>
            <w:gridSpan w:val="2"/>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632,005</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581,777</w:t>
            </w:r>
          </w:p>
        </w:tc>
        <w:tc>
          <w:tcPr>
            <w:tcW w:w="2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96.1 %</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306" w:right="239" w:bottom="1440" w:gutter="0" w:footer="0" w:header="0"/>
        </w:sectPr>
      </w:pPr>
    </w:p>
    <w:bookmarkStart w:id="32" w:name="page33"/>
    <w:bookmarkEnd w:id="32"/>
    <w:p>
      <w:pPr>
        <w:jc w:val="both"/>
        <w:ind w:right="100" w:firstLine="374"/>
        <w:spacing w:after="0" w:line="256" w:lineRule="auto"/>
        <w:rPr>
          <w:sz w:val="20"/>
          <w:szCs w:val="20"/>
          <w:color w:val="auto"/>
        </w:rPr>
      </w:pPr>
      <w:r>
        <w:rPr>
          <w:rFonts w:ascii="Times New Roman" w:cs="Times New Roman" w:eastAsia="Times New Roman" w:hAnsi="Times New Roman"/>
          <w:sz w:val="18"/>
          <w:szCs w:val="18"/>
          <w:color w:val="auto"/>
        </w:rPr>
        <w:t>Commercial Services service revenue increased by $30.8 million, or 11.1%, from $278.2 million for the nine months ended September 30, 2023 to $309.0 million for the nine months ended September 30, 2024. The increase was primarily due to increased travel volume, product adoption and increased tolling activity compared to the prior year. These factors contributed to a $16.3 million growth in RAC tolling revenue and an increase in enrolled vehicles as well as higher tolling activity for our FMC customers contributed to a $7.6 million growth in FMC revenue during the nine months ended September 30, 2024, compared to the same period in 2023. In addition, there was more revenue generated from processing titles and registrations and from processing violations compared to the prior year period.</w:t>
      </w:r>
    </w:p>
    <w:p>
      <w:pPr>
        <w:spacing w:after="0" w:line="186" w:lineRule="exact"/>
        <w:rPr>
          <w:sz w:val="20"/>
          <w:szCs w:val="20"/>
          <w:color w:val="auto"/>
        </w:rPr>
      </w:pPr>
    </w:p>
    <w:p>
      <w:pPr>
        <w:jc w:val="both"/>
        <w:ind w:right="100" w:firstLine="374"/>
        <w:spacing w:after="0" w:line="260" w:lineRule="auto"/>
        <w:rPr>
          <w:sz w:val="20"/>
          <w:szCs w:val="20"/>
          <w:color w:val="auto"/>
        </w:rPr>
      </w:pPr>
      <w:r>
        <w:rPr>
          <w:rFonts w:ascii="Times New Roman" w:cs="Times New Roman" w:eastAsia="Times New Roman" w:hAnsi="Times New Roman"/>
          <w:sz w:val="18"/>
          <w:szCs w:val="18"/>
          <w:color w:val="auto"/>
        </w:rPr>
        <w:t>Government Solutions service revenue increased by $19.4 million, or 7.7%, from $253.3 million for the nine months ended September 30, 2023, to $272.7 million for the nine months ended September 30, 2024. The increase was primarily driven by the expansion of speed, red light and maintenance programs, contributing $13.1 million to the service revenue increase compared to the prior year. The remaining increase is attributable to expansions across school bus stop arm and bus lane programs.</w:t>
      </w:r>
    </w:p>
    <w:p>
      <w:pPr>
        <w:spacing w:after="0" w:line="182" w:lineRule="exact"/>
        <w:rPr>
          <w:sz w:val="20"/>
          <w:szCs w:val="20"/>
          <w:color w:val="auto"/>
        </w:rPr>
      </w:pPr>
    </w:p>
    <w:p>
      <w:pPr>
        <w:jc w:val="both"/>
        <w:ind w:right="100" w:firstLine="374"/>
        <w:spacing w:after="0" w:line="281" w:lineRule="auto"/>
        <w:rPr>
          <w:sz w:val="20"/>
          <w:szCs w:val="20"/>
          <w:color w:val="auto"/>
        </w:rPr>
      </w:pPr>
      <w:r>
        <w:rPr>
          <w:rFonts w:ascii="Times New Roman" w:cs="Times New Roman" w:eastAsia="Times New Roman" w:hAnsi="Times New Roman"/>
          <w:sz w:val="18"/>
          <w:szCs w:val="18"/>
          <w:color w:val="auto"/>
        </w:rPr>
        <w:t>Parking Solutions service revenue was relatively consistent at $50.2 million for both the nine months ended September 30, 2024 and 2023. The increased revenue from SaaS product offerings was partially offset by a decrease in professional services related to parking management solutions.</w:t>
      </w:r>
    </w:p>
    <w:p>
      <w:pPr>
        <w:spacing w:after="0" w:line="161"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$25.7 million and $24.5 million for the nine months ended September 30, 2024 and 2023, respectively.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by $1.2 million, which was due to a $3.9 million increase in product sales to Government Solutions customers, offset by a $2.7 million decrease in product sales in the Parking Solutions segment driven by a structural transition from hardware to software and mobile payment solutions. Customer buying patterns vary greatly from period to period related to product sales.</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$13.7 million for the nine months ended September 30, 2023 to $14.3 million for the nine months ended September 30, 2024, mainly due to increased recurring service costs for the Parking Solutions segment.</w:t>
      </w:r>
    </w:p>
    <w:p>
      <w:pPr>
        <w:spacing w:after="0" w:line="172" w:lineRule="exact"/>
        <w:rPr>
          <w:sz w:val="20"/>
          <w:szCs w:val="20"/>
          <w:color w:val="auto"/>
        </w:rPr>
      </w:pPr>
    </w:p>
    <w:p>
      <w:pPr>
        <w:jc w:val="both"/>
        <w:ind w:right="100" w:firstLine="374"/>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$0.6 million from $18.2 million in the nine months ended September 30, 2023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$18.8 million in the nine months ended September 30, 2024, which was in line with the increase in product sales discussed above.</w:t>
      </w:r>
    </w:p>
    <w:p>
      <w:pPr>
        <w:spacing w:after="0" w:line="159"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$25.2 million, or 12.8%, from $196.4 million for the nine months ended September 30,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$221.6 million for the nine months ended September 30, 2024. The increase in 2024 was primarily attributable to increases of $16.2 million in wages expense, $5.6 million of information technology costs and $3.2 million of recurring service costs compared to the prior year period. Operating expenses as a percentage of total revenue increased from 32.4% to 33.7% for the nine months ended September 30, 2023 and 2024, respectively.</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operating expenses by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40" w:type="dxa"/>
            <w:vAlign w:val="bottom"/>
            <w:gridSpan w:val="4"/>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vMerge w:val="continue"/>
          </w:tcPr>
          <w:p>
            <w:pPr>
              <w:spacing w:after="0"/>
              <w:rPr>
                <w:sz w:val="16"/>
                <w:szCs w:val="16"/>
                <w:color w:val="auto"/>
              </w:rPr>
            </w:pPr>
          </w:p>
        </w:tc>
        <w:tc>
          <w:tcPr>
            <w:tcW w:w="124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40" w:type="dxa"/>
            <w:vAlign w:val="bottom"/>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2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Commercial Services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69,351</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61,819</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Government Solutions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119,398</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20.7 %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Parking Solutions</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24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2"/>
                <w:szCs w:val="2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(540 )</w:t>
            </w:r>
          </w:p>
        </w:tc>
        <w:tc>
          <w:tcPr>
            <w:tcW w:w="380" w:type="dxa"/>
            <w:vAlign w:val="bottom"/>
          </w:tcPr>
          <w:p>
            <w:pPr>
              <w:spacing w:after="0"/>
              <w:rPr>
                <w:sz w:val="22"/>
                <w:szCs w:val="2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 operating expenses before stock-based compensation</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194,866</w:t>
            </w:r>
          </w:p>
        </w:tc>
        <w:tc>
          <w:tcPr>
            <w:tcW w:w="2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0.5 %</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221,569</w:t>
            </w:r>
          </w:p>
        </w:tc>
        <w:tc>
          <w:tcPr>
            <w:tcW w:w="26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196,373</w:t>
            </w: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33.7 %</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32.4 %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-1720215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32" w:right="239" w:bottom="1440" w:gutter="0" w:footer="0" w:header="0"/>
        </w:sectPr>
      </w:pPr>
    </w:p>
    <w:bookmarkStart w:id="33" w:name="page34"/>
    <w:bookmarkEnd w:id="33"/>
    <w:p>
      <w:pPr>
        <w:jc w:val="both"/>
        <w:ind w:right="100"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$142.4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$125.5 million for the same period in 2023. This is primarily due to increases of $6.2 million in wages expense, $3.9 million of credit loss expense, $4.6 million in stock-based compensation expense, and increases in marketing and other general expenses, partially offset by a decrease in professional services costs compared to the prior year. Selling, general and administrative expenses as a percentage of total revenue increased from 20.7% to 21.7% for the nine months ended September 30, 2023 and 2024, respectively. The following table presents selling, general and administrative expenses by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6"/>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1840" w:type="dxa"/>
            <w:vAlign w:val="bottom"/>
            <w:gridSpan w:val="4"/>
          </w:tcPr>
          <w:p>
            <w:pPr>
              <w:jc w:val="center"/>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6"/>
            <w:vMerge w:val="continue"/>
          </w:tcPr>
          <w:p>
            <w:pPr>
              <w:spacing w:after="0"/>
              <w:rPr>
                <w:sz w:val="16"/>
                <w:szCs w:val="16"/>
                <w:color w:val="auto"/>
              </w:rPr>
            </w:pPr>
          </w:p>
        </w:tc>
        <w:tc>
          <w:tcPr>
            <w:tcW w:w="124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72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7.8 %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8.1 %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(204 )</w:t>
            </w:r>
          </w:p>
        </w:tc>
        <w:tc>
          <w:tcPr>
            <w:tcW w:w="3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0.5 %</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139.3 %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Total selling, general and administrative expenses before</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114,655</w:t>
            </w:r>
          </w:p>
        </w:tc>
        <w:tc>
          <w:tcPr>
            <w:tcW w:w="14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19.3 %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18.9 %</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240" w:type="dxa"/>
            <w:vAlign w:val="bottom"/>
          </w:tcPr>
          <w:p>
            <w:pPr>
              <w:spacing w:after="0"/>
              <w:rPr>
                <w:sz w:val="22"/>
                <w:szCs w:val="22"/>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142,432</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125,494</w:t>
            </w:r>
          </w:p>
        </w:tc>
        <w:tc>
          <w:tcPr>
            <w:tcW w:w="240" w:type="dxa"/>
            <w:vAlign w:val="bottom"/>
          </w:tcPr>
          <w:p>
            <w:pPr>
              <w:spacing w:after="0"/>
              <w:rPr>
                <w:sz w:val="20"/>
                <w:szCs w:val="20"/>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21.7 %</w:t>
            </w: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20.7 %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-1103630</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62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6"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$5.8 million to $81.2 million for the nine months ended September 30, 2024 from $87.0 million for the same period in 2023. This was mainly due to certain non-compete, trademark and developed technology intangible assets being fully amortized in the nine months ended September 30, 2024 as compared to the prior year. This decrease was partially offset by an increase in depreciation expense in the 2024 period.</w:t>
      </w:r>
    </w:p>
    <w:p>
      <w:pPr>
        <w:spacing w:after="0" w:line="178"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$8.6 million from $65.8 million for the nine months ended September 30, 2023 to $57.2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2024. This was primarily attributable to voluntary principal prepayments made during 2023 and 2024 which lowered the outstanding debt balance in 2024 coupled with a 50 basis-point reduction in the interest rate from refinancing our debt on February 8, 2024.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 xml:space="preserve"> in Part I, Item 2.</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r>
        <w:rPr>
          <w:rFonts w:ascii="Times New Roman" w:cs="Times New Roman" w:eastAsia="Times New Roman" w:hAnsi="Times New Roman"/>
          <w:sz w:val="18"/>
          <w:szCs w:val="18"/>
          <w:color w:val="auto"/>
        </w:rPr>
        <w:t>. We recorded a loss of $25.0 million for the nine months ended September 30, 2023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change in fair value of our Private Placement Warrants which were accounted for as liabilities on our condensed consolidated balance sheets. The change in fair value was the result of re-measurement of the liability at the end of the reporting period, or a final re-measurement upon their exercise.</w:t>
      </w:r>
    </w:p>
    <w:p>
      <w:pPr>
        <w:spacing w:after="0" w:line="172" w:lineRule="exact"/>
        <w:rPr>
          <w:sz w:val="20"/>
          <w:szCs w:val="20"/>
          <w:color w:val="auto"/>
        </w:rPr>
      </w:pPr>
    </w:p>
    <w:p>
      <w:pPr>
        <w:jc w:val="both"/>
        <w:ind w:right="10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(Gain) on Interest Rate Swap. </w:t>
      </w:r>
      <w:r>
        <w:rPr>
          <w:rFonts w:ascii="Times New Roman" w:cs="Times New Roman" w:eastAsia="Times New Roman" w:hAnsi="Times New Roman"/>
          <w:sz w:val="18"/>
          <w:szCs w:val="18"/>
          <w:color w:val="auto"/>
        </w:rPr>
        <w:t>We recorded a $0.5 million loss during the nine months ended September 30, 2024, of which $1.3 million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derivative instrument re-measured to fair value at the end of the reporting period offset by $(0.8) million related to the monthly cash proceeds. We recorded a $(1.9) million gain during the nine months ended September 30, 2023, of which approximately $(3.3) million is associated with the derivative instrument re-measured to fair value at the end of the reporting period offset by $1.4 million related to the monthly cash payments. We exercised our option to cancel the interest rate swap agreement as of September 30, 2024.</w:t>
      </w:r>
    </w:p>
    <w:p>
      <w:pPr>
        <w:spacing w:after="0" w:line="182" w:lineRule="exact"/>
        <w:rPr>
          <w:sz w:val="20"/>
          <w:szCs w:val="20"/>
          <w:color w:val="auto"/>
        </w:rPr>
      </w:pPr>
    </w:p>
    <w:p>
      <w:pPr>
        <w:jc w:val="both"/>
        <w:ind w:right="10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a $0.6 million loss on extinguishment of debt during the nine months ended September 30, 2024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write-off of pre-existing deferred financing costs and discounts in connection with the refinancing of the 2021 Term Loan in February 2024. We recorded a $3.5 million loss on extinguishment of debt during the nine months ended September 30, 2023 related to the write-off of pre-existing deferred financing costs and discounts in connection with the early repayments of $172.5 million on the 2021 Term Loan.</w:t>
      </w:r>
    </w:p>
    <w:p>
      <w:pPr>
        <w:spacing w:after="0" w:line="178" w:lineRule="exact"/>
        <w:rPr>
          <w:sz w:val="20"/>
          <w:szCs w:val="20"/>
          <w:color w:val="auto"/>
        </w:rPr>
      </w:pPr>
    </w:p>
    <w:p>
      <w:pPr>
        <w:jc w:val="both"/>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$14.0 million for the nine months ended September 30, 2024 compared to $12.8 million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The increase of $1.2 million is primarily attributable to volume rebates earned from total spend on credit card transactions due to increased tolling and travel activity.</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73" w:right="239" w:bottom="1440" w:gutter="0" w:footer="0" w:header="0"/>
        </w:sectPr>
      </w:pPr>
    </w:p>
    <w:bookmarkStart w:id="34" w:name="page35"/>
    <w:bookmarkEnd w:id="34"/>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$37.0 million representing an effective tax rate of 27.4%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a tax provision of $31.9 million, with an effective tax rate of 37.1% for the same period in 2023. The primary driver for the effective tax rate variance is the permanent difference related to the mark-to-market adjustments on the Private Placement Warrants that impacted the rate in the prior year without a comparable impact in 2024.</w:t>
      </w:r>
    </w:p>
    <w:p>
      <w:pPr>
        <w:spacing w:after="0" w:line="17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$98.1 million for the nine months ended September 30, 2024, as compared to a net income of $54.0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The $44.1 million increase in net income was primarily due to the change in fair value of Private Placement Warrants expense in the prior year period, decrease in interest expense and the other statement of operations activity discussed above.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 (defined below).</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182"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77"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As of September 30, 2024, we had $74.6 million available for borrowing, net of letters of credit, under our Revolver. Our cash on hand was $206.1 million as of September 30, 2024.</w:t>
      </w:r>
    </w:p>
    <w:p>
      <w:pPr>
        <w:spacing w:after="0" w:line="16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February 2024, we refinanced our 2021 Term Loan and entered into a third amendment to the 2021 Term Loan agreement which reduced our interest rate by 50 basis points and eliminated the applicable credit spread adjustment. We made early repayments of approximately $4.5 million on our 2021 Term Loan during the nine months ended September 30, 2024, and as a result, the total principal outstanding on the 2021 Term Loan was $700.1 million as of September 30, 2024. Subsequent to September 30, 2024, we entered into a fourth amendment to the 2021 Term Loan agreement in October 2024 to refinance the entire outstanding amount of $700.1 million under the 2021 Term Loan and to further reduce the interest rate by 50 basis points.</w:t>
      </w:r>
    </w:p>
    <w:p>
      <w:pPr>
        <w:spacing w:after="0" w:line="182"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At September 30, 2024, the TRA liability was approximately $53.5 million. We expect to make payments of approximately $5.0 million per year for the next 11 years.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our Board of Directors authorized a new share repurchase program for up to an aggregate amount of $100.0 million of our outstanding shares of Class A Common Stock over an 18-month period in open market, ASR or privately negotiated transactions. The level at which we repurchase depends on a number of factors, including our financial condition, capital requirements, cash flows, results of operations, future business prospects and other factors our management may deem relevant. The timing, volume and nature of repurchases are subject to market conditions, applicable securities laws and other factors and may be amended, suspended or discontinued at any time. On June 6, 2024, we entered into a share repurchase agreement with a stockholder, pursuant to which we repurchased, directly from the stockholder, 2.0 million shares of our Class A Common Stock for an aggregate purchase price of $51.5 million. The repurchased shares were subsequently retired. As of September 30, 2024, $48.5 million remains available under the share repurchase program. Refer to Note 10,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Part I, Item 1, Financial Statements for additional information on our share repurchases.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35" w:name="page36"/>
    <w:bookmarkEnd w:id="35"/>
    <w:p>
      <w:pPr>
        <w:spacing w:after="0" w:line="3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20" w:type="dxa"/>
            <w:vAlign w:val="bottom"/>
          </w:tcPr>
          <w:p>
            <w:pPr>
              <w:spacing w:after="0"/>
              <w:rPr>
                <w:sz w:val="13"/>
                <w:szCs w:val="13"/>
                <w:color w:val="auto"/>
              </w:rPr>
            </w:pPr>
          </w:p>
        </w:tc>
        <w:tc>
          <w:tcPr>
            <w:tcW w:w="7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7"/>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5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183,155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170,371</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(51,031 )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(41,693 )</w:t>
            </w:r>
          </w:p>
        </w:tc>
      </w:tr>
      <w:tr>
        <w:trPr>
          <w:trHeight w:val="247"/>
        </w:trPr>
        <w:tc>
          <w:tcPr>
            <w:tcW w:w="20" w:type="dxa"/>
            <w:vAlign w:val="bottom"/>
            <w:shd w:val="clear" w:color="auto" w:fill="CFF0FC"/>
          </w:tcPr>
          <w:p>
            <w:pPr>
              <w:spacing w:after="0"/>
              <w:rPr>
                <w:sz w:val="21"/>
                <w:szCs w:val="21"/>
                <w:color w:val="auto"/>
              </w:rPr>
            </w:pPr>
          </w:p>
        </w:tc>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(59,574 )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(118,450 )</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by approximately $12.8 million from $170.4 million for the nine months ended September 30, 2023 to $183.2 million for the nine months ended September 30, 2024. Net income year over year increased by approximately $44.1 million, from $54.0 million in 2023 to $98.1 million in 2024. The aggregate adjustments to reconcile net income to net cash provided by operating activities decreased $13.1 million mainly due to the change in fair value of private placement warrants and decreased amortization, which were partially offset by increases in stock-based compensation, change in deferred income taxes, change in fair value of interest rate swap and credit loss expense. The aggregate changes in operating assets and liabilities decreased by $18.2 million in 2024 compared to the prior year primarily due to a legal settlement payment and increase in prepaid and other current assets, that were partially offset by a decrease in accounts receivables.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$51.0 million and $41.7 million for the nine months ended September 30, 2024 and 2023, respectively. The increase in cash used was primarily driven by a $11.5 million increase for purchases of installation and service parts and property and equipment compared to the prior year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$59.6 million and $118.5 million for the nine months ended September 30, 2024 and 2023, respectively. The cash used in 2024 was mainly due to $51.5 million paid for share repurchases, $5.8 million of payments for employee tax withholding related to RSUs and PSUs vesting and early repayments of $4.5 million on our 2021 Term Loan. The cash used in 2023 was mainly due to early repayments totaling $172.5 million on our 2021 Term Loan and $100.0 million of share repurchases, which were partially offset by $161.4 million of proceeds from the exercise of warrants.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our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which includes the incremental borrowing of $250.0 million in December 2021 as a result of exercising the accordion feature available under the agreement. In connection with the 2021 Term Loan borrowings, we had $4.6 million of offering discount costs and $4.5 million in deferred financing costs, both of which were capitalized and are being amortized over the remaining life of the 2021 Term Loan.</w:t>
      </w:r>
    </w:p>
    <w:p>
      <w:pPr>
        <w:spacing w:after="0" w:line="178"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In February 2024, VM Consolidated entered into the Third Amendment to refinance the 2021 Term Loan (the “</w:t>
      </w:r>
      <w:r>
        <w:rPr>
          <w:rFonts w:ascii="Times New Roman" w:cs="Times New Roman" w:eastAsia="Times New Roman" w:hAnsi="Times New Roman"/>
          <w:sz w:val="18"/>
          <w:szCs w:val="18"/>
          <w:b w:val="1"/>
          <w:bCs w:val="1"/>
          <w:i w:val="1"/>
          <w:iCs w:val="1"/>
          <w:color w:val="auto"/>
        </w:rPr>
        <w:t>Refinancing Transaction</w:t>
      </w:r>
      <w:r>
        <w:rPr>
          <w:rFonts w:ascii="Times New Roman" w:cs="Times New Roman" w:eastAsia="Times New Roman" w:hAnsi="Times New Roman"/>
          <w:sz w:val="18"/>
          <w:szCs w:val="18"/>
          <w:color w:val="auto"/>
        </w:rPr>
        <w:t>”). Pursuant to the Third Amendment, the interest rate was reduced by 50 basis points to SOFR + 2.75% from SOFR + 3.25% with the SOFR floor unchanged at 0.00%. The credit spread adjustment, ranging from 0.11448% to 0.71513%, was eliminated, which resulted in a total savings of 61.5 basis points. In addition, the 2021 Term Loan no longer contains a provision for principal repayments which were previously required to be paid in quarterly installments.</w:t>
      </w:r>
    </w:p>
    <w:p>
      <w:pPr>
        <w:spacing w:after="0" w:line="179"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We evaluated the Refinancing Transaction on a lender-by-lender basis and accounted accordingly for debt extinguishment costs and debt modification costs (for the portion of the transaction that did not meet the accounting criteria for debt extinguishment).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During the nine months ended September 30, 2024 and 2023, we made early repayments of approximately $4.5 million and $172.5 million, respectively, on the 2021 Term Loan, and as a result the total principal outstanding on the 2021 Term Loan was $700.1 million as of September 30, 2024.</w:t>
      </w:r>
    </w:p>
    <w:p>
      <w:pPr>
        <w:spacing w:after="0" w:line="5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We recorded $0.1 million and $0.6 million loss on extinguishment of debt during the three and nine months ended September 30, 2024 primarily related to the write-off of pre-existing deferred financing costs and discounts in connection with the Refinancing Transaction. We recognized a loss on extinguishment of debt of $2.0 million and $3.5 million for the three and nine months ended September 30, 2023, respectively, related to the write-off of pre-existing deferred financing costs and discounts in connection with the early repayments.</w:t>
      </w:r>
    </w:p>
    <w:p>
      <w:pPr>
        <w:spacing w:after="0" w:line="182"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The 2021 Term Loan bears interest based, at our option, on either (i) Term SOFR plus an applicable margin of 2.75% per annum, or (ii) an alternate base rate plus an applicable margin of 1.75% per annum. As of September 30, 2024, the interest rate on the 2021 Term Loan was 7.6%.</w:t>
      </w:r>
    </w:p>
    <w:p>
      <w:pPr>
        <w:spacing w:after="0" w:line="163" w:lineRule="exact"/>
        <w:rPr>
          <w:sz w:val="20"/>
          <w:szCs w:val="20"/>
          <w:color w:val="auto"/>
        </w:rPr>
      </w:pPr>
    </w:p>
    <w:p>
      <w:pPr>
        <w:ind w:right="20" w:firstLine="374"/>
        <w:spacing w:after="0" w:line="281"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0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87"/>
        </w:trPr>
        <w:tc>
          <w:tcPr>
            <w:tcW w:w="8740" w:type="dxa"/>
            <w:vAlign w:val="bottom"/>
            <w:tcBorders>
              <w:bottom w:val="single" w:sz="8" w:color="auto"/>
            </w:tcBorders>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36"/>
        </w:trPr>
        <w:tc>
          <w:tcPr>
            <w:tcW w:w="874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874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&lt; 3.70:1.00 and &gt; 3.20:1.00</w:t>
            </w:r>
          </w:p>
        </w:tc>
        <w:tc>
          <w:tcPr>
            <w:tcW w:w="2500" w:type="dxa"/>
            <w:vAlign w:val="bottom"/>
            <w:gridSpan w:val="2"/>
          </w:tcPr>
          <w:p>
            <w:pPr>
              <w:jc w:val="center"/>
              <w:ind w:left="110"/>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40" w:type="dxa"/>
            <w:vAlign w:val="bottom"/>
            <w:gridSpan w:val="5"/>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&lt; 3.20:1.00</w:t>
            </w:r>
          </w:p>
        </w:tc>
        <w:tc>
          <w:tcPr>
            <w:tcW w:w="2500" w:type="dxa"/>
            <w:vAlign w:val="bottom"/>
            <w:gridSpan w:val="2"/>
            <w:shd w:val="clear" w:color="auto" w:fill="CFF0FC"/>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34"/>
        </w:trPr>
        <w:tc>
          <w:tcPr>
            <w:tcW w:w="33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auto"/>
            </w:tcBorders>
            <w:shd w:val="clear" w:color="auto" w:fill="CFF0FC"/>
          </w:tcPr>
          <w:p>
            <w:pPr>
              <w:spacing w:after="0"/>
              <w:rPr>
                <w:sz w:val="2"/>
                <w:szCs w:val="2"/>
                <w:color w:val="auto"/>
              </w:rPr>
            </w:pPr>
          </w:p>
        </w:tc>
        <w:tc>
          <w:tcPr>
            <w:tcW w:w="46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30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 xml:space="preserve">Subsequent to September 30, 2024, we amended the 2021 Term Loan agreement to refinance the entire outstanding amount under the 2021 Term Loan and reduced the interest rate by 50 basis points. See Note 15,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in Part I, Item 1, Financial Statements,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66"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6"/>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102.750%</w:t>
            </w:r>
          </w:p>
        </w:tc>
      </w:tr>
      <w:tr>
        <w:trPr>
          <w:trHeight w:val="238"/>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25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101.375%</w:t>
            </w:r>
          </w:p>
        </w:tc>
      </w:tr>
      <w:tr>
        <w:trPr>
          <w:trHeight w:val="247"/>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2026 and thereafter</w:t>
            </w:r>
          </w:p>
        </w:tc>
        <w:tc>
          <w:tcPr>
            <w:tcW w:w="250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with a commitment of up to $75.0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Term SOFR plus an applicable margin, or (2) an alternate base rate, plus an applicable margin. The margin percentage applied to (1) Term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Term SOFR and the applicable margin percentages. There were no outstanding borrowings on the Revolver as of September 30, 2024 or December 31, 2023. The availability to borrow was $74.6 million, net of $0.4 million of outstanding letters of credit at September 30, 2024.</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7" w:name="page38"/>
    <w:bookmarkEnd w:id="37"/>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$0.4 million of outstanding letters of credit as of September 30, 2024.</w:t>
      </w:r>
    </w:p>
    <w:p>
      <w:pPr>
        <w:spacing w:after="0" w:line="16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September 30, 2024, we were compliant with all debt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$18.7 million and $20.4 million for the three months ended September 30, 2024 and 2023, respectively, and $57.2 million and $65.8 million for the nine months ended September 30, 2024 and 2023,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We perform our annual goodwill impairment assessment at October 1 of each year, or more frequently if events or changes in circumstances indicate the carrying value may not be recoverable. In connection with the 2023 annual assessment, we concluded there was no impairment for any of our four reporting units. We performed a quantitative impairment test for the Parking Solutions reporting unit as of October 1, 2023 which resulted in the estimated fair value exceeding the reporting unit’s carrying value by approximately 7%.</w:t>
      </w:r>
    </w:p>
    <w:p>
      <w:pPr>
        <w:spacing w:after="0" w:line="11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 xml:space="preserve">Due to recent performance that unfavorably impacted the Parking Solutions business, including changes in leadership as well as lower revenue growth and profitability margins for certain programs than previously estimated, it is reasonably possible that the changes in one or more assumptions, including a significant decline in compounded annual revenue growth rates, increase in the discount rate, or shortfalls in the financial performance relative to projections used to estimate fair value could result in a material impairment of goodwill in future periods. Refer to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Financial Condition and Results of Operations </w:t>
      </w:r>
      <w:r>
        <w:rPr>
          <w:rFonts w:ascii="Times New Roman" w:cs="Times New Roman" w:eastAsia="Times New Roman" w:hAnsi="Times New Roman"/>
          <w:sz w:val="18"/>
          <w:szCs w:val="18"/>
          <w:color w:val="auto"/>
        </w:rPr>
        <w:t>within the 2023 Annual Report on Form 10-K for further discussion of assumptions and methodology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September 30,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firstLine="374"/>
        <w:spacing w:after="0" w:line="283"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 on the 2021 Term Loan described in Part I,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53"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$700.1 million at September 30, 2024. The 2021 Term Loan bears interest based, at our option, on either (i) Term SOFR plus an applicable margin of 2.75% per annum, or (ii) an alternate base rate plus an applicable margin of 1.75% per annum. As of September 30, 2024, the interest rate on the 2021 Term Loan was 7.6%.</w:t>
      </w:r>
    </w:p>
    <w:p>
      <w:pPr>
        <w:spacing w:after="0" w:line="74"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Based on the September 30, 2024 balance outstanding, each 1% movement in interest rates will result in an approximately $7.0 million change in annual interest expense.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8" w:name="page39"/>
    <w:bookmarkEnd w:id="38"/>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In December 2022, we entered into a cancellable interest rate swap agreement to hedge our exposure to interest rate fluctuations associated with the LIBOR (now transitioned to Term SOFR) portion of the variable interest rate on our 2021 Term Loan. We exercised our option to cancel the interest rate swap as of September 30,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Based on the results of our assessment, our management concluded that our disclosure controls and procedures were not effective as of September 30, 2024 due to a material weakness in our internal control over financial reporting described below and previously disclosed in Part II, Item 9A. “Controls and Procedures”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w:t>
      </w:r>
    </w:p>
    <w:p>
      <w:pPr>
        <w:spacing w:after="0" w:line="11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identified a material weakness in the design and operation of our internal controls over financial reporting in the “Control Activities” component of the Committee of Sponsoring Organizations (COSO) framework related to a lack of information technology general controls to prevent the risk of management override. Specifically, we identified system limitations that do not facilitate proper segregation of duties within multiple systems and a lack of mitigating business process level controls to address the risk of management override over the preparation and review of manual journal entries and certain manual revenue invoices.</w:t>
      </w:r>
    </w:p>
    <w:p>
      <w:pPr>
        <w:spacing w:after="0" w:line="290" w:lineRule="exact"/>
        <w:rPr>
          <w:sz w:val="20"/>
          <w:szCs w:val="20"/>
          <w:color w:val="auto"/>
        </w:rPr>
      </w:pPr>
    </w:p>
    <w:p>
      <w:pPr>
        <w:jc w:val="both"/>
        <w:ind w:firstLine="374"/>
        <w:spacing w:after="0" w:line="281" w:lineRule="auto"/>
        <w:rPr>
          <w:sz w:val="20"/>
          <w:szCs w:val="20"/>
          <w:color w:val="auto"/>
        </w:rPr>
      </w:pPr>
      <w:r>
        <w:rPr>
          <w:rFonts w:ascii="Times New Roman" w:cs="Times New Roman" w:eastAsia="Times New Roman" w:hAnsi="Times New Roman"/>
          <w:sz w:val="18"/>
          <w:szCs w:val="18"/>
          <w:color w:val="auto"/>
        </w:rPr>
        <w:t>While this deficiency did not result in any material misstatements of our consolidated interim or annual financial statements, it does represent a material weakness in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 to Address the Material Weakness</w:t>
      </w:r>
    </w:p>
    <w:p>
      <w:pPr>
        <w:spacing w:after="0" w:line="14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previously described in Part II, Item 9A. “Controls and Procedures” in our Annual Report, we began implementing a remediation plan to address the material weakness discussed above. The material weakness will not be considered remediated until the applicable controls operate for a sufficient period of time and management has concluded, through testing, that these controls are operating effectively. The Company has devoted, significant time and resources to complete its remediation of the material weakness. The Company is targeting completion of the remediation and testing of the material weakness by the end of the 2024 fiscal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or 15d-15(f) of the Exchange Act) that occurred during the quarter ended September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firstLine="374"/>
        <w:spacing w:after="0" w:line="281" w:lineRule="auto"/>
        <w:rPr>
          <w:sz w:val="20"/>
          <w:szCs w:val="20"/>
          <w:color w:val="auto"/>
        </w:rPr>
      </w:pPr>
      <w:r>
        <w:rPr>
          <w:rFonts w:ascii="Times New Roman" w:cs="Times New Roman" w:eastAsia="Times New Roman" w:hAnsi="Times New Roman"/>
          <w:sz w:val="18"/>
          <w:szCs w:val="18"/>
          <w:color w:val="auto"/>
        </w:rPr>
        <w:t>From time to time we may become involved with various legal proceedings. Refer to the information contained under the heading “Legal Proceedings” in Note 13 to our Unaudited Condensed Consolidated Financial Statements included in Part 1,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jc w:val="both"/>
        <w:ind w:firstLine="374"/>
        <w:spacing w:after="0" w:line="265" w:lineRule="auto"/>
        <w:rPr>
          <w:sz w:val="20"/>
          <w:szCs w:val="20"/>
          <w:color w:val="auto"/>
        </w:rPr>
      </w:pPr>
      <w:r>
        <w:rPr>
          <w:rFonts w:ascii="Times New Roman" w:cs="Times New Roman" w:eastAsia="Times New Roman" w:hAnsi="Times New Roman"/>
          <w:sz w:val="18"/>
          <w:szCs w:val="18"/>
          <w:color w:val="auto"/>
        </w:rPr>
        <w:t>Part I, Item 1A. “Risk Factors” in our Annual Report includes a discussion of our risk factors. There have been no material changes from the risk factors described in our Annual Report. We may disclose changes to such risk factors or disclose additional risk factors from time to time in our future SEC filings.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purchases of our Class A Common Stock during the three months ended September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September 30, 2024.</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executive officers adopted or terminated a Rule 10b5-1 trading arrangement or a non-Rule 10b5-1 trading arrangement. (as each term is defined in Item 408 of Regulation 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177"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6"/>
        </w:trPr>
        <w:tc>
          <w:tcPr>
            <w:tcW w:w="9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960" w:type="dxa"/>
            <w:vAlign w:val="bottom"/>
            <w:gridSpan w:val="1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13"/>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4940" w:type="dxa"/>
            <w:vAlign w:val="bottom"/>
            <w:tcBorders>
              <w:bottom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Second Amended and Restated Certificate of Incorporation of</w:t>
              </w:r>
            </w:hyperlink>
          </w:p>
        </w:tc>
        <w:tc>
          <w:tcPr>
            <w:tcW w:w="60" w:type="dxa"/>
            <w:vAlign w:val="bottom"/>
            <w:gridSpan w:val="3"/>
          </w:tcPr>
          <w:p>
            <w:pPr>
              <w:spacing w:after="0"/>
              <w:rPr>
                <w:sz w:val="15"/>
                <w:szCs w:val="15"/>
                <w:color w:val="auto"/>
              </w:rPr>
            </w:pPr>
          </w:p>
        </w:tc>
        <w:tc>
          <w:tcPr>
            <w:tcW w:w="8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7"/>
              <w:spacing w:after="0" w:line="182" w:lineRule="exact"/>
              <w:rPr>
                <w:sz w:val="20"/>
                <w:szCs w:val="20"/>
                <w:color w:val="auto"/>
              </w:rPr>
            </w:pPr>
            <w:r>
              <w:rPr>
                <w:rFonts w:ascii="Times New Roman" w:cs="Times New Roman" w:eastAsia="Times New Roman" w:hAnsi="Times New Roman"/>
                <w:sz w:val="18"/>
                <w:szCs w:val="18"/>
                <w:color w:val="auto"/>
                <w:w w:val="99"/>
              </w:rPr>
              <w:t>001-37979</w:t>
            </w: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October 22, 2018</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7"/>
          </w:tcPr>
          <w:p>
            <w:pPr>
              <w:spacing w:after="0" w:line="195"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Verra Mobility Corporation.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7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5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Amended and Restated Bylaws of Verra Mobility Corporation.</w:t>
              </w:r>
            </w:hyperlink>
          </w:p>
        </w:tc>
        <w:tc>
          <w:tcPr>
            <w:tcW w:w="20" w:type="dxa"/>
            <w:vAlign w:val="bottom"/>
            <w:tcBorders>
              <w:bottom w:val="single" w:sz="8" w:color="0000EE"/>
            </w:tcBorders>
          </w:tcPr>
          <w:p>
            <w:pPr>
              <w:spacing w:after="0"/>
              <w:rPr>
                <w:sz w:val="24"/>
                <w:szCs w:val="24"/>
                <w:color w:val="auto"/>
              </w:rPr>
            </w:pPr>
          </w:p>
        </w:tc>
        <w:tc>
          <w:tcPr>
            <w:tcW w:w="46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001-37979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9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Amendment No. 4 to Amended and Restated First Lien Term Loan</w:t>
              </w:r>
            </w:hyperlink>
          </w:p>
        </w:tc>
        <w:tc>
          <w:tcPr>
            <w:tcW w:w="4294967177" w:type="dxa"/>
            <w:vAlign w:val="bottom"/>
            <w:tcBorders>
              <w:bottom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001-37979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7, 2024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Credit Agreement, dated as of October 3, 2024, by and among</w:t>
              </w:r>
            </w:hyperlink>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Greenlight  Acquisition  Corporation,  VM  Consolidated,  Inc.</w:t>
              </w:r>
            </w:hyperlink>
          </w:p>
        </w:tc>
        <w:tc>
          <w:tcPr>
            <w:tcW w:w="20" w:type="dxa"/>
            <w:vAlign w:val="bottom"/>
            <w:tcBorders>
              <w:bottom w:val="single" w:sz="8" w:color="0000EE"/>
            </w:tcBorders>
          </w:tcPr>
          <w:p>
            <w:pPr>
              <w:spacing w:after="0"/>
              <w:rPr>
                <w:sz w:val="17"/>
                <w:szCs w:val="17"/>
                <w:color w:val="auto"/>
              </w:rPr>
            </w:pPr>
          </w:p>
        </w:tc>
        <w:tc>
          <w:tcPr>
            <w:tcW w:w="1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2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(formerly known as ATS Consolidated, Inc.), American Traffic</w:t>
              </w:r>
            </w:hyperlink>
          </w:p>
        </w:tc>
        <w:tc>
          <w:tcPr>
            <w:tcW w:w="20" w:type="dxa"/>
            <w:vAlign w:val="bottom"/>
            <w:tcBorders>
              <w:bottom w:val="single" w:sz="8" w:color="0000EE"/>
            </w:tcBorders>
          </w:tcPr>
          <w:p>
            <w:pPr>
              <w:spacing w:after="0"/>
              <w:rPr>
                <w:sz w:val="17"/>
                <w:szCs w:val="17"/>
                <w:color w:val="auto"/>
              </w:rPr>
            </w:pPr>
          </w:p>
        </w:tc>
        <w:tc>
          <w:tcPr>
            <w:tcW w:w="16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6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Solutions, Inc., and LaserCraft, Inc. the subsidiary guarantors</w:t>
              </w:r>
            </w:hyperlink>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6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party thereto, the lenders party thereto and Bank of America, N.A.,</w:t>
              </w:r>
            </w:hyperlink>
          </w:p>
        </w:tc>
        <w:tc>
          <w:tcPr>
            <w:tcW w:w="1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7"/>
          </w:tcPr>
          <w:p>
            <w:pPr>
              <w:spacing w:after="0" w:line="195"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as Administrative Agent and Collateral Agent.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0000FF"/>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20" w:type="dxa"/>
            <w:vAlign w:val="bottom"/>
            <w:tcBorders>
              <w:bottom w:val="single" w:sz="8" w:color="0000EE"/>
            </w:tcBorders>
          </w:tcPr>
          <w:p>
            <w:pPr>
              <w:spacing w:after="0"/>
              <w:rPr>
                <w:sz w:val="24"/>
                <w:szCs w:val="24"/>
                <w:color w:val="auto"/>
              </w:rPr>
            </w:pPr>
          </w:p>
        </w:tc>
        <w:tc>
          <w:tcPr>
            <w:tcW w:w="160" w:type="dxa"/>
            <w:vAlign w:val="bottom"/>
            <w:gridSpan w:val="8"/>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40" w:type="dxa"/>
            <w:vAlign w:val="bottom"/>
            <w:tcBorders>
              <w:bottom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FF"/>
            </w:tcBorders>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10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0000FF"/>
            </w:tcBorders>
            <w:gridSpan w:val="13"/>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0" w:type="dxa"/>
            <w:vAlign w:val="bottom"/>
            <w:gridSpan w:val="17"/>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40" w:type="dxa"/>
            <w:vAlign w:val="bottom"/>
            <w:tcBorders>
              <w:bottom w:val="single" w:sz="8" w:color="0000EE"/>
            </w:tcBorders>
            <w:gridSpan w:val="2"/>
          </w:tcPr>
          <w:p>
            <w:pPr>
              <w:spacing w:after="0"/>
              <w:rPr>
                <w:sz w:val="24"/>
                <w:szCs w:val="24"/>
                <w:color w:val="auto"/>
              </w:rPr>
            </w:pPr>
          </w:p>
        </w:tc>
        <w:tc>
          <w:tcPr>
            <w:tcW w:w="14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60" w:type="dxa"/>
            <w:vAlign w:val="bottom"/>
            <w:tcBorders>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58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12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60" w:type="dxa"/>
            <w:vAlign w:val="bottom"/>
            <w:tcBorders>
              <w:bottom w:val="single" w:sz="8" w:color="0000FF"/>
            </w:tcBorders>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1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0" w:type="dxa"/>
            <w:vAlign w:val="bottom"/>
            <w:tcBorders>
              <w:bottom w:val="single" w:sz="8" w:color="0000EE"/>
            </w:tcBorders>
          </w:tcPr>
          <w:p>
            <w:pPr>
              <w:spacing w:after="0"/>
              <w:rPr>
                <w:sz w:val="17"/>
                <w:szCs w:val="17"/>
                <w:color w:val="auto"/>
              </w:rPr>
            </w:pPr>
          </w:p>
        </w:tc>
        <w:tc>
          <w:tcPr>
            <w:tcW w:w="358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0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right="20" w:firstLine="1"/>
        <w:spacing w:after="0" w:line="281" w:lineRule="auto"/>
        <w:tabs>
          <w:tab w:leader="none" w:pos="2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78" w:lineRule="exact"/>
        <w:rPr>
          <w:sz w:val="20"/>
          <w:szCs w:val="20"/>
          <w:color w:val="auto"/>
        </w:rPr>
      </w:pPr>
    </w:p>
    <w:p>
      <w:pPr>
        <w:ind w:left="20"/>
        <w:spacing w:after="0"/>
        <w:tabs>
          <w:tab w:leader="none" w:pos="5780" w:val="left"/>
          <w:tab w:leader="none" w:pos="6240" w:val="left"/>
        </w:tabs>
        <w:rPr>
          <w:sz w:val="20"/>
          <w:szCs w:val="20"/>
          <w:color w:val="auto"/>
        </w:rPr>
      </w:pPr>
      <w:r>
        <w:rPr>
          <w:rFonts w:ascii="Times New Roman" w:cs="Times New Roman" w:eastAsia="Times New Roman" w:hAnsi="Times New Roman"/>
          <w:sz w:val="18"/>
          <w:szCs w:val="18"/>
          <w:color w:val="auto"/>
        </w:rPr>
        <w:t>Date: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26035</wp:posOffset>
            </wp:positionV>
            <wp:extent cx="31769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176905" cy="8255"/>
                    </a:xfrm>
                    <a:prstGeom prst="rect">
                      <a:avLst/>
                    </a:prstGeom>
                    <a:noFill/>
                  </pic:spPr>
                </pic:pic>
              </a:graphicData>
            </a:graphic>
          </wp:anchor>
        </w:drawing>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0"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color w:val="auto"/>
        </w:rPr>
        <w:t>”) of Verra Mobility Corporation;</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0"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2"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David Roberts</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w:t>
      </w:r>
      <w:r>
        <w:rPr>
          <w:rFonts w:ascii="Times New Roman" w:cs="Times New Roman" w:eastAsia="Times New Roman" w:hAnsi="Times New Roman"/>
          <w:sz w:val="18"/>
          <w:szCs w:val="18"/>
          <w:b w:val="1"/>
          <w:bCs w:val="1"/>
          <w:i w:val="1"/>
          <w:iCs w:val="1"/>
          <w:color w:val="auto"/>
        </w:rPr>
        <w:t>Quarterly Report</w:t>
      </w:r>
      <w:r>
        <w:rPr>
          <w:rFonts w:ascii="Times New Roman" w:cs="Times New Roman" w:eastAsia="Times New Roman" w:hAnsi="Times New Roman"/>
          <w:sz w:val="18"/>
          <w:szCs w:val="18"/>
          <w:color w:val="auto"/>
        </w:rPr>
        <w:t>”) of Verra Mobility Corporation;</w:t>
      </w:r>
    </w:p>
    <w:p>
      <w:pPr>
        <w:spacing w:after="0" w:line="188"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0"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2" w:lineRule="exact"/>
        <w:rPr>
          <w:rFonts w:ascii="Times New Roman" w:cs="Times New Roman" w:eastAsia="Times New Roman" w:hAnsi="Times New Roman"/>
          <w:sz w:val="18"/>
          <w:szCs w:val="18"/>
          <w:color w:val="auto"/>
        </w:rPr>
      </w:pPr>
    </w:p>
    <w:p>
      <w:pPr>
        <w:jc w:val="both"/>
        <w:ind w:left="520" w:hanging="512"/>
        <w:spacing w:after="0" w:line="265"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520" w:hanging="512"/>
        <w:spacing w:after="0" w:line="281"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hanging="503"/>
        <w:spacing w:after="0" w:line="28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40" w:val="left"/>
          <w:tab w:leader="none" w:pos="7200" w:val="left"/>
        </w:tabs>
        <w:rPr>
          <w:sz w:val="20"/>
          <w:szCs w:val="20"/>
          <w:color w:val="auto"/>
        </w:rPr>
      </w:pPr>
      <w:r>
        <w:rPr>
          <w:rFonts w:ascii="Times New Roman" w:cs="Times New Roman" w:eastAsia="Times New Roman" w:hAnsi="Times New Roman"/>
          <w:sz w:val="18"/>
          <w:szCs w:val="18"/>
          <w:color w:val="auto"/>
        </w:rPr>
        <w:t>Dated: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26035</wp:posOffset>
            </wp:positionV>
            <wp:extent cx="2560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September 30, 2024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66"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Times New Roman" w:cs="Times New Roman" w:eastAsia="Times New Roman" w:hAnsi="Times New Roman"/>
          <w:sz w:val="18"/>
          <w:szCs w:val="18"/>
          <w:color w:val="auto"/>
        </w:rPr>
      </w:pPr>
    </w:p>
    <w:p>
      <w:pPr>
        <w:ind w:left="520" w:right="360" w:hanging="512"/>
        <w:spacing w:after="0" w:line="484" w:lineRule="auto"/>
        <w:tabs>
          <w:tab w:leader="none" w:pos="5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This Certification has not been, and shall not be deemed, “filed” with the Securities and Exchange Commission.</w:t>
      </w:r>
    </w:p>
    <w:p>
      <w:pPr>
        <w:spacing w:after="0" w:line="1" w:lineRule="exact"/>
        <w:rPr>
          <w:sz w:val="20"/>
          <w:szCs w:val="20"/>
          <w:color w:val="auto"/>
        </w:rPr>
      </w:pPr>
    </w:p>
    <w:p>
      <w:pPr>
        <w:ind w:left="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Dated: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wp:posOffset>
            </wp:positionV>
            <wp:extent cx="335661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3356610" cy="8255"/>
                    </a:xfrm>
                    <a:prstGeom prst="rect">
                      <a:avLst/>
                    </a:prstGeom>
                    <a:noFill/>
                  </pic:spPr>
                </pic:pic>
              </a:graphicData>
            </a:graphic>
          </wp:anchor>
        </w:drawing>
      </w:r>
    </w:p>
    <w:p>
      <w:pPr>
        <w:spacing w:after="0" w:line="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Roberts</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periodic report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on Form 10-Q for the period ended September 30, 2024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as of the date hereof, solely for purposes of Title 18, Chapter 63, Section 1350 of the United States Code, that to the best of my knowledge:</w:t>
      </w:r>
    </w:p>
    <w:p>
      <w:pPr>
        <w:spacing w:after="0" w:line="66"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6" w:lineRule="exact"/>
        <w:rPr>
          <w:rFonts w:ascii="Times New Roman" w:cs="Times New Roman" w:eastAsia="Times New Roman" w:hAnsi="Times New Roman"/>
          <w:sz w:val="18"/>
          <w:szCs w:val="18"/>
          <w:color w:val="auto"/>
        </w:rPr>
      </w:pPr>
    </w:p>
    <w:p>
      <w:pPr>
        <w:ind w:left="520" w:right="360" w:hanging="512"/>
        <w:spacing w:after="0" w:line="484" w:lineRule="auto"/>
        <w:tabs>
          <w:tab w:leader="none" w:pos="5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This Certification has not been, and shall not be deemed, “filed” with the Securities and Exchange Commission.</w:t>
      </w:r>
    </w:p>
    <w:p>
      <w:pPr>
        <w:spacing w:after="0" w:line="1" w:lineRule="exact"/>
        <w:rPr>
          <w:sz w:val="20"/>
          <w:szCs w:val="20"/>
          <w:color w:val="auto"/>
        </w:rPr>
      </w:pPr>
    </w:p>
    <w:p>
      <w:pPr>
        <w:ind w:left="20"/>
        <w:spacing w:after="0"/>
        <w:tabs>
          <w:tab w:leader="none" w:pos="5400" w:val="left"/>
          <w:tab w:leader="none" w:pos="5960" w:val="left"/>
        </w:tabs>
        <w:rPr>
          <w:sz w:val="20"/>
          <w:szCs w:val="20"/>
          <w:color w:val="auto"/>
        </w:rPr>
      </w:pPr>
      <w:r>
        <w:rPr>
          <w:rFonts w:ascii="Times New Roman" w:cs="Times New Roman" w:eastAsia="Times New Roman" w:hAnsi="Times New Roman"/>
          <w:sz w:val="18"/>
          <w:szCs w:val="18"/>
          <w:color w:val="auto"/>
        </w:rPr>
        <w:t>Dated: October 31,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Craig Conti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26035</wp:posOffset>
            </wp:positionV>
            <wp:extent cx="33477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3347720" cy="8255"/>
                    </a:xfrm>
                    <a:prstGeom prst="rect">
                      <a:avLst/>
                    </a:prstGeom>
                    <a:noFill/>
                  </pic:spPr>
                </pic:pic>
              </a:graphicData>
            </a:graphic>
          </wp:anchor>
        </w:drawing>
      </w:r>
    </w:p>
    <w:p>
      <w:pPr>
        <w:spacing w:after="0" w:line="2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Craig Conti</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decimal"/>
      <w:start w:val="1"/>
    </w:lvl>
    <w:lvl w:ilvl="1">
      <w:lvlJc w:val="left"/>
      <w:lvlText w:val="(%2)"/>
      <w:numFmt w:val="decimal"/>
      <w:start w:val="1"/>
    </w:lvl>
  </w:abstractNum>
  <w:abstractNum w:abstractNumId="13">
    <w:nsid w:val="3F2DBA31"/>
    <w:multiLevelType w:val="hybridMultilevel"/>
    <w:lvl w:ilvl="0">
      <w:lvlJc w:val="left"/>
      <w:lvlText w:val="%1."/>
      <w:numFmt w:val="decimal"/>
      <w:start w:val="9"/>
    </w:lvl>
    <w:lvl w:ilvl="1">
      <w:lvlJc w:val="left"/>
      <w:lvlText w:val="%2"/>
      <w:numFmt w:val="decimal"/>
      <w:start w:val="1"/>
    </w:lvl>
  </w:abstractNum>
  <w:abstractNum w:abstractNumId="14">
    <w:nsid w:val="7C83E458"/>
    <w:multiLevelType w:val="hybridMultilevel"/>
    <w:lvl w:ilvl="0">
      <w:lvlJc w:val="left"/>
      <w:lvlText w:val="%1."/>
      <w:numFmt w:val="decimal"/>
      <w:start w:val="11"/>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295" Type="http://schemas.openxmlformats.org/officeDocument/2006/relationships/hyperlink" Target="https://www.sec.gov/Archives/edgar/data/1682745/000156459018024644/vrrm-ex31_941.htm" TargetMode="External"/><Relationship Id="rId296" Type="http://schemas.openxmlformats.org/officeDocument/2006/relationships/hyperlink" Target="https://www.sec.gov/ix?doc=/Archives/edgar/data/1682745/000095017023062035/vrrm-20231108.htm" TargetMode="External"/><Relationship Id="rId297" Type="http://schemas.openxmlformats.org/officeDocument/2006/relationships/hyperlink" Target="https://www.sec.gov/Archives/edgar/data/1682745/000095017024113090/vrr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2024-10-31T16:22:42Z</dcterms:created>
  <dcterms:modified xsi:type="dcterms:W3CDTF">2024-10-31T16:22:42Z</dcterms:modified>
</cp:coreProperties>
</file>