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vrrm-20260331.htm"/>
      <w:bookmarkStart w:id="1" w:name="ksvrrm20260331"/>
      <w:bookmarkEnd w:id="0"/>
      <w:bookmarkEnd w:id="1"/>
      <w:r>
        <w:rPr/>
        <w:t> </w:t>
      </w:r>
    </w:p>
    <w:p>
      <w:pPr>
        <w:pStyle w:val="TextBody"/>
        <w:pBdr>
          <w:bottom w:val="double" w:sz="4" w:space="1" w:color="000000"/>
        </w:pBdr>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30"/>
        </w:rPr>
      </w:pPr>
      <w:r>
        <w:rPr>
          <w:rFonts w:ascii="Times New Roman" w:hAnsi="Times New Roman"/>
          <w:b/>
          <w:color w:val="000000"/>
          <w:sz w:val="30"/>
        </w:rPr>
        <w:t>UNITED STATES</w:t>
      </w:r>
    </w:p>
    <w:p>
      <w:pPr>
        <w:pStyle w:val="TextBody"/>
        <w:bidi w:val="0"/>
        <w:jc w:val="center"/>
        <w:rPr>
          <w:rFonts w:ascii="Times New Roman" w:hAnsi="Times New Roman"/>
          <w:b/>
          <w:color w:val="000000"/>
          <w:sz w:val="30"/>
        </w:rPr>
      </w:pPr>
      <w:r>
        <w:rPr>
          <w:rFonts w:ascii="Times New Roman" w:hAnsi="Times New Roman"/>
          <w:b/>
          <w:color w:val="000000"/>
          <w:sz w:val="30"/>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(Mark One)</w:t>
      </w:r>
    </w:p>
    <w:p>
      <w:pPr>
        <w:pStyle w:val="TextBody"/>
        <w:bidi w:val="0"/>
        <w:jc w:val="both"/>
        <w:rPr/>
      </w:pPr>
      <w:r>
        <w:rPr>
          <w:color w:val="000000"/>
        </w:rPr>
        <w:t xml:space="preserve">☒ </w:t>
      </w:r>
      <w:r>
        <w:rPr>
          <w:rFonts w:ascii="Times New Roman" w:hAnsi="Times New Roman"/>
          <w:b/>
          <w:color w:val="000000"/>
          <w:sz w:val="20"/>
        </w:rPr>
        <w:t>QUARTERLY REPORT PURSUANT TO SECTION 13 OR 15(d) OF THE SECURITIES EXCHANGE ACT OF 1934</w:t>
      </w:r>
    </w:p>
    <w:p>
      <w:pPr>
        <w:pStyle w:val="TextBody"/>
        <w:bidi w:val="0"/>
        <w:jc w:val="center"/>
        <w:rPr>
          <w:rFonts w:ascii="Times New Roman" w:hAnsi="Times New Roman"/>
          <w:sz w:val="20"/>
        </w:rPr>
      </w:pPr>
      <w:r>
        <w:rPr>
          <w:rFonts w:ascii="Times New Roman" w:hAnsi="Times New Roman"/>
          <w:b/>
          <w:color w:val="000000"/>
          <w:sz w:val="20"/>
        </w:rPr>
        <w:t>For the quarterly period ended March 31, 2026</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p>
      <w:pPr>
        <w:pStyle w:val="TextBody"/>
        <w:bidi w:val="0"/>
        <w:spacing w:before="80" w:after="283"/>
        <w:jc w:val="both"/>
        <w:rPr/>
      </w:pPr>
      <w:r>
        <w:rPr>
          <w:color w:val="000000"/>
        </w:rPr>
        <w:t xml:space="preserve">☐ </w:t>
      </w:r>
      <w:r>
        <w:rPr>
          <w:rFonts w:ascii="Times New Roman" w:hAnsi="Times New Roman"/>
          <w:b/>
          <w:color w:val="000000"/>
          <w:sz w:val="20"/>
        </w:rPr>
        <w:t>TRANSITION REPORT PURSUANT TO SECTION 13 OR 15(d) OF THE SECURITIES EXCHANGE ACT OF 1934</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transition period from ___________ to ___________.</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001-37979</w:t>
      </w:r>
    </w:p>
    <w:p>
      <w:pPr>
        <w:pStyle w:val="TextBody"/>
        <w:pBdr>
          <w:bottom w:val="single" w:sz="4" w:space="1" w:color="000000"/>
        </w:pBdr>
        <w:bidi w:val="0"/>
        <w:jc w:val="center"/>
        <w:rPr/>
      </w:pPr>
      <w:r>
        <w:rPr/>
        <w:t> </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VERRA MOBILITY CORPORATION</w:t>
      </w:r>
    </w:p>
    <w:p>
      <w:pPr>
        <w:pStyle w:val="TextBody"/>
        <w:bidi w:val="0"/>
        <w:jc w:val="center"/>
        <w:rPr>
          <w:rFonts w:ascii="Times New Roman" w:hAnsi="Times New Roman"/>
          <w:sz w:val="20"/>
        </w:rPr>
      </w:pPr>
      <w:r>
        <w:rPr>
          <w:rFonts w:ascii="Times New Roman" w:hAnsi="Times New Roman"/>
          <w:color w:val="000000"/>
          <w:sz w:val="19"/>
        </w:rPr>
        <w:t>(</w:t>
      </w:r>
      <w:r>
        <w:rPr>
          <w:rFonts w:ascii="Times New Roman" w:hAnsi="Times New Roman"/>
          <w:i/>
          <w:color w:val="000000"/>
          <w:sz w:val="19"/>
        </w:rPr>
        <w:t>Exact name of registrant as specified in its charter</w:t>
      </w:r>
      <w:r>
        <w:rPr>
          <w:rFonts w:ascii="Times New Roman" w:hAnsi="Times New Roman"/>
          <w:color w:val="000000"/>
          <w:sz w:val="19"/>
        </w:rPr>
        <w:t>)</w:t>
      </w:r>
    </w:p>
    <w:p>
      <w:pPr>
        <w:pStyle w:val="TextBody"/>
        <w:pBdr>
          <w:bottom w:val="single" w:sz="4" w:space="1" w:color="000000"/>
        </w:pBdr>
        <w:bidi w:val="0"/>
        <w:jc w:val="center"/>
        <w:rPr/>
      </w:pPr>
      <w:r>
        <w:rPr/>
        <w:t> </w:t>
      </w:r>
    </w:p>
    <w:tbl>
      <w:tblPr>
        <w:tblW w:w="5188" w:type="dxa"/>
        <w:jc w:val="left"/>
        <w:tblInd w:w="0" w:type="dxa"/>
        <w:tblLayout w:type="fixed"/>
        <w:tblCellMar>
          <w:top w:w="28" w:type="dxa"/>
          <w:left w:w="28" w:type="dxa"/>
          <w:bottom w:w="28" w:type="dxa"/>
          <w:right w:w="28" w:type="dxa"/>
        </w:tblCellMar>
      </w:tblPr>
      <w:tblGrid>
        <w:gridCol w:w="3376"/>
        <w:gridCol w:w="146"/>
        <w:gridCol w:w="1666"/>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r>
      <w:tr>
        <w:trPr/>
        <w:tc>
          <w:tcPr>
            <w:tcW w:w="33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Delaware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81-3563824</w:t>
            </w:r>
          </w:p>
        </w:tc>
      </w:tr>
      <w:tr>
        <w:trPr/>
        <w:tc>
          <w:tcPr>
            <w:tcW w:w="33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9"/>
              </w:rPr>
            </w:pPr>
            <w:r>
              <w:rPr>
                <w:rFonts w:ascii="Times New Roman" w:hAnsi="Times New Roman"/>
                <w:color w:val="000000"/>
                <w:sz w:val="19"/>
              </w:rPr>
              <w:t>(</w:t>
            </w:r>
            <w:r>
              <w:rPr>
                <w:rFonts w:ascii="Times New Roman" w:hAnsi="Times New Roman"/>
                <w:i/>
                <w:color w:val="000000"/>
                <w:sz w:val="19"/>
              </w:rPr>
              <w:t>State or other jurisdiction of</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9"/>
              </w:rPr>
            </w:pPr>
            <w:r>
              <w:rPr>
                <w:rFonts w:ascii="Times New Roman" w:hAnsi="Times New Roman"/>
                <w:color w:val="000000"/>
                <w:sz w:val="19"/>
              </w:rPr>
              <w:t>(</w:t>
            </w:r>
            <w:r>
              <w:rPr>
                <w:rFonts w:ascii="Times New Roman" w:hAnsi="Times New Roman"/>
                <w:i/>
                <w:color w:val="000000"/>
                <w:sz w:val="19"/>
              </w:rPr>
              <w:t>I.R.S. Employer</w:t>
            </w:r>
          </w:p>
        </w:tc>
      </w:tr>
      <w:tr>
        <w:trPr/>
        <w:tc>
          <w:tcPr>
            <w:tcW w:w="33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9"/>
              </w:rPr>
            </w:pPr>
            <w:r>
              <w:rPr>
                <w:rFonts w:ascii="Times New Roman" w:hAnsi="Times New Roman"/>
                <w:i/>
                <w:color w:val="000000"/>
                <w:sz w:val="19"/>
              </w:rPr>
              <w:t>incorporation or organization</w:t>
            </w:r>
            <w:r>
              <w:rPr>
                <w:rFonts w:ascii="Times New Roman" w:hAnsi="Times New Roman"/>
                <w:color w:val="000000"/>
                <w:sz w:val="19"/>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9"/>
              </w:rPr>
            </w:pPr>
            <w:r>
              <w:rPr>
                <w:rFonts w:ascii="Times New Roman" w:hAnsi="Times New Roman"/>
                <w:i/>
                <w:color w:val="000000"/>
                <w:sz w:val="19"/>
              </w:rPr>
              <w:t>Identification No.</w:t>
            </w:r>
            <w:r>
              <w:rPr>
                <w:rFonts w:ascii="Times New Roman" w:hAnsi="Times New Roman"/>
                <w:color w:val="000000"/>
                <w:sz w:val="19"/>
              </w:rPr>
              <w:t>)</w:t>
            </w:r>
          </w:p>
        </w:tc>
      </w:tr>
      <w:tr>
        <w:trPr/>
        <w:tc>
          <w:tcPr>
            <w:tcW w:w="33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3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2046 Riverview Auto Drive, Suite 300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85201</w:t>
            </w:r>
          </w:p>
        </w:tc>
      </w:tr>
      <w:tr>
        <w:trPr/>
        <w:tc>
          <w:tcPr>
            <w:tcW w:w="33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Mesa, Arizona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9"/>
              </w:rPr>
            </w:pPr>
            <w:r>
              <w:rPr>
                <w:rFonts w:ascii="Times New Roman" w:hAnsi="Times New Roman"/>
                <w:color w:val="000000"/>
                <w:sz w:val="19"/>
              </w:rPr>
              <w:t>(</w:t>
            </w:r>
            <w:r>
              <w:rPr>
                <w:rFonts w:ascii="Times New Roman" w:hAnsi="Times New Roman"/>
                <w:i/>
                <w:color w:val="000000"/>
                <w:sz w:val="19"/>
              </w:rPr>
              <w:t>Zip Code</w:t>
            </w:r>
            <w:r>
              <w:rPr>
                <w:rFonts w:ascii="Times New Roman" w:hAnsi="Times New Roman"/>
                <w:color w:val="000000"/>
                <w:sz w:val="19"/>
              </w:rPr>
              <w:t>)</w:t>
            </w:r>
          </w:p>
        </w:tc>
      </w:tr>
      <w:tr>
        <w:trPr/>
        <w:tc>
          <w:tcPr>
            <w:tcW w:w="33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9"/>
              </w:rPr>
            </w:pPr>
            <w:r>
              <w:rPr>
                <w:rFonts w:ascii="Times New Roman" w:hAnsi="Times New Roman"/>
                <w:color w:val="000000"/>
                <w:sz w:val="19"/>
              </w:rPr>
              <w:t>(</w:t>
            </w:r>
            <w:r>
              <w:rPr>
                <w:rFonts w:ascii="Times New Roman" w:hAnsi="Times New Roman"/>
                <w:i/>
                <w:color w:val="000000"/>
                <w:sz w:val="19"/>
              </w:rPr>
              <w:t>Address of Principal Executive Offices</w:t>
            </w:r>
            <w:r>
              <w:rPr>
                <w:rFonts w:ascii="Times New Roman" w:hAnsi="Times New Roman"/>
                <w:color w:val="000000"/>
                <w:sz w:val="19"/>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80" w:after="283"/>
        <w:jc w:val="center"/>
        <w:rPr>
          <w:rFonts w:ascii="Times New Roman" w:hAnsi="Times New Roman"/>
          <w:b/>
          <w:color w:val="000000"/>
          <w:sz w:val="19"/>
        </w:rPr>
      </w:pPr>
      <w:r>
        <w:rPr>
          <w:rFonts w:ascii="Times New Roman" w:hAnsi="Times New Roman"/>
          <w:b/>
          <w:color w:val="000000"/>
          <w:sz w:val="19"/>
        </w:rPr>
        <w:t>(480) 443-7000</w:t>
      </w:r>
    </w:p>
    <w:p>
      <w:pPr>
        <w:pStyle w:val="TextBody"/>
        <w:bidi w:val="0"/>
        <w:jc w:val="center"/>
        <w:rPr>
          <w:rFonts w:ascii="Times New Roman" w:hAnsi="Times New Roman"/>
          <w:sz w:val="20"/>
        </w:rPr>
      </w:pPr>
      <w:r>
        <w:rPr>
          <w:rFonts w:ascii="Times New Roman" w:hAnsi="Times New Roman"/>
          <w:color w:val="000000"/>
          <w:sz w:val="19"/>
        </w:rPr>
        <w:t>(</w:t>
      </w:r>
      <w:r>
        <w:rPr>
          <w:rFonts w:ascii="Times New Roman" w:hAnsi="Times New Roman"/>
          <w:i/>
          <w:color w:val="000000"/>
          <w:sz w:val="19"/>
        </w:rPr>
        <w:t>Registrant’s Telephone Number, Including Area Code</w:t>
      </w:r>
      <w:r>
        <w:rPr>
          <w:rFonts w:ascii="Times New Roman" w:hAnsi="Times New Roman"/>
          <w:color w:val="000000"/>
          <w:sz w:val="19"/>
        </w:rPr>
        <w:t>)</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19"/>
        </w:rPr>
        <w:t>1150 North Alma School Road, Mesa, Arizona</w:t>
      </w:r>
      <w:r>
        <w:rPr>
          <w:rFonts w:ascii="Times New Roman" w:hAnsi="Times New Roman"/>
          <w:color w:val="000000"/>
          <w:sz w:val="20"/>
        </w:rPr>
        <w:t xml:space="preserve"> </w:t>
      </w:r>
      <w:r>
        <w:rPr>
          <w:rFonts w:ascii="Times New Roman" w:hAnsi="Times New Roman"/>
          <w:b/>
          <w:color w:val="000000"/>
          <w:sz w:val="19"/>
        </w:rPr>
        <w:t>85201</w:t>
      </w:r>
    </w:p>
    <w:p>
      <w:pPr>
        <w:pStyle w:val="TextBody"/>
        <w:bidi w:val="0"/>
        <w:jc w:val="center"/>
        <w:rPr>
          <w:rFonts w:ascii="Times New Roman" w:hAnsi="Times New Roman"/>
          <w:sz w:val="20"/>
        </w:rPr>
      </w:pPr>
      <w:r>
        <w:rPr>
          <w:rFonts w:ascii="Times New Roman" w:hAnsi="Times New Roman"/>
          <w:color w:val="000000"/>
          <w:sz w:val="19"/>
        </w:rPr>
        <w:t>(</w:t>
      </w:r>
      <w:r>
        <w:rPr>
          <w:rFonts w:ascii="Times New Roman" w:hAnsi="Times New Roman"/>
          <w:i/>
          <w:color w:val="000000"/>
          <w:sz w:val="19"/>
        </w:rPr>
        <w:t>Former name, former address and former fiscal year, if changed since last report</w:t>
      </w:r>
      <w:r>
        <w:rPr>
          <w:rFonts w:ascii="Times New Roman" w:hAnsi="Times New Roman"/>
          <w:color w:val="000000"/>
          <w:sz w:val="19"/>
        </w:rPr>
        <w:t>)</w:t>
      </w:r>
    </w:p>
    <w:p>
      <w:pPr>
        <w:pStyle w:val="TextBody"/>
        <w:bidi w:val="0"/>
        <w:jc w:val="center"/>
        <w:rPr/>
      </w:pPr>
      <w:r>
        <w:rPr/>
        <w:t> </w:t>
      </w:r>
    </w:p>
    <w:p>
      <w:pPr>
        <w:pStyle w:val="TextBody"/>
        <w:bidi w:val="0"/>
        <w:spacing w:before="80" w:after="283"/>
        <w:jc w:val="center"/>
        <w:rPr>
          <w:rFonts w:ascii="Times New Roman" w:hAnsi="Times New Roman"/>
          <w:color w:val="000000"/>
          <w:sz w:val="19"/>
        </w:rPr>
      </w:pPr>
      <w:r>
        <w:rPr>
          <w:rFonts w:ascii="Times New Roman" w:hAnsi="Times New Roman"/>
          <w:color w:val="000000"/>
          <w:sz w:val="19"/>
        </w:rPr>
        <w:t>Securities registered pursuant to Section 12(b) of the Act:</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456"/>
        <w:gridCol w:w="146"/>
        <w:gridCol w:w="1513"/>
        <w:gridCol w:w="146"/>
        <w:gridCol w:w="3944"/>
      </w:tblGrid>
      <w:tr>
        <w:trPr/>
        <w:tc>
          <w:tcPr>
            <w:tcW w:w="4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4" w:type="dxa"/>
            <w:tcBorders/>
            <w:vAlign w:val="center"/>
          </w:tcPr>
          <w:p>
            <w:pPr>
              <w:pStyle w:val="TableContents"/>
              <w:bidi w:val="0"/>
              <w:spacing w:before="0" w:after="283"/>
              <w:jc w:val="left"/>
              <w:rPr>
                <w:sz w:val="4"/>
                <w:szCs w:val="4"/>
              </w:rPr>
            </w:pPr>
            <w:r>
              <w:rPr>
                <w:sz w:val="4"/>
                <w:szCs w:val="4"/>
              </w:rPr>
            </w:r>
          </w:p>
        </w:tc>
      </w:tr>
      <w:tr>
        <w:trPr/>
        <w:tc>
          <w:tcPr>
            <w:tcW w:w="4456" w:type="dxa"/>
            <w:tcBorders/>
            <w:tcMar>
              <w:top w:w="0" w:type="dxa"/>
              <w:left w:w="0" w:type="dxa"/>
              <w:bottom w:w="0" w:type="dxa"/>
              <w:right w:w="0" w:type="dxa"/>
            </w:tcMar>
            <w:vAlign w:val="center"/>
          </w:tcPr>
          <w:p>
            <w:pPr>
              <w:pStyle w:val="TableContents"/>
              <w:bidi w:val="0"/>
              <w:spacing w:before="0" w:after="44"/>
              <w:jc w:val="center"/>
              <w:rPr>
                <w:rFonts w:ascii="Times New Roman" w:hAnsi="Times New Roman"/>
                <w:i/>
                <w:color w:val="000000"/>
                <w:sz w:val="19"/>
              </w:rPr>
            </w:pPr>
            <w:r>
              <w:rPr>
                <w:rFonts w:ascii="Times New Roman" w:hAnsi="Times New Roman"/>
                <w:i/>
                <w:color w:val="000000"/>
                <w:sz w:val="19"/>
              </w:rPr>
              <w:t>(Title of Each Class)</w:t>
            </w:r>
          </w:p>
        </w:tc>
        <w:tc>
          <w:tcPr>
            <w:tcW w:w="146" w:type="dxa"/>
            <w:tcBorders/>
            <w:tcMar>
              <w:top w:w="0" w:type="dxa"/>
              <w:left w:w="0" w:type="dxa"/>
              <w:bottom w:w="0" w:type="dxa"/>
              <w:right w:w="0" w:type="dxa"/>
            </w:tcMar>
            <w:vAlign w:val="center"/>
          </w:tcPr>
          <w:p>
            <w:pPr>
              <w:pStyle w:val="TableContents"/>
              <w:bidi w:val="0"/>
              <w:spacing w:before="0" w:after="44"/>
              <w:jc w:val="center"/>
              <w:rPr/>
            </w:pPr>
            <w:r>
              <w:rPr/>
              <w:t> </w:t>
            </w:r>
          </w:p>
        </w:tc>
        <w:tc>
          <w:tcPr>
            <w:tcW w:w="1513" w:type="dxa"/>
            <w:tcBorders/>
            <w:tcMar>
              <w:top w:w="0" w:type="dxa"/>
              <w:left w:w="0" w:type="dxa"/>
              <w:bottom w:w="0" w:type="dxa"/>
              <w:right w:w="0" w:type="dxa"/>
            </w:tcMar>
            <w:vAlign w:val="center"/>
          </w:tcPr>
          <w:p>
            <w:pPr>
              <w:pStyle w:val="TableContents"/>
              <w:bidi w:val="0"/>
              <w:spacing w:before="0" w:after="44"/>
              <w:jc w:val="center"/>
              <w:rPr>
                <w:rFonts w:ascii="Times New Roman" w:hAnsi="Times New Roman"/>
                <w:i/>
                <w:color w:val="000000"/>
                <w:sz w:val="19"/>
              </w:rPr>
            </w:pPr>
            <w:r>
              <w:rPr>
                <w:rFonts w:ascii="Times New Roman" w:hAnsi="Times New Roman"/>
                <w:i/>
                <w:color w:val="000000"/>
                <w:sz w:val="19"/>
              </w:rPr>
              <w:t>(Trading Symbol)</w:t>
            </w:r>
          </w:p>
        </w:tc>
        <w:tc>
          <w:tcPr>
            <w:tcW w:w="146" w:type="dxa"/>
            <w:tcBorders/>
            <w:tcMar>
              <w:top w:w="0" w:type="dxa"/>
              <w:left w:w="0" w:type="dxa"/>
              <w:bottom w:w="0" w:type="dxa"/>
              <w:right w:w="0" w:type="dxa"/>
            </w:tcMar>
            <w:vAlign w:val="center"/>
          </w:tcPr>
          <w:p>
            <w:pPr>
              <w:pStyle w:val="TableContents"/>
              <w:bidi w:val="0"/>
              <w:spacing w:before="0" w:after="44"/>
              <w:jc w:val="center"/>
              <w:rPr/>
            </w:pPr>
            <w:r>
              <w:rPr/>
              <w:t> </w:t>
            </w:r>
          </w:p>
        </w:tc>
        <w:tc>
          <w:tcPr>
            <w:tcW w:w="3944" w:type="dxa"/>
            <w:tcBorders/>
            <w:tcMar>
              <w:top w:w="0" w:type="dxa"/>
              <w:left w:w="0" w:type="dxa"/>
              <w:bottom w:w="0" w:type="dxa"/>
              <w:right w:w="0" w:type="dxa"/>
            </w:tcMar>
            <w:vAlign w:val="center"/>
          </w:tcPr>
          <w:p>
            <w:pPr>
              <w:pStyle w:val="TableContents"/>
              <w:bidi w:val="0"/>
              <w:spacing w:before="0" w:after="44"/>
              <w:jc w:val="center"/>
              <w:rPr>
                <w:rFonts w:ascii="Times New Roman" w:hAnsi="Times New Roman"/>
                <w:i/>
                <w:color w:val="000000"/>
                <w:sz w:val="19"/>
              </w:rPr>
            </w:pPr>
            <w:r>
              <w:rPr>
                <w:rFonts w:ascii="Times New Roman" w:hAnsi="Times New Roman"/>
                <w:i/>
                <w:color w:val="000000"/>
                <w:sz w:val="19"/>
              </w:rPr>
              <w:t>(Name of Each Exchange on Which Registered)</w:t>
            </w:r>
          </w:p>
        </w:tc>
      </w:tr>
      <w:tr>
        <w:trPr/>
        <w:tc>
          <w:tcPr>
            <w:tcW w:w="4456" w:type="dxa"/>
            <w:tcBorders/>
            <w:tcMar>
              <w:top w:w="0" w:type="dxa"/>
              <w:left w:w="0" w:type="dxa"/>
              <w:bottom w:w="0" w:type="dxa"/>
              <w:right w:w="0" w:type="dxa"/>
            </w:tcMar>
            <w:vAlign w:val="center"/>
          </w:tcPr>
          <w:p>
            <w:pPr>
              <w:pStyle w:val="TableContents"/>
              <w:bidi w:val="0"/>
              <w:spacing w:before="0" w:after="44"/>
              <w:jc w:val="center"/>
              <w:rPr>
                <w:rFonts w:ascii="Times New Roman" w:hAnsi="Times New Roman"/>
                <w:b/>
                <w:color w:val="000000"/>
                <w:sz w:val="19"/>
              </w:rPr>
            </w:pPr>
            <w:r>
              <w:rPr>
                <w:rFonts w:ascii="Times New Roman" w:hAnsi="Times New Roman"/>
                <w:b/>
                <w:color w:val="000000"/>
                <w:sz w:val="19"/>
              </w:rPr>
              <w:t>Class A Common Stock, par value $0.0001 per share</w:t>
            </w:r>
          </w:p>
        </w:tc>
        <w:tc>
          <w:tcPr>
            <w:tcW w:w="146" w:type="dxa"/>
            <w:tcBorders/>
            <w:tcMar>
              <w:top w:w="0" w:type="dxa"/>
              <w:left w:w="0" w:type="dxa"/>
              <w:bottom w:w="0" w:type="dxa"/>
              <w:right w:w="0" w:type="dxa"/>
            </w:tcMar>
            <w:vAlign w:val="center"/>
          </w:tcPr>
          <w:p>
            <w:pPr>
              <w:pStyle w:val="TableContents"/>
              <w:bidi w:val="0"/>
              <w:spacing w:before="0" w:after="44"/>
              <w:jc w:val="center"/>
              <w:rPr/>
            </w:pPr>
            <w:r>
              <w:rPr/>
              <w:t> </w:t>
            </w:r>
          </w:p>
        </w:tc>
        <w:tc>
          <w:tcPr>
            <w:tcW w:w="1513" w:type="dxa"/>
            <w:tcBorders/>
            <w:tcMar>
              <w:top w:w="0" w:type="dxa"/>
              <w:left w:w="0" w:type="dxa"/>
              <w:bottom w:w="0" w:type="dxa"/>
              <w:right w:w="0" w:type="dxa"/>
            </w:tcMar>
            <w:vAlign w:val="center"/>
          </w:tcPr>
          <w:p>
            <w:pPr>
              <w:pStyle w:val="TableContents"/>
              <w:bidi w:val="0"/>
              <w:spacing w:before="0" w:after="44"/>
              <w:jc w:val="center"/>
              <w:rPr>
                <w:rFonts w:ascii="Times New Roman" w:hAnsi="Times New Roman"/>
                <w:b/>
                <w:caps/>
                <w:color w:val="000000"/>
                <w:sz w:val="19"/>
              </w:rPr>
            </w:pPr>
            <w:r>
              <w:rPr>
                <w:rFonts w:ascii="Times New Roman" w:hAnsi="Times New Roman"/>
                <w:b/>
                <w:caps/>
                <w:color w:val="000000"/>
                <w:sz w:val="19"/>
              </w:rPr>
              <w:t>VRRM</w:t>
            </w:r>
          </w:p>
        </w:tc>
        <w:tc>
          <w:tcPr>
            <w:tcW w:w="146" w:type="dxa"/>
            <w:tcBorders/>
            <w:tcMar>
              <w:top w:w="0" w:type="dxa"/>
              <w:left w:w="0" w:type="dxa"/>
              <w:bottom w:w="0" w:type="dxa"/>
              <w:right w:w="0" w:type="dxa"/>
            </w:tcMar>
            <w:vAlign w:val="center"/>
          </w:tcPr>
          <w:p>
            <w:pPr>
              <w:pStyle w:val="TableContents"/>
              <w:bidi w:val="0"/>
              <w:spacing w:before="0" w:after="44"/>
              <w:jc w:val="center"/>
              <w:rPr/>
            </w:pPr>
            <w:r>
              <w:rPr/>
              <w:t> </w:t>
            </w:r>
          </w:p>
        </w:tc>
        <w:tc>
          <w:tcPr>
            <w:tcW w:w="3944" w:type="dxa"/>
            <w:tcBorders/>
            <w:tcMar>
              <w:top w:w="0" w:type="dxa"/>
              <w:left w:w="0" w:type="dxa"/>
              <w:bottom w:w="0" w:type="dxa"/>
              <w:right w:w="0" w:type="dxa"/>
            </w:tcMar>
            <w:vAlign w:val="center"/>
          </w:tcPr>
          <w:p>
            <w:pPr>
              <w:pStyle w:val="TableContents"/>
              <w:bidi w:val="0"/>
              <w:spacing w:before="0" w:after="44"/>
              <w:jc w:val="center"/>
              <w:rPr>
                <w:rFonts w:ascii="Times New Roman" w:hAnsi="Times New Roman"/>
                <w:sz w:val="20"/>
              </w:rPr>
            </w:pPr>
            <w:r>
              <w:rPr>
                <w:rFonts w:ascii="Times New Roman" w:hAnsi="Times New Roman"/>
                <w:b/>
                <w:color w:val="000000"/>
                <w:sz w:val="19"/>
              </w:rPr>
              <w:t>Nasdaq</w:t>
            </w:r>
            <w:r>
              <w:rPr>
                <w:rFonts w:ascii="Times New Roman" w:hAnsi="Times New Roman"/>
                <w:color w:val="000000"/>
                <w:sz w:val="20"/>
              </w:rPr>
              <w:t> </w:t>
            </w:r>
            <w:r>
              <w:rPr>
                <w:rFonts w:ascii="Times New Roman" w:hAnsi="Times New Roman"/>
                <w:b/>
                <w:color w:val="000000"/>
                <w:sz w:val="19"/>
              </w:rPr>
              <w:t>Capital Market</w:t>
            </w:r>
          </w:p>
        </w:tc>
      </w:tr>
    </w:tbl>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9"/>
        </w:rPr>
        <w:t>NO ☐</w:t>
      </w:r>
    </w:p>
    <w:p>
      <w:pPr>
        <w:pStyle w:val="TextBody"/>
        <w:bidi w:val="0"/>
        <w:spacing w:before="80" w:after="283"/>
        <w:jc w:val="both"/>
        <w:rPr>
          <w:rFonts w:ascii="Times New Roman" w:hAnsi="Times New Roman"/>
          <w:sz w:val="20"/>
        </w:rPr>
      </w:pPr>
      <w:r>
        <w:rPr>
          <w:rFonts w:ascii="Times New Roman" w:hAnsi="Times New Roman"/>
          <w:color w:val="000000"/>
          <w:sz w:val="19"/>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9"/>
        </w:rPr>
        <w:t>NO ☐</w:t>
      </w:r>
    </w:p>
    <w:p>
      <w:pPr>
        <w:pStyle w:val="TextBody"/>
        <w:bidi w:val="0"/>
        <w:spacing w:before="80" w:after="283"/>
        <w:jc w:val="both"/>
        <w:rPr>
          <w:rFonts w:ascii="Times New Roman" w:hAnsi="Times New Roman"/>
          <w:color w:val="000000"/>
          <w:sz w:val="19"/>
        </w:rPr>
      </w:pPr>
      <w:r>
        <w:rPr>
          <w:rFonts w:ascii="Times New Roman" w:hAnsi="Times New Roman"/>
          <w:color w:val="000000"/>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w:t>
        <w:noBreakHyphen/>
        <w:t>2 of the Exchange Act:</w:t>
      </w:r>
    </w:p>
    <w:p>
      <w:pPr>
        <w:pStyle w:val="TextBody"/>
        <w:bidi w:val="0"/>
        <w:jc w:val="both"/>
        <w:rPr/>
      </w:pPr>
      <w:r>
        <w:rPr/>
        <w:t> </w:t>
      </w:r>
    </w:p>
    <w:tbl>
      <w:tblPr>
        <w:tblW w:w="5055" w:type="dxa"/>
        <w:jc w:val="left"/>
        <w:tblInd w:w="0" w:type="dxa"/>
        <w:tblLayout w:type="fixed"/>
        <w:tblCellMar>
          <w:top w:w="28" w:type="dxa"/>
          <w:left w:w="28" w:type="dxa"/>
          <w:bottom w:w="28" w:type="dxa"/>
          <w:right w:w="28" w:type="dxa"/>
        </w:tblCellMar>
      </w:tblPr>
      <w:tblGrid>
        <w:gridCol w:w="1921"/>
        <w:gridCol w:w="316"/>
        <w:gridCol w:w="146"/>
        <w:gridCol w:w="2311"/>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both"/>
        <w:rPr/>
      </w:pPr>
      <w:r>
        <w:rPr/>
        <w:t> </w:t>
      </w:r>
    </w:p>
    <w:p>
      <w:pPr>
        <w:pStyle w:val="TextBody"/>
        <w:bidi w:val="0"/>
        <w:jc w:val="both"/>
        <w:rPr>
          <w:rFonts w:ascii="Times New Roman" w:hAnsi="Times New Roman"/>
          <w:color w:val="000000"/>
          <w:sz w:val="19"/>
        </w:rPr>
      </w:pPr>
      <w:r>
        <w:rPr>
          <w:rFonts w:ascii="Times New Roman" w:hAnsi="Times New Roman"/>
          <w:color w:val="000000"/>
          <w:sz w:val="19"/>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both"/>
        <w:rPr>
          <w:rFonts w:ascii="Times New Roman" w:hAnsi="Times New Roman"/>
          <w:sz w:val="20"/>
        </w:rPr>
      </w:pPr>
      <w:r>
        <w:rPr>
          <w:rFonts w:ascii="Times New Roman" w:hAnsi="Times New Roman"/>
          <w:color w:val="000000"/>
          <w:sz w:val="19"/>
        </w:rPr>
        <w:t>Indicate by check mark whether the registrant is a shell company (as defined in Rule 12b</w:t>
        <w:noBreakHyphen/>
        <w:t xml:space="preserve">2 of the Exchange Act). YES ☐ NO </w:t>
      </w:r>
      <w:r>
        <w:rPr>
          <w:rFonts w:ascii="Times New Roman" w:hAnsi="Times New Roman"/>
          <w:color w:val="000000"/>
          <w:sz w:val="20"/>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rFonts w:ascii="Times New Roman" w:hAnsi="Times New Roman"/>
          <w:sz w:val="20"/>
        </w:rPr>
      </w:pPr>
      <w:r>
        <w:rPr>
          <w:rFonts w:ascii="Times New Roman" w:hAnsi="Times New Roman"/>
          <w:color w:val="000000"/>
          <w:sz w:val="19"/>
        </w:rPr>
        <w:t>As of May 1, 2026, there were 151,906,653</w:t>
      </w:r>
      <w:r>
        <w:rPr>
          <w:rFonts w:ascii="Times New Roman" w:hAnsi="Times New Roman"/>
          <w:color w:val="000000"/>
          <w:sz w:val="20"/>
        </w:rPr>
        <w:t xml:space="preserve"> </w:t>
      </w:r>
      <w:r>
        <w:rPr>
          <w:rFonts w:ascii="Times New Roman" w:hAnsi="Times New Roman"/>
          <w:color w:val="000000"/>
          <w:sz w:val="19"/>
        </w:rPr>
        <w:t>shares</w:t>
      </w:r>
      <w:r>
        <w:rPr>
          <w:rFonts w:ascii="Times New Roman" w:hAnsi="Times New Roman"/>
          <w:color w:val="000000"/>
          <w:sz w:val="20"/>
        </w:rPr>
        <w:t xml:space="preserve"> </w:t>
      </w:r>
      <w:r>
        <w:rPr>
          <w:rFonts w:ascii="Times New Roman" w:hAnsi="Times New Roman"/>
          <w:color w:val="000000"/>
          <w:sz w:val="19"/>
        </w:rPr>
        <w:t>of the Company’s Class A Common Stock, par value $0.0001 per share, issued and outstanding.</w:t>
      </w:r>
    </w:p>
    <w:p>
      <w:pPr>
        <w:pStyle w:val="TextBody"/>
        <w:pBdr>
          <w:bottom w:val="double" w:sz="4" w:space="1" w:color="000000"/>
        </w:pBdr>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VERRA MOBILITY CORPORATION</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FORM 10-Q</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FOR THE QUARTER ENDED MARCH 31, 2026</w:t>
      </w:r>
    </w:p>
    <w:p>
      <w:pPr>
        <w:pStyle w:val="TextBody"/>
        <w:bidi w:val="0"/>
        <w:spacing w:before="200" w:after="283"/>
        <w:jc w:val="center"/>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p>
      <w:pPr>
        <w:pStyle w:val="TextBody"/>
        <w:bidi w:val="0"/>
        <w:jc w:val="left"/>
        <w:rPr/>
      </w:pPr>
      <w:r>
        <w:rPr/>
        <w:t> </w:t>
      </w:r>
    </w:p>
    <w:tbl>
      <w:tblPr>
        <w:tblW w:w="9743" w:type="dxa"/>
        <w:jc w:val="left"/>
        <w:tblInd w:w="0" w:type="dxa"/>
        <w:tblLayout w:type="fixed"/>
        <w:tblCellMar>
          <w:top w:w="28" w:type="dxa"/>
          <w:left w:w="28" w:type="dxa"/>
          <w:bottom w:w="28" w:type="dxa"/>
          <w:right w:w="28" w:type="dxa"/>
        </w:tblCellMar>
      </w:tblPr>
      <w:tblGrid>
        <w:gridCol w:w="8341"/>
        <w:gridCol w:w="146"/>
        <w:gridCol w:w="1256"/>
      </w:tblGrid>
      <w:tr>
        <w:trPr/>
        <w:tc>
          <w:tcPr>
            <w:tcW w:w="8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r>
      <w:tr>
        <w:trPr/>
        <w:tc>
          <w:tcPr>
            <w:tcW w:w="8341" w:type="dxa"/>
            <w:tcBorders/>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Times New Roman" w:hAnsi="Times New Roman"/>
                  <w:b/>
                  <w:color w:val="0000FF"/>
                  <w:sz w:val="20"/>
                  <w:u w:val="single"/>
                </w:rPr>
                <w:t>PART I—FINANCIAL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56"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6</w:t>
            </w:r>
          </w:p>
        </w:tc>
      </w:tr>
      <w:tr>
        <w:trPr/>
        <w:tc>
          <w:tcPr>
            <w:tcW w:w="8341"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item_1_financial_statements">
              <w:r>
                <w:rPr>
                  <w:rStyle w:val="InternetLink"/>
                  <w:rFonts w:ascii="Times New Roman" w:hAnsi="Times New Roman"/>
                  <w:color w:val="0000FF"/>
                  <w:sz w:val="20"/>
                  <w:u w:val="single"/>
                </w:rPr>
                <w:t>Item 1.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56" w:type="dxa"/>
            <w:tcBorders/>
            <w:tcMar>
              <w:top w:w="0" w:type="dxa"/>
              <w:left w:w="0" w:type="dxa"/>
              <w:bottom w:w="0" w:type="dxa"/>
              <w:right w:w="0" w:type="dxa"/>
            </w:tcMar>
            <w:vAlign w:val="center"/>
          </w:tcPr>
          <w:p>
            <w:pPr>
              <w:pStyle w:val="TableContents"/>
              <w:bidi w:val="0"/>
              <w:spacing w:before="0" w:after="283"/>
              <w:ind w:left="0" w:right="0" w:firstLine="1000"/>
              <w:jc w:val="right"/>
              <w:rPr>
                <w:rFonts w:ascii="Times New Roman" w:hAnsi="Times New Roman"/>
                <w:color w:val="000000"/>
                <w:sz w:val="20"/>
              </w:rPr>
            </w:pPr>
            <w:r>
              <w:rPr>
                <w:rFonts w:ascii="Times New Roman" w:hAnsi="Times New Roman"/>
                <w:color w:val="000000"/>
                <w:sz w:val="20"/>
              </w:rPr>
              <w:t>6</w:t>
            </w:r>
          </w:p>
        </w:tc>
      </w:tr>
      <w:tr>
        <w:trPr/>
        <w:tc>
          <w:tcPr>
            <w:tcW w:w="8341" w:type="dxa"/>
            <w:tcBorders/>
            <w:tcMar>
              <w:top w:w="0" w:type="dxa"/>
              <w:left w:w="0" w:type="dxa"/>
              <w:bottom w:w="0" w:type="dxa"/>
              <w:right w:w="0" w:type="dxa"/>
            </w:tcMar>
            <w:vAlign w:val="center"/>
          </w:tcPr>
          <w:p>
            <w:pPr>
              <w:pStyle w:val="TableContents"/>
              <w:bidi w:val="0"/>
              <w:spacing w:before="0" w:after="283"/>
              <w:ind w:left="0" w:right="0" w:firstLine="1000"/>
              <w:jc w:val="left"/>
              <w:rPr/>
            </w:pPr>
            <w:hyperlink w:anchor="condensed_consolidated_balance_sheets">
              <w:r>
                <w:rPr>
                  <w:rStyle w:val="InternetLink"/>
                  <w:rFonts w:ascii="Times New Roman" w:hAnsi="Times New Roman"/>
                  <w:color w:val="0000FF"/>
                  <w:sz w:val="20"/>
                  <w:u w:val="single"/>
                </w:rPr>
                <w:t>Condensed Consolidated Balance Sheets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56" w:type="dxa"/>
            <w:tcBorders/>
            <w:tcMar>
              <w:top w:w="0" w:type="dxa"/>
              <w:left w:w="0" w:type="dxa"/>
              <w:bottom w:w="0" w:type="dxa"/>
              <w:right w:w="0" w:type="dxa"/>
            </w:tcMar>
            <w:vAlign w:val="center"/>
          </w:tcPr>
          <w:p>
            <w:pPr>
              <w:pStyle w:val="TableContents"/>
              <w:bidi w:val="0"/>
              <w:spacing w:before="0" w:after="283"/>
              <w:ind w:left="0" w:right="0" w:firstLine="1000"/>
              <w:jc w:val="right"/>
              <w:rPr>
                <w:rFonts w:ascii="Times New Roman" w:hAnsi="Times New Roman"/>
                <w:color w:val="000000"/>
                <w:sz w:val="20"/>
              </w:rPr>
            </w:pPr>
            <w:r>
              <w:rPr>
                <w:rFonts w:ascii="Times New Roman" w:hAnsi="Times New Roman"/>
                <w:color w:val="000000"/>
                <w:sz w:val="20"/>
              </w:rPr>
              <w:t>6</w:t>
            </w:r>
          </w:p>
        </w:tc>
      </w:tr>
      <w:tr>
        <w:trPr/>
        <w:tc>
          <w:tcPr>
            <w:tcW w:w="8341" w:type="dxa"/>
            <w:tcBorders/>
            <w:tcMar>
              <w:top w:w="0" w:type="dxa"/>
              <w:left w:w="0" w:type="dxa"/>
              <w:bottom w:w="0" w:type="dxa"/>
              <w:right w:w="0" w:type="dxa"/>
            </w:tcMar>
            <w:vAlign w:val="center"/>
          </w:tcPr>
          <w:p>
            <w:pPr>
              <w:pStyle w:val="TableContents"/>
              <w:bidi w:val="0"/>
              <w:spacing w:before="0" w:after="283"/>
              <w:ind w:left="0" w:right="0" w:firstLine="1000"/>
              <w:jc w:val="left"/>
              <w:rPr/>
            </w:pPr>
            <w:hyperlink w:anchor="condensed_consolidated_statements_operat">
              <w:r>
                <w:rPr>
                  <w:rStyle w:val="InternetLink"/>
                  <w:rFonts w:ascii="Times New Roman" w:hAnsi="Times New Roman"/>
                  <w:color w:val="0000FF"/>
                  <w:sz w:val="20"/>
                  <w:u w:val="single"/>
                </w:rPr>
                <w:t>Condensed Consolidated Statements of Operations and Comprehensive Income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56" w:type="dxa"/>
            <w:tcBorders/>
            <w:tcMar>
              <w:top w:w="0" w:type="dxa"/>
              <w:left w:w="0" w:type="dxa"/>
              <w:bottom w:w="0" w:type="dxa"/>
              <w:right w:w="0" w:type="dxa"/>
            </w:tcMar>
            <w:vAlign w:val="center"/>
          </w:tcPr>
          <w:p>
            <w:pPr>
              <w:pStyle w:val="TableContents"/>
              <w:bidi w:val="0"/>
              <w:spacing w:before="0" w:after="283"/>
              <w:ind w:left="0" w:right="0" w:firstLine="1000"/>
              <w:jc w:val="right"/>
              <w:rPr>
                <w:rFonts w:ascii="Times New Roman" w:hAnsi="Times New Roman"/>
                <w:color w:val="000000"/>
                <w:sz w:val="20"/>
              </w:rPr>
            </w:pPr>
            <w:r>
              <w:rPr>
                <w:rFonts w:ascii="Times New Roman" w:hAnsi="Times New Roman"/>
                <w:color w:val="000000"/>
                <w:sz w:val="20"/>
              </w:rPr>
              <w:t>7</w:t>
            </w:r>
          </w:p>
        </w:tc>
      </w:tr>
      <w:tr>
        <w:trPr/>
        <w:tc>
          <w:tcPr>
            <w:tcW w:w="8341" w:type="dxa"/>
            <w:tcBorders/>
            <w:tcMar>
              <w:top w:w="0" w:type="dxa"/>
              <w:left w:w="0" w:type="dxa"/>
              <w:bottom w:w="0" w:type="dxa"/>
              <w:right w:w="0" w:type="dxa"/>
            </w:tcMar>
            <w:vAlign w:val="center"/>
          </w:tcPr>
          <w:p>
            <w:pPr>
              <w:pStyle w:val="TableContents"/>
              <w:bidi w:val="0"/>
              <w:spacing w:before="0" w:after="283"/>
              <w:ind w:left="0" w:right="0" w:firstLine="1000"/>
              <w:jc w:val="left"/>
              <w:rPr/>
            </w:pPr>
            <w:hyperlink w:anchor="condensed_consolidated_statements_stockh">
              <w:r>
                <w:rPr>
                  <w:rStyle w:val="InternetLink"/>
                  <w:rFonts w:ascii="Times New Roman" w:hAnsi="Times New Roman"/>
                  <w:color w:val="0000FF"/>
                  <w:sz w:val="20"/>
                  <w:u w:val="single"/>
                </w:rPr>
                <w:t>Condensed Consolidated Statements of Stockholders’ Equity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56" w:type="dxa"/>
            <w:tcBorders/>
            <w:tcMar>
              <w:top w:w="0" w:type="dxa"/>
              <w:left w:w="0" w:type="dxa"/>
              <w:bottom w:w="0" w:type="dxa"/>
              <w:right w:w="0" w:type="dxa"/>
            </w:tcMar>
            <w:vAlign w:val="center"/>
          </w:tcPr>
          <w:p>
            <w:pPr>
              <w:pStyle w:val="TableContents"/>
              <w:bidi w:val="0"/>
              <w:spacing w:before="0" w:after="283"/>
              <w:ind w:left="0" w:right="0" w:firstLine="1000"/>
              <w:jc w:val="right"/>
              <w:rPr>
                <w:rFonts w:ascii="Times New Roman" w:hAnsi="Times New Roman"/>
                <w:color w:val="000000"/>
                <w:sz w:val="20"/>
              </w:rPr>
            </w:pPr>
            <w:r>
              <w:rPr>
                <w:rFonts w:ascii="Times New Roman" w:hAnsi="Times New Roman"/>
                <w:color w:val="000000"/>
                <w:sz w:val="20"/>
              </w:rPr>
              <w:t>8</w:t>
            </w:r>
          </w:p>
        </w:tc>
      </w:tr>
      <w:tr>
        <w:trPr/>
        <w:tc>
          <w:tcPr>
            <w:tcW w:w="8341" w:type="dxa"/>
            <w:tcBorders/>
            <w:tcMar>
              <w:top w:w="0" w:type="dxa"/>
              <w:left w:w="0" w:type="dxa"/>
              <w:bottom w:w="0" w:type="dxa"/>
              <w:right w:w="0" w:type="dxa"/>
            </w:tcMar>
            <w:vAlign w:val="center"/>
          </w:tcPr>
          <w:p>
            <w:pPr>
              <w:pStyle w:val="TableContents"/>
              <w:bidi w:val="0"/>
              <w:spacing w:before="0" w:after="283"/>
              <w:ind w:left="0" w:right="0" w:firstLine="1000"/>
              <w:jc w:val="left"/>
              <w:rPr/>
            </w:pPr>
            <w:hyperlink w:anchor="condensed_consolidated_statements_cash_f">
              <w:r>
                <w:rPr>
                  <w:rStyle w:val="InternetLink"/>
                  <w:rFonts w:ascii="Times New Roman" w:hAnsi="Times New Roman"/>
                  <w:color w:val="0000FF"/>
                  <w:sz w:val="20"/>
                  <w:u w:val="single"/>
                </w:rPr>
                <w:t>Condensed Consolidated Statements of Cash Flows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56" w:type="dxa"/>
            <w:tcBorders/>
            <w:tcMar>
              <w:top w:w="0" w:type="dxa"/>
              <w:left w:w="0" w:type="dxa"/>
              <w:bottom w:w="0" w:type="dxa"/>
              <w:right w:w="0" w:type="dxa"/>
            </w:tcMar>
            <w:vAlign w:val="center"/>
          </w:tcPr>
          <w:p>
            <w:pPr>
              <w:pStyle w:val="TableContents"/>
              <w:bidi w:val="0"/>
              <w:spacing w:before="0" w:after="283"/>
              <w:ind w:left="0" w:right="0" w:firstLine="1000"/>
              <w:jc w:val="right"/>
              <w:rPr>
                <w:rFonts w:ascii="Times New Roman" w:hAnsi="Times New Roman"/>
                <w:color w:val="000000"/>
                <w:sz w:val="20"/>
              </w:rPr>
            </w:pPr>
            <w:r>
              <w:rPr>
                <w:rFonts w:ascii="Times New Roman" w:hAnsi="Times New Roman"/>
                <w:color w:val="000000"/>
                <w:sz w:val="20"/>
              </w:rPr>
              <w:t>9</w:t>
            </w:r>
          </w:p>
        </w:tc>
      </w:tr>
      <w:tr>
        <w:trPr/>
        <w:tc>
          <w:tcPr>
            <w:tcW w:w="8341" w:type="dxa"/>
            <w:tcBorders/>
            <w:tcMar>
              <w:top w:w="0" w:type="dxa"/>
              <w:left w:w="0" w:type="dxa"/>
              <w:bottom w:w="0" w:type="dxa"/>
              <w:right w:w="0" w:type="dxa"/>
            </w:tcMar>
            <w:vAlign w:val="center"/>
          </w:tcPr>
          <w:p>
            <w:pPr>
              <w:pStyle w:val="TableContents"/>
              <w:bidi w:val="0"/>
              <w:spacing w:before="0" w:after="283"/>
              <w:ind w:left="0" w:right="0" w:firstLine="1000"/>
              <w:jc w:val="left"/>
              <w:rPr/>
            </w:pPr>
            <w:hyperlink w:anchor="notes_to_condensed_consolidated_financia">
              <w:r>
                <w:rPr>
                  <w:rStyle w:val="InternetLink"/>
                  <w:rFonts w:ascii="Times New Roman" w:hAnsi="Times New Roman"/>
                  <w:color w:val="0000FF"/>
                  <w:sz w:val="20"/>
                  <w:u w:val="single"/>
                </w:rPr>
                <w:t>Notes to the Condensed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56"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11</w:t>
            </w:r>
          </w:p>
        </w:tc>
      </w:tr>
      <w:tr>
        <w:trPr/>
        <w:tc>
          <w:tcPr>
            <w:tcW w:w="8341"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item_2_managements_discussion_analysis_f">
              <w:r>
                <w:rPr>
                  <w:rStyle w:val="InternetLink"/>
                  <w:rFonts w:ascii="Times New Roman" w:hAnsi="Times New Roman"/>
                  <w:color w:val="0000FF"/>
                  <w:sz w:val="20"/>
                  <w:u w:val="single"/>
                </w:rPr>
                <w:t>Item 2. 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56"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24</w:t>
            </w:r>
          </w:p>
        </w:tc>
      </w:tr>
      <w:tr>
        <w:trPr/>
        <w:tc>
          <w:tcPr>
            <w:tcW w:w="8341"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item_3_quantitative_qualitative_disclosu">
              <w:r>
                <w:rPr>
                  <w:rStyle w:val="InternetLink"/>
                  <w:rFonts w:ascii="Times New Roman" w:hAnsi="Times New Roman"/>
                  <w:color w:val="0000FF"/>
                  <w:sz w:val="20"/>
                  <w:u w:val="single"/>
                </w:rPr>
                <w:t>Item 3. 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56"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33</w:t>
            </w:r>
          </w:p>
        </w:tc>
      </w:tr>
      <w:tr>
        <w:trPr/>
        <w:tc>
          <w:tcPr>
            <w:tcW w:w="8341"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item_4_controls_procedures">
              <w:r>
                <w:rPr>
                  <w:rStyle w:val="InternetLink"/>
                  <w:rFonts w:ascii="Times New Roman" w:hAnsi="Times New Roman"/>
                  <w:color w:val="0000FF"/>
                  <w:sz w:val="20"/>
                  <w:u w:val="single"/>
                </w:rPr>
                <w:t>Item 4. 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8341" w:type="dxa"/>
            <w:tcBorders/>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Times New Roman" w:hAnsi="Times New Roman"/>
                  <w:b/>
                  <w:color w:val="0000FF"/>
                  <w:sz w:val="20"/>
                  <w:u w:val="single"/>
                </w:rPr>
                <w:t>PART II—OTHER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56"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34</w:t>
            </w:r>
          </w:p>
        </w:tc>
      </w:tr>
      <w:tr>
        <w:trPr/>
        <w:tc>
          <w:tcPr>
            <w:tcW w:w="8341"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item_1_legal_proceedings">
              <w:r>
                <w:rPr>
                  <w:rStyle w:val="InternetLink"/>
                  <w:rFonts w:ascii="Times New Roman" w:hAnsi="Times New Roman"/>
                  <w:color w:val="0000FF"/>
                  <w:sz w:val="20"/>
                  <w:u w:val="single"/>
                </w:rPr>
                <w:t>Item 1. 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56"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34</w:t>
            </w:r>
          </w:p>
        </w:tc>
      </w:tr>
      <w:tr>
        <w:trPr/>
        <w:tc>
          <w:tcPr>
            <w:tcW w:w="8341"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item_1a_risks_related_to_our_business">
              <w:r>
                <w:rPr>
                  <w:rStyle w:val="InternetLink"/>
                  <w:rFonts w:ascii="Times New Roman" w:hAnsi="Times New Roman"/>
                  <w:color w:val="0000FF"/>
                  <w:sz w:val="20"/>
                  <w:u w:val="single"/>
                </w:rPr>
                <w:t>Item 1A. 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56"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34</w:t>
            </w:r>
          </w:p>
        </w:tc>
      </w:tr>
      <w:tr>
        <w:trPr/>
        <w:tc>
          <w:tcPr>
            <w:tcW w:w="8341"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item_2_sales_of_equity_securities">
              <w:r>
                <w:rPr>
                  <w:rStyle w:val="InternetLink"/>
                  <w:rFonts w:ascii="Times New Roman" w:hAnsi="Times New Roman"/>
                  <w:color w:val="0000FF"/>
                  <w:sz w:val="20"/>
                  <w:u w:val="single"/>
                </w:rPr>
                <w:t>Item 2. 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56"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35</w:t>
            </w:r>
          </w:p>
        </w:tc>
      </w:tr>
      <w:tr>
        <w:trPr/>
        <w:tc>
          <w:tcPr>
            <w:tcW w:w="8341"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item_3_defaults_upon_senior_securities">
              <w:r>
                <w:rPr>
                  <w:rStyle w:val="InternetLink"/>
                  <w:rFonts w:ascii="Times New Roman" w:hAnsi="Times New Roman"/>
                  <w:color w:val="0000FF"/>
                  <w:sz w:val="20"/>
                  <w:u w:val="single"/>
                </w:rPr>
                <w:t>Item 3. Defaults Upon Senior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56"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35</w:t>
            </w:r>
          </w:p>
        </w:tc>
      </w:tr>
      <w:tr>
        <w:trPr/>
        <w:tc>
          <w:tcPr>
            <w:tcW w:w="8341"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item_4_mine_safety_disclosures">
              <w:r>
                <w:rPr>
                  <w:rStyle w:val="InternetLink"/>
                  <w:rFonts w:ascii="Times New Roman" w:hAnsi="Times New Roman"/>
                  <w:color w:val="0000FF"/>
                  <w:sz w:val="20"/>
                  <w:u w:val="single"/>
                </w:rPr>
                <w:t>Item 4. 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56"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35</w:t>
            </w:r>
          </w:p>
        </w:tc>
      </w:tr>
      <w:tr>
        <w:trPr/>
        <w:tc>
          <w:tcPr>
            <w:tcW w:w="8341"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item_5_or_information">
              <w:r>
                <w:rPr>
                  <w:rStyle w:val="InternetLink"/>
                  <w:rFonts w:ascii="Times New Roman" w:hAnsi="Times New Roman"/>
                  <w:color w:val="0000FF"/>
                  <w:sz w:val="20"/>
                  <w:u w:val="single"/>
                </w:rPr>
                <w:t>Item 5. 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56"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35</w:t>
            </w:r>
          </w:p>
        </w:tc>
      </w:tr>
      <w:tr>
        <w:trPr/>
        <w:tc>
          <w:tcPr>
            <w:tcW w:w="8341"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item_6_exhibits">
              <w:r>
                <w:rPr>
                  <w:rStyle w:val="InternetLink"/>
                  <w:rFonts w:ascii="Times New Roman" w:hAnsi="Times New Roman"/>
                  <w:color w:val="0000FF"/>
                  <w:sz w:val="20"/>
                  <w:u w:val="single"/>
                </w:rPr>
                <w:t>Item 6. Exhibits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341"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b/>
                  <w:color w:val="0000FF"/>
                  <w:sz w:val="20"/>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spacing w:before="120" w:after="283"/>
        <w:jc w:val="both"/>
        <w:rPr>
          <w:rFonts w:ascii="Times New Roman" w:hAnsi="Times New Roman"/>
          <w:sz w:val="20"/>
        </w:rPr>
      </w:pPr>
      <w:r>
        <w:rPr>
          <w:rFonts w:ascii="Times New Roman" w:hAnsi="Times New Roman"/>
          <w:color w:val="000000"/>
          <w:sz w:val="20"/>
        </w:rPr>
        <w:t>This Quarterly Report on Form 10-Q (this “</w:t>
      </w:r>
      <w:r>
        <w:rPr>
          <w:rFonts w:ascii="Times New Roman" w:hAnsi="Times New Roman"/>
          <w:b/>
          <w:i/>
          <w:color w:val="000000"/>
          <w:sz w:val="20"/>
        </w:rPr>
        <w:t>Report</w:t>
      </w:r>
      <w:r>
        <w:rPr>
          <w:rFonts w:ascii="Times New Roman" w:hAnsi="Times New Roman"/>
          <w:color w:val="000000"/>
          <w:sz w:val="20"/>
        </w:rPr>
        <w:t>”) contains forward-looking statements within the meaning of Section 27A of the Securities Act of 1933, as amended (the “</w:t>
      </w:r>
      <w:r>
        <w:rPr>
          <w:rFonts w:ascii="Times New Roman" w:hAnsi="Times New Roman"/>
          <w:b/>
          <w:i/>
          <w:color w:val="000000"/>
          <w:sz w:val="20"/>
        </w:rPr>
        <w:t>Securities Act</w:t>
      </w:r>
      <w:r>
        <w:rPr>
          <w:rFonts w:ascii="Times New Roman" w:hAnsi="Times New Roman"/>
          <w:color w:val="000000"/>
          <w:sz w:val="20"/>
        </w:rPr>
        <w:t>”), and Section 21E of the Securities Exchange Act of 1934, as amended (the “</w:t>
      </w:r>
      <w:r>
        <w:rPr>
          <w:rFonts w:ascii="Times New Roman" w:hAnsi="Times New Roman"/>
          <w:b/>
          <w:i/>
          <w:color w:val="000000"/>
          <w:sz w:val="20"/>
        </w:rPr>
        <w:t>Exchange Act</w:t>
      </w:r>
      <w:r>
        <w:rPr>
          <w:rFonts w:ascii="Times New Roman" w:hAnsi="Times New Roman"/>
          <w:color w:val="000000"/>
          <w:sz w:val="20"/>
        </w:rPr>
        <w:t xml:space="preserve">”). All statements contained in this Report other than statements of historical fact, including statements regarding our future operating results and financial position, our business strategy and plans, products, services, technology offerings, market conditions, growth and trends, expansion plans and opportunities, and our objectives for future operations, are forward-looking statements. The words “believe,” “may,” “will,” “estimate,” “continue,” “anticipate,” “intend,” “expect,” “could,” “would,” “project,” “plan,” “potentially,” “preliminary,” “likely” and similar expressions, and the negative of these expressions, are intended to identify forward-looking statements. </w:t>
      </w:r>
    </w:p>
    <w:p>
      <w:pPr>
        <w:pStyle w:val="TextBody"/>
        <w:bidi w:val="0"/>
        <w:spacing w:before="120" w:after="283"/>
        <w:jc w:val="both"/>
        <w:rPr>
          <w:rFonts w:ascii="Times New Roman" w:hAnsi="Times New Roman"/>
          <w:sz w:val="20"/>
        </w:rPr>
      </w:pPr>
      <w:r>
        <w:rPr>
          <w:rFonts w:ascii="Times New Roman" w:hAnsi="Times New Roman"/>
          <w:color w:val="000000"/>
          <w:sz w:val="20"/>
        </w:rPr>
        <w:t>The future events and trends discussed in this Report may not occur and actual results could differ materially and adversely from those anticipated or implied in the forward-looking statements. Factors that could cause actual results to differ include the risks and uncertainties described in Part I, Item 1A. “Risk Factors” of our Annual Report on Form 10-K for the year ended December 31, 2025 (our “</w:t>
      </w:r>
      <w:r>
        <w:rPr>
          <w:rFonts w:ascii="Times New Roman" w:hAnsi="Times New Roman"/>
          <w:b/>
          <w:i/>
          <w:color w:val="000000"/>
          <w:sz w:val="20"/>
        </w:rPr>
        <w:t>Annual Report</w:t>
      </w:r>
      <w:r>
        <w:rPr>
          <w:rFonts w:ascii="Times New Roman" w:hAnsi="Times New Roman"/>
          <w:color w:val="000000"/>
          <w:sz w:val="20"/>
        </w:rPr>
        <w:t>”), Part II, Item 1A. “Risk Factors” of this Report, and in other filings with the Securities and Exchange Commission (the “</w:t>
      </w:r>
      <w:r>
        <w:rPr>
          <w:rFonts w:ascii="Times New Roman" w:hAnsi="Times New Roman"/>
          <w:b/>
          <w:i/>
          <w:color w:val="000000"/>
          <w:sz w:val="20"/>
        </w:rPr>
        <w:t>SEC</w:t>
      </w:r>
      <w:r>
        <w:rPr>
          <w:rFonts w:ascii="Times New Roman" w:hAnsi="Times New Roman"/>
          <w:color w:val="000000"/>
          <w:sz w:val="20"/>
        </w:rPr>
        <w:t>”) which highlight, among other risks:</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the impact of negative industry and macroeconomic conditions, including the impact of government actions and regulations, such as tariffs, trade protection measures, military conflicts, or a government shutdown, which may materially and adversely affect our business, financial condition, and results of operations;</w:t>
      </w:r>
    </w:p>
    <w:p>
      <w:pPr>
        <w:pStyle w:val="TextBody"/>
        <w:bidi w:val="0"/>
        <w:spacing w:before="80" w:after="283"/>
        <w:jc w:val="both"/>
        <w:rPr>
          <w:color w:val="000000"/>
        </w:rPr>
      </w:pPr>
      <w:r>
        <w:rPr>
          <w:color w:val="000000"/>
        </w:rPr>
        <w:t>•</w:t>
      </w:r>
    </w:p>
    <w:p>
      <w:pPr>
        <w:pStyle w:val="TextBody"/>
        <w:bidi w:val="0"/>
        <w:spacing w:before="80" w:after="283"/>
        <w:jc w:val="both"/>
        <w:rPr/>
      </w:pPr>
      <w:r>
        <w:rPr>
          <w:rFonts w:ascii="Times New Roman" w:hAnsi="Times New Roman"/>
          <w:color w:val="000000"/>
          <w:sz w:val="20"/>
        </w:rPr>
        <w:t>customer concentration in our Commercial Services and Government Solutions segments, including risks impacting these segments such as travel demand and legislation, risks relating to our contract with the New York City Department of Transportation (“</w:t>
      </w:r>
      <w:r>
        <w:rPr>
          <w:rFonts w:ascii="Times New Roman" w:hAnsi="Times New Roman"/>
          <w:b/>
          <w:i/>
          <w:color w:val="000000"/>
          <w:sz w:val="20"/>
        </w:rPr>
        <w:t>NYCDOT</w:t>
      </w:r>
      <w:r>
        <w:rPr>
          <w:color w:val="000000"/>
        </w:rPr>
        <w:t>”</w:t>
      </w:r>
      <w:r>
        <w:rPr>
          <w:rFonts w:ascii="Times New Roman" w:hAnsi="Times New Roman"/>
          <w:color w:val="000000"/>
          <w:sz w:val="20"/>
        </w:rPr>
        <w:t>), and risks associated with the renewal of Commercial Services customer agreements. We are currently operating under a short-term contract extension and engaged in contract negotiations with one of our significant Commercial Services customers which represented over 10% of our total revenue for the three months ended March 31, 2026 and year ended December 31, 2025; if the renewal contract terms and pricing are materially different from our current agreement, or if the parties fail to consummate new agreement, this would have a material adverse effect on our business, financial condition, and results of operations;</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risks and uncertainties related to our government contracts, including legislative changes, termination rights, delays in payments, audits, and investigations;</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our ability to properly perform under contracts and otherwise satisfy customers, as well as develop and successfully market new products and technologies in new markets;</w:t>
      </w:r>
    </w:p>
    <w:p>
      <w:pPr>
        <w:pStyle w:val="TextBody"/>
        <w:bidi w:val="0"/>
        <w:spacing w:before="80" w:after="283"/>
        <w:jc w:val="both"/>
        <w:rPr>
          <w:color w:val="000000"/>
        </w:rPr>
      </w:pPr>
      <w:r>
        <w:rPr>
          <w:color w:val="000000"/>
        </w:rPr>
        <w:t>•</w:t>
      </w:r>
    </w:p>
    <w:p>
      <w:pPr>
        <w:pStyle w:val="TextBody"/>
        <w:bidi w:val="0"/>
        <w:spacing w:before="80" w:after="283"/>
        <w:jc w:val="both"/>
        <w:rPr/>
      </w:pPr>
      <w:r>
        <w:rPr>
          <w:rFonts w:ascii="Times New Roman" w:hAnsi="Times New Roman"/>
          <w:color w:val="000000"/>
          <w:sz w:val="20"/>
        </w:rPr>
        <w:t>risks associated with the use of artificial intelligence (“</w:t>
      </w:r>
      <w:r>
        <w:rPr>
          <w:rFonts w:ascii="Times New Roman" w:hAnsi="Times New Roman"/>
          <w:b/>
          <w:i/>
          <w:color w:val="000000"/>
          <w:sz w:val="20"/>
        </w:rPr>
        <w:t>AI</w:t>
      </w:r>
      <w:r>
        <w:rPr>
          <w:color w:val="000000"/>
        </w:rPr>
        <w:t>”</w:t>
      </w:r>
      <w:r>
        <w:rPr>
          <w:rFonts w:ascii="Times New Roman" w:hAnsi="Times New Roman"/>
          <w:color w:val="000000"/>
          <w:sz w:val="20"/>
        </w:rPr>
        <w:t>) and related tools;</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our reliance on specialized third-party providers;</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decreases in the prevalence or political acceptance of, or an increase in governmental restrictions regarding, automated and other similar methods of photo enforcement, parking solutions, or the use of tolling;</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our ability to successfully implement our acquisition strategy or integrate acquisitions;</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our ability to compete in a highly competitive and rapidly evolving market, including our ability to keep up with technological developments and changing customer preferences;</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our ability to maintain effective internal controls over financial reporting;</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failures in or breaches of our networks or systems, including as a result of cyber-attacks or other incidents;</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risks and uncertainties related to our international operations;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our failure to acquire necessary intellectual property or adequately protect our intellectual property;</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our ability to successfully improve operational efficiencies, generate cost savings, and achieve expected benefits from our transformation and strategic initiatives;</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risks and uncertainties related to litigation and other disputes and regulatory investigations; and</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our ability to manage our substantial level of indebtedness.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You should not rely on forward-looking statements as predictions of future events. We operate in a very competitive and rapidly changing environment and new risks emerge from time to time. The forward-looking statements in this Report represent our views as of the date hereof. Except as may be required by law, we undertake no obligation to update any of these forward-looking statements for any reason or to conform these statements to actual results or revised expectations.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Annual Reports on Form 10-K, Quarterly Reports on Form 10-Q, Current Reports on Form 8-K, and any amendments to those reports, are available free of charge on our website, verramobility.com, under the heading “Investors” immediately after they are filed with, or furnished to, the SEC. We use our investor relations website, ir.verramobility.com, as a means of disclosing information, which may be of interest or material to our investors and for complying with disclosure obligations under Regulation FD. Accordingly, investors should monitor our investor relations website, in addition to following our press releases, SEC filings, public conference calls, webcasts, and social media. Information contained on or accessible through, including any reports available on, our website is not a part of, and is not incorporated by reference into, this Report or any other report or document we file with the SEC. Any reference to our website in this Report is intended to be an inactive textual reference only.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Unless the context indicates otherwise, the terms “Verra Mobility,” the “Company,” “we,” “us,” and “our” as used in this Report refer to Verra Mobility Corporation, a Delaware corporation, and its subsidiaries taken as a whole.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left"/>
        <w:rPr>
          <w:rFonts w:ascii="Times New Roman" w:hAnsi="Times New Roman"/>
          <w:caps/>
          <w:color w:val="000000"/>
          <w:sz w:val="20"/>
        </w:rPr>
      </w:pPr>
      <w:bookmarkStart w:id="2" w:name="part_ifinancial_information"/>
      <w:bookmarkEnd w:id="2"/>
      <w:r>
        <w:rPr>
          <w:rFonts w:ascii="Times New Roman" w:hAnsi="Times New Roman"/>
          <w:caps/>
          <w:color w:val="000000"/>
          <w:sz w:val="20"/>
        </w:rPr>
        <w:t>Part I—Financial Information</w:t>
      </w:r>
    </w:p>
    <w:p>
      <w:pPr>
        <w:pStyle w:val="Heading2"/>
        <w:bidi w:val="0"/>
        <w:spacing w:before="200" w:after="283"/>
        <w:jc w:val="left"/>
        <w:rPr>
          <w:rFonts w:ascii="Times New Roman" w:hAnsi="Times New Roman"/>
          <w:color w:val="000000"/>
          <w:sz w:val="20"/>
        </w:rPr>
      </w:pPr>
      <w:bookmarkStart w:id="3" w:name="item_1_financial_statements"/>
      <w:bookmarkEnd w:id="3"/>
      <w:r>
        <w:rPr>
          <w:rFonts w:ascii="Times New Roman" w:hAnsi="Times New Roman"/>
          <w:color w:val="000000"/>
          <w:sz w:val="20"/>
        </w:rPr>
        <w:t>Item 1. Financial Statements</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VERRA MOBILITY CORPORATION</w:t>
      </w:r>
    </w:p>
    <w:p>
      <w:pPr>
        <w:pStyle w:val="TextBody"/>
        <w:bidi w:val="0"/>
        <w:jc w:val="center"/>
        <w:rPr>
          <w:rFonts w:ascii="Times New Roman" w:hAnsi="Times New Roman"/>
          <w:b/>
          <w:color w:val="000000"/>
          <w:sz w:val="20"/>
        </w:rPr>
      </w:pPr>
      <w:bookmarkStart w:id="4" w:name="condensed_consolidated_balance_sheets"/>
      <w:bookmarkEnd w:id="4"/>
      <w:r>
        <w:rPr>
          <w:rFonts w:ascii="Times New Roman" w:hAnsi="Times New Roman"/>
          <w:b/>
          <w:color w:val="000000"/>
          <w:sz w:val="20"/>
        </w:rPr>
        <w:t>CONDENSED 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72"/>
        <w:gridCol w:w="146"/>
        <w:gridCol w:w="211"/>
        <w:gridCol w:w="931"/>
        <w:gridCol w:w="166"/>
        <w:gridCol w:w="146"/>
        <w:gridCol w:w="211"/>
        <w:gridCol w:w="931"/>
        <w:gridCol w:w="391"/>
      </w:tblGrid>
      <w:tr>
        <w:trPr/>
        <w:tc>
          <w:tcPr>
            <w:tcW w:w="70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(In thousands,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65,272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 of allowance for credit losses of $20.0 million and</w:t>
              <w:br/>
              <w:t>$23.0 million at March 31,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221,865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234,288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Unbilled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61,534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438,868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440,902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Installation and service parts,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27,081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7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225,879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208,703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36,359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7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168,641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741,172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741,610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7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22,366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1,655,998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1,645,662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101,813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26,650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69,851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receivable agreement liability,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231,941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210,459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7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Debt,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1,021,487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1,021,157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31,338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7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Tax receivable agreement liability,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38,418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Asset retirement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17,789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7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tax liabilities,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16,341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1,383,998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1,352,702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Preferred stock, $0.0001 par value, 1,000 shares authorized with no shares issued and outstanding at March 31,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7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Class A common stock, $0.0001 par value, 260,000 shares authorized with 151,906 and 153,557 shares issued and outstanding at March 31,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541,507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547,274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7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(259,946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(243,759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292,960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1,655,998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1,645,662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See accompanying Notes to the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VERRA MOBILITY CORPORATION</w:t>
      </w:r>
    </w:p>
    <w:p>
      <w:pPr>
        <w:pStyle w:val="TextBody"/>
        <w:bidi w:val="0"/>
        <w:jc w:val="center"/>
        <w:rPr>
          <w:rFonts w:ascii="Times New Roman" w:hAnsi="Times New Roman"/>
          <w:b/>
          <w:color w:val="000000"/>
          <w:sz w:val="20"/>
        </w:rPr>
      </w:pPr>
      <w:bookmarkStart w:id="5" w:name="condensed_consolidated_statements_operat"/>
      <w:bookmarkEnd w:id="5"/>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AND COMPREHENSIVE INCOME</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both"/>
        <w:rPr/>
      </w:pPr>
      <w:r>
        <w:rPr/>
        <w:t> </w:t>
      </w:r>
    </w:p>
    <w:tbl>
      <w:tblPr>
        <w:tblW w:w="8420" w:type="dxa"/>
        <w:jc w:val="left"/>
        <w:tblInd w:w="0" w:type="dxa"/>
        <w:tblLayout w:type="fixed"/>
        <w:tblCellMar>
          <w:top w:w="28" w:type="dxa"/>
          <w:left w:w="28" w:type="dxa"/>
          <w:bottom w:w="28" w:type="dxa"/>
          <w:right w:w="28" w:type="dxa"/>
        </w:tblCellMar>
      </w:tblPr>
      <w:tblGrid>
        <w:gridCol w:w="5566"/>
        <w:gridCol w:w="146"/>
        <w:gridCol w:w="220"/>
        <w:gridCol w:w="816"/>
        <w:gridCol w:w="173"/>
        <w:gridCol w:w="152"/>
        <w:gridCol w:w="220"/>
        <w:gridCol w:w="816"/>
        <w:gridCol w:w="311"/>
      </w:tblGrid>
      <w:tr>
        <w:trPr/>
        <w:tc>
          <w:tcPr>
            <w:tcW w:w="5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(In thousands,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213,392</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211,902</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Product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10,176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11,352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9"/>
              </w:rPr>
            </w:pPr>
            <w:r>
              <w:rPr>
                <w:rFonts w:ascii="Times New Roman" w:hAnsi="Times New Roman"/>
                <w:b/>
                <w:color w:val="000000"/>
                <w:sz w:val="19"/>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223,568</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223,254</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Cost of service revenue, excluding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7,391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4,783</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Cost of product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8,290</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8,032</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85,943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73,739</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40,853</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51,501</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Depreciation, amortization and (gain) loss on disposal of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29,291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27,814</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Total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1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171,768</w:t>
            </w:r>
          </w:p>
        </w:tc>
        <w:tc>
          <w:tcPr>
            <w:tcW w:w="17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1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165,869</w:t>
            </w:r>
          </w:p>
        </w:tc>
        <w:tc>
          <w:tcPr>
            <w:tcW w:w="311"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9"/>
              </w:rPr>
            </w:pPr>
            <w:r>
              <w:rPr>
                <w:rFonts w:ascii="Times New Roman" w:hAnsi="Times New Roman"/>
                <w:b/>
                <w:color w:val="000000"/>
                <w:sz w:val="19"/>
              </w:rPr>
              <w:t>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51,800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57,385</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15,407</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16,636</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(4,094</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(4,109</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Total 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11,313</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12,552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40,487</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44,833</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13,743</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12,494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9"/>
              </w:rPr>
            </w:pPr>
            <w:r>
              <w:rPr>
                <w:rFonts w:ascii="Times New Roman" w:hAnsi="Times New Roman"/>
                <w:b/>
                <w:color w:val="000000"/>
                <w:sz w:val="19"/>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26,744</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32,339</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Change in 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994</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2,127</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9"/>
              </w:rPr>
            </w:pPr>
            <w:r>
              <w:rPr>
                <w:rFonts w:ascii="Times New Roman" w:hAnsi="Times New Roman"/>
                <w:b/>
                <w:color w:val="000000"/>
                <w:sz w:val="19"/>
              </w:rPr>
              <w:t>Total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1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27,738</w:t>
            </w:r>
          </w:p>
        </w:tc>
        <w:tc>
          <w:tcPr>
            <w:tcW w:w="17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1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34,466</w:t>
            </w:r>
          </w:p>
        </w:tc>
        <w:tc>
          <w:tcPr>
            <w:tcW w:w="3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Net income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0.18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0.20</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0.17</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0.20</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Weighted average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151,847</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159,544</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153,689</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162,066</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See accompanying Notes to the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VERRA MOBILITY CORPORATION</w:t>
      </w:r>
    </w:p>
    <w:p>
      <w:pPr>
        <w:pStyle w:val="TextBody"/>
        <w:bidi w:val="0"/>
        <w:jc w:val="center"/>
        <w:rPr>
          <w:rFonts w:ascii="Times New Roman" w:hAnsi="Times New Roman"/>
          <w:b/>
          <w:color w:val="000000"/>
          <w:sz w:val="20"/>
        </w:rPr>
      </w:pPr>
      <w:bookmarkStart w:id="6" w:name="condensed_consolidated_statements_stockh"/>
      <w:bookmarkEnd w:id="6"/>
      <w:r>
        <w:rPr>
          <w:rFonts w:ascii="Times New Roman" w:hAnsi="Times New Roman"/>
          <w:b/>
          <w:color w:val="000000"/>
          <w:sz w:val="20"/>
        </w:rPr>
        <w:t>CONDENSED CONSOLIDATED STATEMENTS OF STOCKHOLDERS’ EQUITY</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746"/>
        <w:gridCol w:w="146"/>
        <w:gridCol w:w="146"/>
        <w:gridCol w:w="781"/>
        <w:gridCol w:w="166"/>
        <w:gridCol w:w="146"/>
        <w:gridCol w:w="295"/>
        <w:gridCol w:w="486"/>
        <w:gridCol w:w="146"/>
        <w:gridCol w:w="146"/>
        <w:gridCol w:w="213"/>
        <w:gridCol w:w="793"/>
        <w:gridCol w:w="166"/>
        <w:gridCol w:w="146"/>
        <w:gridCol w:w="243"/>
        <w:gridCol w:w="973"/>
        <w:gridCol w:w="166"/>
        <w:gridCol w:w="146"/>
        <w:gridCol w:w="317"/>
        <w:gridCol w:w="1109"/>
        <w:gridCol w:w="166"/>
        <w:gridCol w:w="146"/>
        <w:gridCol w:w="255"/>
        <w:gridCol w:w="949"/>
        <w:gridCol w:w="213"/>
      </w:tblGrid>
      <w:tr>
        <w:trPr/>
        <w:tc>
          <w:tcPr>
            <w:tcW w:w="1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9992" w:type="dxa"/>
            <w:gridSpan w:val="2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For the Three Months Ended March 31, 2026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b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547,274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(243,759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292,960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26,744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repurchases and retirement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(50,738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Vesting of restricted stock units ("</w:t>
            </w:r>
            <w:r>
              <w:rPr>
                <w:rFonts w:ascii="Times New Roman" w:hAnsi="Times New Roman"/>
                <w:b/>
                <w:i/>
                <w:color w:val="000000"/>
                <w:sz w:val="20"/>
              </w:rPr>
              <w:t>RSU</w:t>
            </w:r>
            <w:r>
              <w:rPr>
                <w:rFonts w:ascii="Times New Roman" w:hAnsi="Times New Roman"/>
                <w:color w:val="000000"/>
                <w:sz w:val="20"/>
              </w:rPr>
              <w:t>s") and performance share units ("</w:t>
            </w:r>
            <w:r>
              <w:rPr>
                <w:rFonts w:ascii="Times New Roman" w:hAnsi="Times New Roman"/>
                <w:b/>
                <w:i/>
                <w:color w:val="000000"/>
                <w:sz w:val="20"/>
              </w:rPr>
              <w:t>PSU</w:t>
            </w:r>
            <w:r>
              <w:rPr>
                <w:rFonts w:ascii="Times New Roman" w:hAnsi="Times New Roman"/>
                <w:color w:val="000000"/>
                <w:sz w:val="20"/>
              </w:rPr>
              <w: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employee tax withholding related to RSUs and PSUs vesting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151,906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541,507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(259,946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272,000</w:t>
            </w:r>
          </w:p>
        </w:tc>
        <w:tc>
          <w:tcPr>
            <w:tcW w:w="21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745"/>
        <w:gridCol w:w="146"/>
        <w:gridCol w:w="146"/>
        <w:gridCol w:w="781"/>
        <w:gridCol w:w="166"/>
        <w:gridCol w:w="146"/>
        <w:gridCol w:w="295"/>
        <w:gridCol w:w="486"/>
        <w:gridCol w:w="146"/>
        <w:gridCol w:w="146"/>
        <w:gridCol w:w="213"/>
        <w:gridCol w:w="793"/>
        <w:gridCol w:w="166"/>
        <w:gridCol w:w="146"/>
        <w:gridCol w:w="243"/>
        <w:gridCol w:w="973"/>
        <w:gridCol w:w="166"/>
        <w:gridCol w:w="146"/>
        <w:gridCol w:w="317"/>
        <w:gridCol w:w="1109"/>
        <w:gridCol w:w="166"/>
        <w:gridCol w:w="146"/>
        <w:gridCol w:w="256"/>
        <w:gridCol w:w="950"/>
        <w:gridCol w:w="212"/>
      </w:tblGrid>
      <w:tr>
        <w:trPr/>
        <w:tc>
          <w:tcPr>
            <w:tcW w:w="17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9993" w:type="dxa"/>
            <w:gridSpan w:val="2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For the Three Months Ended March 31, 2025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br/>
              <w:t>Stockholders'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551,955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(269,287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265,125</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32,339</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repurchases and retirement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RSUs and PSUs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employee tax withholding related to RSUs and PSUs vesting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(6,606</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6,456</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159,422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549,603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(234,612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299,575</w:t>
            </w:r>
          </w:p>
        </w:tc>
        <w:tc>
          <w:tcPr>
            <w:tcW w:w="21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19"/>
        </w:rPr>
      </w:pPr>
      <w:r>
        <w:rPr>
          <w:rFonts w:ascii="Times New Roman" w:hAnsi="Times New Roman"/>
          <w:color w:val="000000"/>
          <w:sz w:val="19"/>
        </w:rPr>
        <w:t>See accompanying Notes to the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VERRA MOBILITY CORPORATION</w:t>
      </w:r>
    </w:p>
    <w:p>
      <w:pPr>
        <w:pStyle w:val="TextBody"/>
        <w:bidi w:val="0"/>
        <w:jc w:val="center"/>
        <w:rPr>
          <w:rFonts w:ascii="Times New Roman" w:hAnsi="Times New Roman"/>
          <w:b/>
          <w:caps/>
          <w:color w:val="000000"/>
          <w:sz w:val="20"/>
        </w:rPr>
      </w:pPr>
      <w:bookmarkStart w:id="7" w:name="condensed_consolidated_statements_cash_f"/>
      <w:bookmarkEnd w:id="7"/>
      <w:r>
        <w:rPr>
          <w:rFonts w:ascii="Times New Roman" w:hAnsi="Times New Roman"/>
          <w:b/>
          <w:caps/>
          <w:color w:val="000000"/>
          <w:sz w:val="20"/>
        </w:rPr>
        <w:t>condensed consolidated Statements of Cash Flows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tbl>
      <w:tblPr>
        <w:tblW w:w="9678" w:type="dxa"/>
        <w:jc w:val="left"/>
        <w:tblInd w:w="0" w:type="dxa"/>
        <w:tblLayout w:type="fixed"/>
        <w:tblCellMar>
          <w:top w:w="28" w:type="dxa"/>
          <w:left w:w="28" w:type="dxa"/>
          <w:bottom w:w="28" w:type="dxa"/>
          <w:right w:w="28" w:type="dxa"/>
        </w:tblCellMar>
      </w:tblPr>
      <w:tblGrid>
        <w:gridCol w:w="6721"/>
        <w:gridCol w:w="146"/>
        <w:gridCol w:w="225"/>
        <w:gridCol w:w="785"/>
        <w:gridCol w:w="177"/>
        <w:gridCol w:w="155"/>
        <w:gridCol w:w="225"/>
        <w:gridCol w:w="833"/>
        <w:gridCol w:w="411"/>
      </w:tblGrid>
      <w:tr>
        <w:trPr/>
        <w:tc>
          <w:tcPr>
            <w:tcW w:w="6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26,744</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32,339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income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29,225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27,490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deferred financing costs and discounts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Share-based proceeds from legal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(7,865</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on remeasurement of share-based proceeds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Credit loss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2,635</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6,952</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Unbilled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(26,221</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11,255</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(2,314</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(5,543</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40,841</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62,965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installation and service parts and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(31,199</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(21,243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proceeds from the sale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(31,087</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(21,219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Borrowings on Amended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48,500</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 on Amended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 of term loan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Equipment financing arrangements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2,869</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 repurchases and retirement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(50,237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the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employee tax withholding related to RSUs and PSUs vesting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(28,581</w:t>
            </w:r>
          </w:p>
        </w:tc>
        <w:tc>
          <w:tcPr>
            <w:tcW w:w="17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3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(8,734</w:t>
            </w:r>
          </w:p>
        </w:tc>
        <w:tc>
          <w:tcPr>
            <w:tcW w:w="4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(18,212</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33,377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68,318</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81,154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50,106</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114,531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Condensed Consolidated Financial Statements.</w:t>
      </w:r>
    </w:p>
    <w:p>
      <w:pPr>
        <w:pStyle w:val="TextBody"/>
        <w:bidi w:val="0"/>
        <w:jc w:val="center"/>
        <w:rPr/>
      </w:pPr>
      <w:r>
        <w:rPr/>
        <w:t>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VERRA MOBILITY CORPORATION</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CASH FLOWS (Continued)</w:t>
      </w:r>
    </w:p>
    <w:p>
      <w:pPr>
        <w:pStyle w:val="TextBody"/>
        <w:bidi w:val="0"/>
        <w:jc w:val="center"/>
        <w:rPr>
          <w:rFonts w:ascii="Times New Roman" w:hAnsi="Times New Roman"/>
          <w:color w:val="000000"/>
          <w:sz w:val="20"/>
        </w:rPr>
      </w:pPr>
      <w:r>
        <w:rPr>
          <w:rFonts w:ascii="Times New Roman" w:hAnsi="Times New Roman"/>
          <w:color w:val="000000"/>
          <w:sz w:val="20"/>
        </w:rPr>
        <w:t>(Unaudited)</w:t>
      </w:r>
    </w:p>
    <w:tbl>
      <w:tblPr>
        <w:tblW w:w="7911" w:type="dxa"/>
        <w:jc w:val="left"/>
        <w:tblInd w:w="0" w:type="dxa"/>
        <w:tblLayout w:type="fixed"/>
        <w:tblCellMar>
          <w:top w:w="28" w:type="dxa"/>
          <w:left w:w="28" w:type="dxa"/>
          <w:bottom w:w="28" w:type="dxa"/>
          <w:right w:w="28" w:type="dxa"/>
        </w:tblCellMar>
      </w:tblPr>
      <w:tblGrid>
        <w:gridCol w:w="5176"/>
        <w:gridCol w:w="146"/>
        <w:gridCol w:w="233"/>
        <w:gridCol w:w="747"/>
        <w:gridCol w:w="161"/>
        <w:gridCol w:w="161"/>
        <w:gridCol w:w="233"/>
        <w:gridCol w:w="863"/>
        <w:gridCol w:w="191"/>
      </w:tblGrid>
      <w:tr>
        <w:trPr/>
        <w:tc>
          <w:tcPr>
            <w:tcW w:w="5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Reconciliation of cash, cash equivalents, and restricted cash </w:t>
              <w:br/>
              <w:t>to the condensed consolidated balance sheets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46,894</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3,212</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50,106</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114,531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02"/>
        <w:gridCol w:w="146"/>
        <w:gridCol w:w="211"/>
        <w:gridCol w:w="676"/>
        <w:gridCol w:w="146"/>
        <w:gridCol w:w="146"/>
        <w:gridCol w:w="211"/>
        <w:gridCol w:w="676"/>
        <w:gridCol w:w="391"/>
      </w:tblGrid>
      <w:tr>
        <w:trPr/>
        <w:tc>
          <w:tcPr>
            <w:tcW w:w="76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76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6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taxes paid, net of refunds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non-cash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6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installation and service parts and property and equipment in accounts payable and accrued liabilities at period-end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r>
        <w:rPr>
          <w:rFonts w:ascii="Times New Roman" w:hAnsi="Times New Roman"/>
          <w:b/>
          <w:caps/>
          <w:color w:val="000000"/>
          <w:sz w:val="20"/>
        </w:rPr>
        <w:t>VERRA MOBILITY CORPORATION</w:t>
      </w:r>
    </w:p>
    <w:p>
      <w:pPr>
        <w:pStyle w:val="TextBody"/>
        <w:bidi w:val="0"/>
        <w:jc w:val="center"/>
        <w:rPr>
          <w:rFonts w:ascii="Times New Roman" w:hAnsi="Times New Roman"/>
          <w:b/>
          <w:caps/>
          <w:color w:val="000000"/>
          <w:sz w:val="20"/>
        </w:rPr>
      </w:pPr>
      <w:bookmarkStart w:id="8" w:name="notes_to_condensed_consolidated_financia"/>
      <w:bookmarkEnd w:id="8"/>
      <w:r>
        <w:rPr>
          <w:rFonts w:ascii="Times New Roman" w:hAnsi="Times New Roman"/>
          <w:b/>
          <w:caps/>
          <w:color w:val="000000"/>
          <w:sz w:val="20"/>
        </w:rPr>
        <w:t>Notes to the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 Description of Business</w:t>
      </w:r>
    </w:p>
    <w:p>
      <w:pPr>
        <w:pStyle w:val="TextBody"/>
        <w:bidi w:val="0"/>
        <w:spacing w:before="120" w:after="283"/>
        <w:jc w:val="both"/>
        <w:rPr>
          <w:rFonts w:ascii="Times New Roman" w:hAnsi="Times New Roman"/>
          <w:sz w:val="20"/>
        </w:rPr>
      </w:pPr>
      <w:r>
        <w:rPr>
          <w:rFonts w:ascii="Times New Roman" w:hAnsi="Times New Roman"/>
          <w:color w:val="000000"/>
          <w:sz w:val="20"/>
        </w:rPr>
        <w:t>Verra Mobility Corporation (collectively with its subsidiaries, the “</w:t>
      </w:r>
      <w:r>
        <w:rPr>
          <w:rFonts w:ascii="Times New Roman" w:hAnsi="Times New Roman"/>
          <w:b/>
          <w:i/>
          <w:color w:val="000000"/>
          <w:sz w:val="20"/>
        </w:rPr>
        <w:t>Company</w:t>
      </w:r>
      <w:r>
        <w:rPr>
          <w:rFonts w:ascii="Times New Roman" w:hAnsi="Times New Roman"/>
          <w:color w:val="000000"/>
          <w:sz w:val="20"/>
        </w:rPr>
        <w:t>” or “</w:t>
      </w:r>
      <w:r>
        <w:rPr>
          <w:rFonts w:ascii="Times New Roman" w:hAnsi="Times New Roman"/>
          <w:b/>
          <w:i/>
          <w:color w:val="000000"/>
          <w:sz w:val="20"/>
        </w:rPr>
        <w:t>Verra Mobility</w:t>
      </w:r>
      <w:r>
        <w:rPr>
          <w:rFonts w:ascii="Times New Roman" w:hAnsi="Times New Roman"/>
          <w:color w:val="000000"/>
          <w:sz w:val="20"/>
        </w:rPr>
        <w:t xml:space="preserve">”) offers integrated technology solutions and services to its customers who are located throughout the world, primarily within the United States, Australia, Europe, and Canada. Verra Mobility’s goal is to make transportation safer, smarter, and more connected through its integrated, data-driven solutions, including toll and violations management, title and registration services, automated safety and traffic enforcement, and commercial parking management. The Company brings together vehicles, hardware, software, data, and people to solve transportation challenges for customers around the world. The Company is organized into three operating segments: Commercial Services, Government Solutions, and Parking Solutions (see Note 14, </w:t>
      </w:r>
      <w:r>
        <w:rPr>
          <w:rFonts w:ascii="Times New Roman" w:hAnsi="Times New Roman"/>
          <w:i/>
          <w:color w:val="000000"/>
          <w:sz w:val="20"/>
        </w:rPr>
        <w:t>Segment Reporting</w:t>
      </w:r>
      <w:r>
        <w:rPr>
          <w:rFonts w:ascii="Times New Roman" w:hAnsi="Times New Roman"/>
          <w:color w:val="000000"/>
          <w:sz w:val="20"/>
        </w:rPr>
        <w:t>).</w:t>
      </w:r>
    </w:p>
    <w:p>
      <w:pPr>
        <w:pStyle w:val="TextBody"/>
        <w:bidi w:val="0"/>
        <w:spacing w:before="240" w:after="283"/>
        <w:jc w:val="both"/>
        <w:rPr>
          <w:rFonts w:ascii="Times New Roman" w:hAnsi="Times New Roman"/>
          <w:sz w:val="20"/>
        </w:rPr>
      </w:pPr>
      <w:r>
        <w:rPr>
          <w:rFonts w:ascii="Times New Roman" w:hAnsi="Times New Roman"/>
          <w:color w:val="000000"/>
          <w:sz w:val="20"/>
        </w:rPr>
        <w:t>The Commercial Services segment offers automated toll and violations management and title and registration solutions to rental car companies (“</w:t>
      </w:r>
      <w:r>
        <w:rPr>
          <w:rFonts w:ascii="Times New Roman" w:hAnsi="Times New Roman"/>
          <w:b/>
          <w:i/>
          <w:color w:val="000000"/>
          <w:sz w:val="20"/>
        </w:rPr>
        <w:t>RACs</w:t>
      </w:r>
      <w:r>
        <w:rPr>
          <w:rFonts w:ascii="Times New Roman" w:hAnsi="Times New Roman"/>
          <w:color w:val="000000"/>
          <w:sz w:val="20"/>
        </w:rPr>
        <w:t>”), direct commercial fleet owner-operators (“</w:t>
      </w:r>
      <w:r>
        <w:rPr>
          <w:rFonts w:ascii="Times New Roman" w:hAnsi="Times New Roman"/>
          <w:b/>
          <w:i/>
          <w:color w:val="000000"/>
          <w:sz w:val="20"/>
        </w:rPr>
        <w:t>Direct Fleets</w:t>
      </w:r>
      <w:r>
        <w:rPr>
          <w:rFonts w:ascii="Times New Roman" w:hAnsi="Times New Roman"/>
          <w:color w:val="000000"/>
          <w:sz w:val="20"/>
        </w:rPr>
        <w:t>”) and fleet management companies (“</w:t>
      </w:r>
      <w:r>
        <w:rPr>
          <w:rFonts w:ascii="Times New Roman" w:hAnsi="Times New Roman"/>
          <w:b/>
          <w:i/>
          <w:color w:val="000000"/>
          <w:sz w:val="20"/>
        </w:rPr>
        <w:t>FMCs</w:t>
      </w:r>
      <w:r>
        <w:rPr>
          <w:rFonts w:ascii="Times New Roman" w:hAnsi="Times New Roman"/>
          <w:color w:val="000000"/>
          <w:sz w:val="20"/>
        </w:rPr>
        <w:t>”), and other large fleet owners in North America. Through established relationships with individual tolling authorities throughout the United States, Commercial Services’ toll and violations management solutions facilitate timely payment of tolls and violations incurred by its customers’ vehicles, accurate transfer of liability on customers’ behalf, and billing of, and collections from, individual drivers. It also manages regional toll transponder installation and vehicle association—a critical and highly complex process for RAC, Direct Fleet, and FMC customers—to ensure that transponders and corresponding toll transactions are associated with the correct vehicle. In Europe, the Commercial Services segment provides violations processing through Euro Parking Collection plc and consumer tolling services through Pagatelia S.L.U.</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Government Solutions segment provides photo enforcement automated safety solutions to states, municipalities, counties, school districts, and law enforcement agencies of all sizes, primarily in the United States, Canada, and Australia. The Company’s proprietary technologies are designed to provide government agencies with the information, data, and automated end-to-end administrative capabilities to enforce traffic violations through photo enforcement, with the goal of reducing traffic violations and resulting collisions, injuries, and fatalities. The Company installs, maintains, and manages hardware and software automated safety solutions to process event data, apply customer-specific rules, and connect traffic violations to responsible drivers or vehicle owners on behalf of customers. The Company also offers an end-to-end solution, in which it automatically sends captured events to a customer’s designated enforcement agency, and, once a violation is confirmed, the Company manages citation mailing, billing, and other administrative tasks on behalf of the customer. The international operations for this segment primarily involve the sale of traffic enforcement products and recurring maintenance services related to the equipment and software.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Parking Solutions segment provides an integrated suite of parking software, transaction processing, and hardware solutions to its customers, which include universities, municipalities, healthcare facilities, and commercial parking operators. This segment develops specialized hardware and parking management software that provides a platform for the issuance of parking permits, enforcement, gateless vehicle counting, event parking, and citation services. It also produces and markets its proprietary software as a service to customers throughout the United States and Canada. </w:t>
      </w:r>
    </w:p>
    <w:p>
      <w:pPr>
        <w:pStyle w:val="TextBody"/>
        <w:bidi w:val="0"/>
        <w:spacing w:before="360" w:after="283"/>
        <w:jc w:val="both"/>
        <w:rPr>
          <w:rFonts w:ascii="Times New Roman" w:hAnsi="Times New Roman"/>
          <w:sz w:val="20"/>
        </w:rPr>
      </w:pPr>
      <w:r>
        <w:rPr>
          <w:rFonts w:ascii="Times New Roman" w:hAnsi="Times New Roman"/>
          <w:b/>
          <w:color w:val="000000"/>
          <w:sz w:val="20"/>
        </w:rPr>
        <w:t>2. Significant Accounting Policies</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Principles of Consolidation</w:t>
      </w:r>
    </w:p>
    <w:p>
      <w:pPr>
        <w:pStyle w:val="TextBody"/>
        <w:bidi w:val="0"/>
        <w:spacing w:before="120" w:after="283"/>
        <w:jc w:val="both"/>
        <w:rPr>
          <w:rFonts w:ascii="Times New Roman" w:hAnsi="Times New Roman"/>
          <w:sz w:val="20"/>
        </w:rPr>
      </w:pPr>
      <w:r>
        <w:rPr>
          <w:rFonts w:ascii="Times New Roman" w:hAnsi="Times New Roman"/>
          <w:color w:val="000000"/>
          <w:sz w:val="20"/>
        </w:rPr>
        <w:t>The accompanying unaudited condensed consolidated financial statements include the accounts of the Company prepared in accordance with generally accepted accounting principles in the United States of America (“</w:t>
      </w:r>
      <w:r>
        <w:rPr>
          <w:rFonts w:ascii="Times New Roman" w:hAnsi="Times New Roman"/>
          <w:b/>
          <w:i/>
          <w:color w:val="000000"/>
          <w:sz w:val="20"/>
        </w:rPr>
        <w:t>GAAP</w:t>
      </w:r>
      <w:r>
        <w:rPr>
          <w:rFonts w:ascii="Times New Roman" w:hAnsi="Times New Roman"/>
          <w:color w:val="000000"/>
          <w:sz w:val="20"/>
        </w:rPr>
        <w:t>”). All intercompany balances and transactions have been eliminated in consolidation. In the opinion of the Company’s management, the unaudited condensed consolidated financial statements reflect all adjustments, which are normal and recurring in nature, necessary for fair financial statement presentation.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preparation of these financial statements in conformity with GAAP requires management to make estimates and assumptions that affect the amounts reported in the unaudited condensed consolidated financial statements and accompanying notes. There have been no material changes in the Company’s significant accounting policies from those disclosed in the Annual Report on Form 10-K for the year ended December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Management believes that its estimates and assumptions are reasonable in the circumstances; however, actual results could differ materially from those estimates.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Concentration of Credit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Significant customers are those which represent more than 10% of the Company’s total revenue or accounts receivable, net. </w:t>
      </w:r>
    </w:p>
    <w:p>
      <w:pPr>
        <w:pStyle w:val="TextBody"/>
        <w:bidi w:val="0"/>
        <w:spacing w:before="120" w:after="283"/>
        <w:jc w:val="both"/>
        <w:rPr>
          <w:rFonts w:ascii="Times New Roman" w:hAnsi="Times New Roman"/>
          <w:sz w:val="20"/>
        </w:rPr>
      </w:pPr>
      <w:r>
        <w:rPr>
          <w:rFonts w:ascii="Times New Roman" w:hAnsi="Times New Roman"/>
          <w:color w:val="000000"/>
          <w:sz w:val="20"/>
        </w:rPr>
        <w:t>Revenue from a single Government Solutions customer exceeded 10% of total revenue. The City of New York Department of Transportation (“</w:t>
      </w:r>
      <w:r>
        <w:rPr>
          <w:rFonts w:ascii="Times New Roman" w:hAnsi="Times New Roman"/>
          <w:b/>
          <w:i/>
          <w:color w:val="000000"/>
          <w:sz w:val="20"/>
        </w:rPr>
        <w:t>NYCDOT</w:t>
      </w:r>
      <w:r>
        <w:rPr>
          <w:rFonts w:ascii="Times New Roman" w:hAnsi="Times New Roman"/>
          <w:color w:val="000000"/>
          <w:sz w:val="20"/>
        </w:rPr>
        <w:t>”) represented 15.2% and 15.4% of total revenue for the three months ended March 31, 2026 and 2025, respectively. NYCDOT represented 23.9% and 31.1% of total accounts receivable, net as of March 31, 2026 and December 31, 2025, respectively. Additionally, due to quarter-end billing timing, there is approximately $20.2 million of unbilled revenue related to NYCDOT as of March 31, 2026. There is no material reserve related to NYCDOT open receivables as amounts are deemed collectible based on current conditions and expectations. No other Government Solutions customer exceeded 10% of total accounts receivable, net as of March 31, 2026 or December 31,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Significant customer revenues were generated through three of the Company’s Commercial Services customers, with each exceeding 10% of total revenue. Commercial Services Customer A represented 13.3% and 15.7% of total revenue for the three months ended March 31, 2026 and 2025, respectively. Commercial Services Customer B represented 11.9% of total revenue for both of the three months ended March 31, 2026 and 2025. Commercial Services Customer C represented 10.0% and 10.3% of total revenue for the three months ended March 31, 2026 and 2025, respectively. No Commercial Services customer exceeded 10% of total accounts receivable, net as of March 31, 2026 or December 31,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were no significant customer concentrations that exceeded 10% of total revenue or accounts receivable, net for the Parking Solutions segment as of or for any period presented.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Allowance for Credit Losses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reviews historical credit losses and customer payment trends on receivables and develops loss estimates as of the balance sheet date, which includes adjustments for current and future expectations. It identifies pools of receivables based on the type of business, industry in which the customer operates and historical credit loss patterns. The Company uses collection assumptions (typically at the customer level) to estimate expected credit losses. Receivables are written off against the allowance for credit losses when it is probable that amounts will not be collected based on the terms of the customer contracts, and subsequent recoveries reverse the previous write-off and apply to the receivable in the period recovered. No interest or late fees are charged on delinquent accounts. The Company periodically evaluates the adequacy of its allowance for expected credit losses and adjusts appropriately.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presents the activity in the allowance for credit losses by reportable segment for the three months ended March 31, 2026 and 2025, respectively:</w:t>
      </w:r>
    </w:p>
    <w:p>
      <w:pPr>
        <w:pStyle w:val="TextBody"/>
        <w:bidi w:val="0"/>
        <w:jc w:val="both"/>
        <w:rPr/>
      </w:pPr>
      <w:r>
        <w:rPr/>
        <w:t> </w:t>
      </w:r>
    </w:p>
    <w:tbl>
      <w:tblPr>
        <w:tblW w:w="7710" w:type="dxa"/>
        <w:jc w:val="left"/>
        <w:tblInd w:w="0" w:type="dxa"/>
        <w:tblLayout w:type="fixed"/>
        <w:tblCellMar>
          <w:top w:w="28" w:type="dxa"/>
          <w:left w:w="28" w:type="dxa"/>
          <w:bottom w:w="28" w:type="dxa"/>
          <w:right w:w="28" w:type="dxa"/>
        </w:tblCellMar>
      </w:tblPr>
      <w:tblGrid>
        <w:gridCol w:w="2556"/>
        <w:gridCol w:w="146"/>
        <w:gridCol w:w="235"/>
        <w:gridCol w:w="756"/>
        <w:gridCol w:w="166"/>
        <w:gridCol w:w="146"/>
        <w:gridCol w:w="340"/>
        <w:gridCol w:w="681"/>
        <w:gridCol w:w="166"/>
        <w:gridCol w:w="146"/>
        <w:gridCol w:w="211"/>
        <w:gridCol w:w="571"/>
        <w:gridCol w:w="166"/>
        <w:gridCol w:w="146"/>
        <w:gridCol w:w="211"/>
        <w:gridCol w:w="676"/>
        <w:gridCol w:w="391"/>
      </w:tblGrid>
      <w:tr>
        <w:trPr/>
        <w:tc>
          <w:tcPr>
            <w:tcW w:w="2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Commercial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Government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Parking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Services</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Solutions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Solutions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Credit loss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Write-offs, net of recoveries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19,990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Commercial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Government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Parking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Services</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Solutions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Solutions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17,018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Credit loss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Write-offs, net of recoveries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18,710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rPr>
      </w:pPr>
      <w:r>
        <w:rPr>
          <w:rFonts w:ascii="Times New Roman" w:hAnsi="Times New Roman"/>
          <w:color w:val="000000"/>
          <w:sz w:val="20"/>
        </w:rPr>
        <w:t xml:space="preserve">This primarily consists of receivables from drivers of rental cars for which the Company bills on behalf of its customers. Receivables not collected from drivers within a defined number of days are transferred to customers subject to applicable bad debt sharing agreements. The allowance for credit losses for driver-billed receivables was 82% of the total Commercial Services allowance for credit losses as of both March 31, 2026 and 2025.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Remaining Performance Obligations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Deferred revenue represents amounts that have been invoiced in advance and are expected to be recognized as revenue in future periods, and primarily relates to Government Solutions and Parking Solutions customers. As of March 31, 2026 and December 31, 2025, the Company had approximately $9.4 million and $8.9 million of deferred revenue in the Government Solutions segment, respectively. During the three months ended March 31, 2026 and 2025, the Company recognized $3.2 million and $4.3 million, respectively, of revenue, excluding exchange rate impact, related to amounts that were included in deferred revenue as of December 31, 2025 and 2024. As of March 31, 2026 and December 31, 2025, the Company had approximately $17.5 million and $20.1 million of deferred revenue in the Parking Solutions segment, respectively. During the three months ended March 31, 2026 and 2025, the Company recognized $9.1 million and $10.0 million, respectively, of revenue, excluding exchange rate impact, related to amounts that were included in deferred revenue as of December 31, 2025 and 2024.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Remaining performance obligations represent the amount of contracted future revenue not yet recognized as the amounts relate to undelivered performance obligations, including both deferred revenue and non-cancelable contracted amounts that will be invoiced and recognized as revenue in future periods. The Company elected the practical expedients to omit disclosure for the amount of the transaction price allocated to remaining performance obligations with original expected contract length of one year or less and the amount that relates to variable consideration allocated to a wholly unsatisfied performance obligation to transfer a distinct good or service within a series of distinct goods or services that form a single performance obligation. As of March 31, 2026, total transaction price allocated to performance obligations in the Government Solutions segment that were unsatisfied or partially unsatisfied was $194.8 million, of which $76.1 million is expected to be recognized as revenue in the next twelve months and the rest over the remaining performance obligation period.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Accounting Standards Not Yet Adopted</w:t>
      </w:r>
    </w:p>
    <w:p>
      <w:pPr>
        <w:pStyle w:val="TextBody"/>
        <w:bidi w:val="0"/>
        <w:spacing w:before="120" w:after="283"/>
        <w:jc w:val="both"/>
        <w:rPr>
          <w:rFonts w:ascii="Times New Roman" w:hAnsi="Times New Roman"/>
          <w:sz w:val="20"/>
        </w:rPr>
      </w:pPr>
      <w:r>
        <w:rPr>
          <w:rFonts w:ascii="Times New Roman" w:hAnsi="Times New Roman"/>
          <w:color w:val="000000"/>
          <w:sz w:val="20"/>
        </w:rPr>
        <w:t>In November 2024, the Financial Accounting Standards Board (the “</w:t>
      </w:r>
      <w:r>
        <w:rPr>
          <w:rFonts w:ascii="Times New Roman" w:hAnsi="Times New Roman"/>
          <w:b/>
          <w:i/>
          <w:color w:val="000000"/>
          <w:sz w:val="20"/>
        </w:rPr>
        <w:t>FASB</w:t>
      </w:r>
      <w:r>
        <w:rPr>
          <w:rFonts w:ascii="Times New Roman" w:hAnsi="Times New Roman"/>
          <w:color w:val="000000"/>
          <w:sz w:val="20"/>
        </w:rPr>
        <w:t>”) issued Accounting Standards Update (“</w:t>
      </w:r>
      <w:r>
        <w:rPr>
          <w:rFonts w:ascii="Times New Roman" w:hAnsi="Times New Roman"/>
          <w:b/>
          <w:i/>
          <w:color w:val="000000"/>
          <w:sz w:val="20"/>
        </w:rPr>
        <w:t>ASU</w:t>
      </w:r>
      <w:r>
        <w:rPr>
          <w:rFonts w:ascii="Times New Roman" w:hAnsi="Times New Roman"/>
          <w:color w:val="000000"/>
          <w:sz w:val="20"/>
        </w:rPr>
        <w:t xml:space="preserve">”) 2024-03, </w:t>
      </w:r>
      <w:r>
        <w:rPr>
          <w:rFonts w:ascii="Times New Roman" w:hAnsi="Times New Roman"/>
          <w:i/>
          <w:color w:val="000000"/>
          <w:sz w:val="20"/>
        </w:rPr>
        <w:t>Income Statement—Reporting Comprehensive Income—Expense Disaggregation Disclosures (Subtopic 220-40): Disaggregation of Income Statement Expenses</w:t>
      </w:r>
      <w:r>
        <w:rPr>
          <w:rFonts w:ascii="Times New Roman" w:hAnsi="Times New Roman"/>
          <w:color w:val="000000"/>
          <w:sz w:val="20"/>
        </w:rPr>
        <w:t>. The ASU requires public companies to disclose, in the notes to financial statements, specified information about certain costs and expenses at each interim and annual reporting period at a disaggregated level. The guidance is effective for fiscal years beginning after December 15, 2026 and interim periods within fiscal years beginning after December 15, 2027. Early adoption is permitted. The Company is currently evaluating the impact of this accounting standard on its financial statements and disclosures.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September 2025, the FASB issued ASU 2025-06, </w:t>
      </w:r>
      <w:r>
        <w:rPr>
          <w:rFonts w:ascii="Times New Roman" w:hAnsi="Times New Roman"/>
          <w:i/>
          <w:color w:val="000000"/>
          <w:sz w:val="20"/>
        </w:rPr>
        <w:t>Intangibles—Goodwill and Other—Internal-Use Software (Subtopic 350-40): Targeted Improvements to the Accounting for Internal-Use Software</w:t>
      </w:r>
      <w:r>
        <w:rPr>
          <w:rFonts w:ascii="Times New Roman" w:hAnsi="Times New Roman"/>
          <w:color w:val="000000"/>
          <w:sz w:val="20"/>
        </w:rPr>
        <w:t>. The ASU removes all references to prescriptive and sequential software development stages. The ASU requires entities to begin capitalizing software costs when management authorizes and commits to funding the software project and it is probable that the project will be completed and the software will be used for its intended purpose. The guidance is effective for annual periods beginning after December 15, 2027 and interim periods within fiscal years beginning after December 15, 2027. The guidance can be applied on a prospective basis, a modified basis for in-process projects, or on a retrospective basis. Early adoption is permitted. The Company is currently evaluating the impact of this accounting standard on its financial statements and disclosures.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3. Prepaid Expenses and Other Current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Prepaid expenses and other current assets consist of the following at:</w:t>
      </w:r>
    </w:p>
    <w:p>
      <w:pPr>
        <w:pStyle w:val="TextBody"/>
        <w:bidi w:val="0"/>
        <w:jc w:val="left"/>
        <w:rPr/>
      </w:pPr>
      <w:r>
        <w:rPr/>
        <w:t> </w:t>
      </w:r>
    </w:p>
    <w:tbl>
      <w:tblPr>
        <w:tblW w:w="6742" w:type="dxa"/>
        <w:jc w:val="left"/>
        <w:tblInd w:w="0" w:type="dxa"/>
        <w:tblLayout w:type="fixed"/>
        <w:tblCellMar>
          <w:top w:w="28" w:type="dxa"/>
          <w:left w:w="28" w:type="dxa"/>
          <w:bottom w:w="28" w:type="dxa"/>
          <w:right w:w="28" w:type="dxa"/>
        </w:tblCellMar>
      </w:tblPr>
      <w:tblGrid>
        <w:gridCol w:w="4031"/>
        <w:gridCol w:w="146"/>
        <w:gridCol w:w="211"/>
        <w:gridCol w:w="676"/>
        <w:gridCol w:w="146"/>
        <w:gridCol w:w="146"/>
        <w:gridCol w:w="260"/>
        <w:gridCol w:w="835"/>
        <w:gridCol w:w="291"/>
      </w:tblGrid>
      <w:tr>
        <w:trPr/>
        <w:tc>
          <w:tcPr>
            <w:tcW w:w="4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22,925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tolls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 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to fulfill a customer contract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56,568</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61,534</w:t>
            </w:r>
          </w:p>
        </w:tc>
        <w:tc>
          <w:tcPr>
            <w:tcW w:w="2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4. Goodwill and Intangible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presents the changes in the carrying amount of goodwill by reportable segment:</w:t>
      </w:r>
    </w:p>
    <w:p>
      <w:pPr>
        <w:pStyle w:val="TextBody"/>
        <w:bidi w:val="0"/>
        <w:jc w:val="both"/>
        <w:rPr/>
      </w:pPr>
      <w:r>
        <w:rPr/>
        <w:t> </w:t>
      </w:r>
    </w:p>
    <w:tbl>
      <w:tblPr>
        <w:tblW w:w="8611" w:type="dxa"/>
        <w:jc w:val="left"/>
        <w:tblInd w:w="0" w:type="dxa"/>
        <w:tblLayout w:type="fixed"/>
        <w:tblCellMar>
          <w:top w:w="28" w:type="dxa"/>
          <w:left w:w="28" w:type="dxa"/>
          <w:bottom w:w="28" w:type="dxa"/>
          <w:right w:w="28" w:type="dxa"/>
        </w:tblCellMar>
      </w:tblPr>
      <w:tblGrid>
        <w:gridCol w:w="3361"/>
        <w:gridCol w:w="146"/>
        <w:gridCol w:w="211"/>
        <w:gridCol w:w="781"/>
        <w:gridCol w:w="166"/>
        <w:gridCol w:w="146"/>
        <w:gridCol w:w="217"/>
        <w:gridCol w:w="804"/>
        <w:gridCol w:w="146"/>
        <w:gridCol w:w="146"/>
        <w:gridCol w:w="211"/>
        <w:gridCol w:w="781"/>
        <w:gridCol w:w="146"/>
        <w:gridCol w:w="146"/>
        <w:gridCol w:w="211"/>
        <w:gridCol w:w="781"/>
        <w:gridCol w:w="211"/>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Commercial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Government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Parking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Services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Solutions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Solutions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425,231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214,313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741,610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424,354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214,752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741,172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Intangible assets consist of the following as of the respective period-ends:</w:t>
      </w:r>
    </w:p>
    <w:p>
      <w:pPr>
        <w:pStyle w:val="TextBody"/>
        <w:bidi w:val="0"/>
        <w:jc w:val="both"/>
        <w:rPr/>
      </w:pPr>
      <w:r>
        <w:rPr/>
        <w:t> </w:t>
      </w:r>
    </w:p>
    <w:tbl>
      <w:tblPr>
        <w:tblW w:w="9010" w:type="dxa"/>
        <w:jc w:val="left"/>
        <w:tblInd w:w="0" w:type="dxa"/>
        <w:tblLayout w:type="fixed"/>
        <w:tblCellMar>
          <w:top w:w="28" w:type="dxa"/>
          <w:left w:w="28" w:type="dxa"/>
          <w:bottom w:w="28" w:type="dxa"/>
          <w:right w:w="28" w:type="dxa"/>
        </w:tblCellMar>
      </w:tblPr>
      <w:tblGrid>
        <w:gridCol w:w="3391"/>
        <w:gridCol w:w="146"/>
        <w:gridCol w:w="211"/>
        <w:gridCol w:w="841"/>
        <w:gridCol w:w="166"/>
        <w:gridCol w:w="146"/>
        <w:gridCol w:w="229"/>
        <w:gridCol w:w="852"/>
        <w:gridCol w:w="146"/>
        <w:gridCol w:w="146"/>
        <w:gridCol w:w="211"/>
        <w:gridCol w:w="841"/>
        <w:gridCol w:w="166"/>
        <w:gridCol w:w="146"/>
        <w:gridCol w:w="229"/>
        <w:gridCol w:w="852"/>
        <w:gridCol w:w="29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Amortization</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Trademarks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558,378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425,809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559,256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412,488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carrying value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604,912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451,546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605,234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436,593</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(451,546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(436,593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Amortization expense was $15.6 million and $16.7 million for the three months ended March 31, 2026 and 2025, respectively.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Estimated amortization expense in future years is expected to be:</w:t>
      </w:r>
    </w:p>
    <w:p>
      <w:pPr>
        <w:pStyle w:val="TextBody"/>
        <w:bidi w:val="0"/>
        <w:jc w:val="both"/>
        <w:rPr/>
      </w:pPr>
      <w:r>
        <w:rPr/>
        <w:t> </w:t>
      </w:r>
    </w:p>
    <w:tbl>
      <w:tblPr>
        <w:tblW w:w="3110" w:type="dxa"/>
        <w:jc w:val="left"/>
        <w:tblInd w:w="0" w:type="dxa"/>
        <w:tblLayout w:type="fixed"/>
        <w:tblCellMar>
          <w:top w:w="28" w:type="dxa"/>
          <w:left w:w="28" w:type="dxa"/>
          <w:bottom w:w="28" w:type="dxa"/>
          <w:right w:w="28" w:type="dxa"/>
        </w:tblCellMar>
      </w:tblPr>
      <w:tblGrid>
        <w:gridCol w:w="1681"/>
        <w:gridCol w:w="146"/>
        <w:gridCol w:w="211"/>
        <w:gridCol w:w="781"/>
        <w:gridCol w:w="2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41,541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28,770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22,769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21,741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20,730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153,366</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5.</w:t>
      </w:r>
      <w:r>
        <w:rPr>
          <w:rFonts w:ascii="Times New Roman" w:hAnsi="Times New Roman"/>
          <w:color w:val="000000"/>
          <w:sz w:val="20"/>
        </w:rPr>
        <w:t xml:space="preserve"> </w:t>
      </w:r>
      <w:r>
        <w:rPr>
          <w:rFonts w:ascii="Times New Roman" w:hAnsi="Times New Roman"/>
          <w:b/>
          <w:color w:val="000000"/>
          <w:sz w:val="20"/>
        </w:rPr>
        <w:t>Accrued Liabilities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Accrued liabilities consist of the following at:</w:t>
      </w:r>
    </w:p>
    <w:p>
      <w:pPr>
        <w:pStyle w:val="TextBody"/>
        <w:bidi w:val="0"/>
        <w:jc w:val="both"/>
        <w:rPr/>
      </w:pPr>
      <w:r>
        <w:rPr/>
        <w:t> </w:t>
      </w:r>
    </w:p>
    <w:tbl>
      <w:tblPr>
        <w:tblW w:w="6402" w:type="dxa"/>
        <w:jc w:val="left"/>
        <w:tblInd w:w="0" w:type="dxa"/>
        <w:tblLayout w:type="fixed"/>
        <w:tblCellMar>
          <w:top w:w="28" w:type="dxa"/>
          <w:left w:w="28" w:type="dxa"/>
          <w:bottom w:w="28" w:type="dxa"/>
          <w:right w:w="28" w:type="dxa"/>
        </w:tblCellMar>
      </w:tblPr>
      <w:tblGrid>
        <w:gridCol w:w="3691"/>
        <w:gridCol w:w="146"/>
        <w:gridCol w:w="211"/>
        <w:gridCol w:w="676"/>
        <w:gridCol w:w="146"/>
        <w:gridCol w:w="146"/>
        <w:gridCol w:w="260"/>
        <w:gridCol w:w="835"/>
        <w:gridCol w:w="291"/>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salaries and wages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41,050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Advanced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due to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Self-insurance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69,851</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6. Debt,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provides a summary of the Company’s debt, net at:</w:t>
      </w:r>
    </w:p>
    <w:p>
      <w:pPr>
        <w:pStyle w:val="TextBody"/>
        <w:bidi w:val="0"/>
        <w:jc w:val="left"/>
        <w:rPr/>
      </w:pPr>
      <w:r>
        <w:rPr/>
        <w:t> </w:t>
      </w:r>
    </w:p>
    <w:tbl>
      <w:tblPr>
        <w:tblW w:w="6739" w:type="dxa"/>
        <w:jc w:val="left"/>
        <w:tblInd w:w="0" w:type="dxa"/>
        <w:tblLayout w:type="fixed"/>
        <w:tblCellMar>
          <w:top w:w="28" w:type="dxa"/>
          <w:left w:w="28" w:type="dxa"/>
          <w:bottom w:w="28" w:type="dxa"/>
          <w:right w:w="28" w:type="dxa"/>
        </w:tblCellMar>
      </w:tblPr>
      <w:tblGrid>
        <w:gridCol w:w="3586"/>
        <w:gridCol w:w="146"/>
        <w:gridCol w:w="211"/>
        <w:gridCol w:w="931"/>
        <w:gridCol w:w="166"/>
        <w:gridCol w:w="146"/>
        <w:gridCol w:w="211"/>
        <w:gridCol w:w="931"/>
        <w:gridCol w:w="411"/>
      </w:tblGrid>
      <w:tr>
        <w:trPr/>
        <w:tc>
          <w:tcPr>
            <w:tcW w:w="3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Amended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685,360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687,082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Amended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debt</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original issue discounts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unamortized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1,055,617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1,028,045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debt,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1,021,487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1,021,157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40"/>
        <w:jc w:val="both"/>
        <w:rPr>
          <w:rFonts w:ascii="Times New Roman" w:hAnsi="Times New Roman"/>
          <w:color w:val="000000"/>
          <w:sz w:val="20"/>
        </w:rPr>
      </w:pPr>
      <w:r>
        <w:rPr>
          <w:rFonts w:ascii="Times New Roman" w:hAnsi="Times New Roman"/>
          <w:color w:val="000000"/>
          <w:sz w:val="20"/>
        </w:rPr>
        <w:t>(1) Other debt consists of immaterial equipment financing arrangements entered into in the normal course of business, including certain equipment leases accounted for as financing arrangements.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 xml:space="preserve">2021 Term Loan and Amended Term Loan </w:t>
      </w:r>
    </w:p>
    <w:p>
      <w:pPr>
        <w:pStyle w:val="TextBody"/>
        <w:bidi w:val="0"/>
        <w:spacing w:before="120" w:after="283"/>
        <w:jc w:val="both"/>
        <w:rPr>
          <w:rFonts w:ascii="Times New Roman" w:hAnsi="Times New Roman"/>
          <w:sz w:val="20"/>
        </w:rPr>
      </w:pPr>
      <w:r>
        <w:rPr>
          <w:rFonts w:ascii="Times New Roman" w:hAnsi="Times New Roman"/>
          <w:color w:val="000000"/>
          <w:sz w:val="20"/>
        </w:rPr>
        <w:t>In March 2021, VM Consolidated, Inc. (“</w:t>
      </w:r>
      <w:r>
        <w:rPr>
          <w:rFonts w:ascii="Times New Roman" w:hAnsi="Times New Roman"/>
          <w:b/>
          <w:i/>
          <w:color w:val="000000"/>
          <w:sz w:val="20"/>
        </w:rPr>
        <w:t>VM Consolidated</w:t>
      </w:r>
      <w:r>
        <w:rPr>
          <w:rFonts w:ascii="Times New Roman" w:hAnsi="Times New Roman"/>
          <w:color w:val="000000"/>
          <w:sz w:val="20"/>
        </w:rPr>
        <w:t>”), the Company’s wholly owned subsidiary, entered into an Amendment and Restatement Agreement No.1 to the First Lien Term Loan Credit Agreement (the “</w:t>
      </w:r>
      <w:r>
        <w:rPr>
          <w:rFonts w:ascii="Times New Roman" w:hAnsi="Times New Roman"/>
          <w:b/>
          <w:i/>
          <w:color w:val="000000"/>
          <w:sz w:val="20"/>
        </w:rPr>
        <w:t>2021</w:t>
      </w:r>
      <w:r>
        <w:rPr>
          <w:rFonts w:ascii="Times New Roman" w:hAnsi="Times New Roman"/>
          <w:color w:val="000000"/>
          <w:sz w:val="20"/>
        </w:rPr>
        <w:t xml:space="preserve"> </w:t>
      </w:r>
      <w:r>
        <w:rPr>
          <w:rFonts w:ascii="Times New Roman" w:hAnsi="Times New Roman"/>
          <w:b/>
          <w:i/>
          <w:color w:val="000000"/>
          <w:sz w:val="20"/>
        </w:rPr>
        <w:t>Term Loan</w:t>
      </w:r>
      <w:r>
        <w:rPr>
          <w:rFonts w:ascii="Times New Roman" w:hAnsi="Times New Roman"/>
          <w:color w:val="000000"/>
          <w:sz w:val="20"/>
        </w:rPr>
        <w:t>”) with a syndicate of lenders. The 2021 Term Loan had an aggregate borrowing of $900.0 million, maturing on March 24, 2028. In connection with the 2021 Term Loan borrowings, the Company had $4.6 million of offering discount costs and $4.5 million in deferred financing costs, both of which were capitalized and amortized over the life of the 2021 Term Loan. Such offering discount costs and deferred financing costs have subsequently been adjusted as needed as a result of refinancing activity discussed below which prompted re-evaluation of unamortized amounts on a lender-by-lender basis.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0"/>
        </w:rPr>
        <w:t>In October 2025, VM Consolidated and certain of the Company’s subsidiaries entered into the Amendment and Restatement Agreement No. 2 to the Amended and Restated First Lien Term Loan Credit Agreement dated as of March 26, 2021 (such agreement amended and restated, the “</w:t>
      </w:r>
      <w:r>
        <w:rPr>
          <w:rFonts w:ascii="Times New Roman" w:hAnsi="Times New Roman"/>
          <w:b/>
          <w:i/>
          <w:color w:val="000000"/>
          <w:sz w:val="20"/>
        </w:rPr>
        <w:t>Amended and Restated Term Loan Agreement</w:t>
      </w:r>
      <w:r>
        <w:rPr>
          <w:rFonts w:ascii="Times New Roman" w:hAnsi="Times New Roman"/>
          <w:color w:val="000000"/>
          <w:sz w:val="20"/>
        </w:rPr>
        <w:t>”), to refinance the existing senior secured term loans in an aggregate outstanding principal amount of approximately $688.8 million with a new senior secured term loan of the same principal amount maturing on October 15, 2032 (the “</w:t>
      </w:r>
      <w:r>
        <w:rPr>
          <w:rFonts w:ascii="Times New Roman" w:hAnsi="Times New Roman"/>
          <w:b/>
          <w:i/>
          <w:color w:val="000000"/>
          <w:sz w:val="20"/>
        </w:rPr>
        <w:t>Amended Term Loan</w:t>
      </w:r>
      <w:r>
        <w:rPr>
          <w:rFonts w:ascii="Times New Roman" w:hAnsi="Times New Roman"/>
          <w:color w:val="000000"/>
          <w:sz w:val="20"/>
        </w:rPr>
        <w:t xml:space="preserve">”). The proceeds from the Amended Term Loan were used in their entirety to prepay in full the outstanding principal amount of the existing term loan under the 2021 Term Loan agreement.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Amended Term Loan bears interest at a per annum rate equal to SOFR plus an applicable margin of 2.00%, or a base rate plus an applicable margin of 1.00%. As of March 31, 2026, the interest rate on the Amended Term Loan was 5.7%. The Amended Term Loan amortizes in equal quarterly installments in aggregate amounts equal to 1.00% of the original principal amount of the Amended Term Loan beginning March 31, 2026, with the balance payable at maturity, is subject to mandatory prepayment provisions upon the occurrence of certain specified events, and is repayable at any time at the borrowers’ election, provided that repayment of the Amended Term Loan with proceeds of certain indebtedness prior to the six-month anniversary of October 17, 2025 will require a prepayment premium of 1.00% of the aggregate principal amount of such prepayment. The Company evaluated the refinancing transactions on a lender-by-lender basis and accounted accordingly for debt extinguishment and debt modification costs (for the portion of the transactions that did not meet the accounting criteria for debt extinguishment).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three months ended March 31, 2026, the Company made a quarterly repayment of $1.7 million on the Amended Term Loan. During the three months ended March 31, 2025, the Company made a voluntary prepayment totaling $2.3 million on the 2021 Term Loan. As a result, the total principal outstanding was $685.4 million as of March 31,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recorded less than $0.1 million of loss on extinguishment of debt for the three months ended March 31, 2025, related to the write-off of pre-existing deferred financing costs and discounts in connection with the early repayment.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the Amended Term Loan requires mandatory prepayments equal to the product of the excess cash flows of the Company (as defined in the Amended and Restated Term Loan Agreement) and the applicable prepayment percentages (calculated as of the last day of the fiscal year), as set forth in the following table:</w:t>
      </w:r>
    </w:p>
    <w:p>
      <w:pPr>
        <w:pStyle w:val="TextBody"/>
        <w:bidi w:val="0"/>
        <w:jc w:val="left"/>
        <w:rPr/>
      </w:pPr>
      <w:r>
        <w:rPr/>
        <w:t> </w:t>
      </w:r>
    </w:p>
    <w:tbl>
      <w:tblPr>
        <w:tblW w:w="9268" w:type="dxa"/>
        <w:jc w:val="left"/>
        <w:tblInd w:w="0" w:type="dxa"/>
        <w:tblLayout w:type="fixed"/>
        <w:tblCellMar>
          <w:top w:w="28" w:type="dxa"/>
          <w:left w:w="28" w:type="dxa"/>
          <w:bottom w:w="28" w:type="dxa"/>
          <w:right w:w="28" w:type="dxa"/>
        </w:tblCellMar>
      </w:tblPr>
      <w:tblGrid>
        <w:gridCol w:w="8086"/>
        <w:gridCol w:w="146"/>
        <w:gridCol w:w="1036"/>
      </w:tblGrid>
      <w:tr>
        <w:trPr/>
        <w:tc>
          <w:tcPr>
            <w:tcW w:w="8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8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Consolidated First Lien Net Leverage Ratio (As Defined in the Amended and Restated Term Loan Agreement)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Applicable</w:t>
              <w:br/>
              <w:t>Prepayment</w:t>
              <w:br/>
              <w:t>Percentage</w:t>
            </w:r>
          </w:p>
        </w:tc>
      </w:tr>
      <w:tr>
        <w:trPr/>
        <w:tc>
          <w:tcPr>
            <w:tcW w:w="80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&gt; 3.70:1.00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w:t>
            </w:r>
          </w:p>
        </w:tc>
      </w:tr>
      <w:tr>
        <w:trPr/>
        <w:tc>
          <w:tcPr>
            <w:tcW w:w="80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u w:val="single"/>
              </w:rPr>
              <w:t>&lt;</w:t>
            </w:r>
            <w:r>
              <w:rPr>
                <w:rFonts w:ascii="Times New Roman" w:hAnsi="Times New Roman"/>
                <w:color w:val="000000"/>
                <w:sz w:val="20"/>
              </w:rPr>
              <w:t> 3.70:1.00 and &gt; 3.20:1.00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r>
      <w:tr>
        <w:trPr/>
        <w:tc>
          <w:tcPr>
            <w:tcW w:w="80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u w:val="single"/>
              </w:rPr>
              <w:t>&lt;</w:t>
            </w:r>
            <w:r>
              <w:rPr>
                <w:rFonts w:ascii="Times New Roman" w:hAnsi="Times New Roman"/>
                <w:color w:val="000000"/>
                <w:sz w:val="20"/>
              </w:rPr>
              <w:t> 3.20:1.00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bl>
    <w:p>
      <w:pPr>
        <w:pStyle w:val="TextBody"/>
        <w:bidi w:val="0"/>
        <w:spacing w:before="360" w:after="283"/>
        <w:jc w:val="left"/>
        <w:rPr>
          <w:rFonts w:ascii="Times New Roman" w:hAnsi="Times New Roman"/>
          <w:sz w:val="20"/>
        </w:rPr>
      </w:pPr>
      <w:r>
        <w:rPr>
          <w:rFonts w:ascii="Times New Roman" w:hAnsi="Times New Roman"/>
          <w:color w:val="000000"/>
          <w:sz w:val="20"/>
        </w:rPr>
        <w:t>S</w:t>
      </w:r>
      <w:r>
        <w:rPr>
          <w:rFonts w:ascii="Times New Roman" w:hAnsi="Times New Roman"/>
          <w:i/>
          <w:color w:val="000000"/>
          <w:sz w:val="20"/>
        </w:rPr>
        <w:t>enior Notes</w:t>
      </w:r>
    </w:p>
    <w:p>
      <w:pPr>
        <w:pStyle w:val="TextBody"/>
        <w:bidi w:val="0"/>
        <w:spacing w:before="120" w:after="283"/>
        <w:jc w:val="both"/>
        <w:rPr>
          <w:rFonts w:ascii="Times New Roman" w:hAnsi="Times New Roman"/>
          <w:sz w:val="20"/>
        </w:rPr>
      </w:pPr>
      <w:r>
        <w:rPr>
          <w:rFonts w:ascii="Times New Roman" w:hAnsi="Times New Roman"/>
          <w:color w:val="000000"/>
          <w:sz w:val="20"/>
        </w:rPr>
        <w:t>In March 2021, VM Consolidated issued an aggregate principal amount of $350.0 million in Senior Unsecured Notes (the “</w:t>
      </w:r>
      <w:r>
        <w:rPr>
          <w:rFonts w:ascii="Times New Roman" w:hAnsi="Times New Roman"/>
          <w:b/>
          <w:i/>
          <w:color w:val="000000"/>
          <w:sz w:val="20"/>
        </w:rPr>
        <w:t>Senior Notes</w:t>
      </w:r>
      <w:r>
        <w:rPr>
          <w:rFonts w:ascii="Times New Roman" w:hAnsi="Times New Roman"/>
          <w:color w:val="000000"/>
          <w:sz w:val="20"/>
        </w:rPr>
        <w:t xml:space="preserve">”), due on April 15, 2029. In connection with the issuance of the Senior Notes, the Company incurred $5.7 million in lender and third-party costs, which were capitalized as deferred financing costs and are being amortized over the remaining life of the Senior Notes.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on the Senior Notes is fixed at 5.50% per annum and is payable on April 15 and October 15 of each year. The Company may redeem all or a portion of the Senior Notes at a redemption price of 101.375% plus accrued and unpaid interest through April 2026 and at face value plus accrued and unpaid interest thereafter.</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The Revolver</w:t>
      </w:r>
    </w:p>
    <w:p>
      <w:pPr>
        <w:pStyle w:val="TextBody"/>
        <w:bidi w:val="0"/>
        <w:spacing w:before="120" w:after="283"/>
        <w:jc w:val="both"/>
        <w:rPr>
          <w:rFonts w:ascii="Times New Roman" w:hAnsi="Times New Roman"/>
          <w:sz w:val="20"/>
        </w:rPr>
      </w:pPr>
      <w:r>
        <w:rPr>
          <w:rFonts w:ascii="Times New Roman" w:hAnsi="Times New Roman"/>
          <w:color w:val="000000"/>
          <w:sz w:val="20"/>
        </w:rPr>
        <w:t>The Company entered into a Revolving Credit Agreement in March 2018 (the “</w:t>
      </w:r>
      <w:r>
        <w:rPr>
          <w:rFonts w:ascii="Times New Roman" w:hAnsi="Times New Roman"/>
          <w:b/>
          <w:i/>
          <w:color w:val="000000"/>
          <w:sz w:val="20"/>
        </w:rPr>
        <w:t>Revolver</w:t>
      </w:r>
      <w:r>
        <w:rPr>
          <w:rFonts w:ascii="Times New Roman" w:hAnsi="Times New Roman"/>
          <w:color w:val="000000"/>
          <w:sz w:val="20"/>
        </w:rPr>
        <w:t>”) with a commitment of up to $75.0 million available for loans and letters of credit. In May 2025, pursuant to an amendment thereto, such commitment was increased to $125.0 million. On October 17, 2025, certain of the Company’s direct and indirect wholly owned subsidiaries, including VM Consolidated, entered into the Amended and Restated Revolving Credit Agreement (the “</w:t>
      </w:r>
      <w:r>
        <w:rPr>
          <w:rFonts w:ascii="Times New Roman" w:hAnsi="Times New Roman"/>
          <w:b/>
          <w:i/>
          <w:color w:val="000000"/>
          <w:sz w:val="20"/>
        </w:rPr>
        <w:t>Amended and Restated Revolving Credit Agreement</w:t>
      </w:r>
      <w:r>
        <w:rPr>
          <w:rFonts w:ascii="Times New Roman" w:hAnsi="Times New Roman"/>
          <w:color w:val="000000"/>
          <w:sz w:val="20"/>
        </w:rPr>
        <w:t>”) to amend and restate the Revolver (the “</w:t>
      </w:r>
      <w:r>
        <w:rPr>
          <w:rFonts w:ascii="Times New Roman" w:hAnsi="Times New Roman"/>
          <w:b/>
          <w:i/>
          <w:color w:val="000000"/>
          <w:sz w:val="20"/>
        </w:rPr>
        <w:t>Amended Revolver</w:t>
      </w:r>
      <w:r>
        <w:rPr>
          <w:rFonts w:ascii="Times New Roman" w:hAnsi="Times New Roman"/>
          <w:color w:val="000000"/>
          <w:sz w:val="20"/>
        </w:rPr>
        <w:t>”). The Amended and Restated Revolving Credit Agreement provides for a $150.0 million senior secured asset-based revolving credit facility with a $35.0 million sublimit for the issuance of letters of credit, and matures on October 17, 2030 (subject to an earlier maturity date in certain circumstances).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Outstanding borrowings under the Amended Revolver accrue interest at per annum rate equal to SOFR plus a margin ranging from 1.25% to 1.75% or a base rate plus a margin ranging from 0.25% to 0.75%, in each case, depending on the quarterly average undrawn availability under the Amended Revolver in the prior quarter. The Amended and Restated Revolving Credit Agreement also provides for the option, subject to receiving additional commitments from lenders and the satisfaction of certain conditions, to increase the loan commitments under the Amended Revolver by up to an amount equal to the greater of (x) $75.0 million and (y) the amount by which the borrowing base exceeds the aggregate commitments at such time. There were $26.0 million of outstanding borrowings on the Amended Revolver as of March 31, 2026. There were no outstanding borrowings on the Amended Revolver as of December 31, 2025. The availability to borrow was $78.3 million at March 31, 2026, calculated as the Company's borrowing base which consists of certain eligible accounts receivable and inventory balances, less any outstanding borrowings and letters of credit up to the maximum commitment available.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commitment fee on the unused portion of the Amended Revolver is payable quarterly at (x) an annual rate of 0.375%, when quarterly average usage was less than 50% of the loan commitments in the prior quarter or (y) an annual rate of 0.250%, when quarterly average usage of the Amended Revolver was greater than or equal to 50% of the loan commitments in the prior quarter. The Company is also required to pay participation and fronting fees at 1.38% on $3.7 million of outstanding letters of credit as of March 31,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borrowings and other extensions of credits under the Amended Term Loan, Senior Notes and the Amended Revolver are subject to the satisfaction of customary conditions and restrictive covenants including absence of defaults and accuracy in material respects of representations and warranties. Substantially all of the Company’s assets are pledged as collateral under the Amended Term Loan and the Amended Revolver. At March 31, 2026, the Company was compliant with all debt covenants in its debt agreements.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the Company enters into equipment financing arrangements in the normal course of business, including certain equipment leases accounted for as financing arrangements. Amounts outstanding under these arrangements are included in "Other debt" in the table above and were not material to the Company’s overall financial position as of March 31, 2026.</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Interest Expense,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recorded interest expense, including amortization of deferred financing costs and discounts, of $15.4 million and $16.6 million for the three months ended March 31, 2026 and 2025, respectively.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weighted average effective interest rate on the Company’s outstanding borrowings was 5.6% as of both March 31, 2026 and December 31, 2025.</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7. Fair Value of Financial Instruments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Accounting Standards Codification Topic 820, </w:t>
      </w:r>
      <w:r>
        <w:rPr>
          <w:rFonts w:ascii="Times New Roman" w:hAnsi="Times New Roman"/>
          <w:i/>
          <w:color w:val="000000"/>
          <w:sz w:val="20"/>
        </w:rPr>
        <w:t>Fair Value Measurement,</w:t>
      </w:r>
      <w:r>
        <w:rPr>
          <w:rFonts w:ascii="Times New Roman" w:hAnsi="Times New Roman"/>
          <w:color w:val="000000"/>
          <w:sz w:val="20"/>
        </w:rPr>
        <w:t xml:space="preserve"> includes a single definition of fair value to be used for financial reporting purposes, provides a framework for applying this definition and for measuring fair value under GAAP, and establishes a fair value hierarchy that categorizes into three levels the inputs to valuation techniques used to measure fair value. The three levels of the fair value hierarchy are summarized as follows:</w:t>
      </w:r>
    </w:p>
    <w:p>
      <w:pPr>
        <w:pStyle w:val="TextBody"/>
        <w:bidi w:val="0"/>
        <w:spacing w:before="200" w:after="283"/>
        <w:jc w:val="both"/>
        <w:rPr>
          <w:rFonts w:ascii="Times New Roman" w:hAnsi="Times New Roman"/>
          <w:sz w:val="20"/>
        </w:rPr>
      </w:pPr>
      <w:r>
        <w:rPr>
          <w:rFonts w:ascii="Times New Roman" w:hAnsi="Times New Roman"/>
          <w:i/>
          <w:color w:val="000000"/>
          <w:sz w:val="20"/>
        </w:rPr>
        <w:t xml:space="preserve">Level 1 – </w:t>
      </w:r>
      <w:r>
        <w:rPr>
          <w:rFonts w:ascii="Times New Roman" w:hAnsi="Times New Roman"/>
          <w:color w:val="000000"/>
          <w:sz w:val="20"/>
        </w:rPr>
        <w:t>Fair value is based on observable inputs such as quoted prices for identical assets or liabilities in active markets.</w:t>
      </w:r>
    </w:p>
    <w:p>
      <w:pPr>
        <w:pStyle w:val="TextBody"/>
        <w:bidi w:val="0"/>
        <w:spacing w:before="200" w:after="283"/>
        <w:jc w:val="both"/>
        <w:rPr>
          <w:rFonts w:ascii="Times New Roman" w:hAnsi="Times New Roman"/>
          <w:sz w:val="20"/>
        </w:rPr>
      </w:pPr>
      <w:r>
        <w:rPr>
          <w:rFonts w:ascii="Times New Roman" w:hAnsi="Times New Roman"/>
          <w:i/>
          <w:color w:val="000000"/>
          <w:sz w:val="20"/>
        </w:rPr>
        <w:t>Level 2</w:t>
      </w:r>
      <w:r>
        <w:rPr>
          <w:rFonts w:ascii="Times New Roman" w:hAnsi="Times New Roman"/>
          <w:color w:val="000000"/>
          <w:sz w:val="20"/>
        </w:rPr>
        <w:t xml:space="preserve"> – Fair value is determined using quoted prices for similar assets or liabilities in active markets, quoted prices for identical or similar assets or liabilities in markets that are not active or inputs other than quoted prices that are directly or indirectly observable.</w:t>
      </w:r>
    </w:p>
    <w:p>
      <w:pPr>
        <w:pStyle w:val="TextBody"/>
        <w:bidi w:val="0"/>
        <w:spacing w:before="200" w:after="283"/>
        <w:jc w:val="both"/>
        <w:rPr>
          <w:rFonts w:ascii="Times New Roman" w:hAnsi="Times New Roman"/>
          <w:sz w:val="20"/>
        </w:rPr>
      </w:pPr>
      <w:r>
        <w:rPr>
          <w:rFonts w:ascii="Times New Roman" w:hAnsi="Times New Roman"/>
          <w:i/>
          <w:color w:val="000000"/>
          <w:sz w:val="20"/>
        </w:rPr>
        <w:t>Level 3</w:t>
      </w:r>
      <w:r>
        <w:rPr>
          <w:rFonts w:ascii="Times New Roman" w:hAnsi="Times New Roman"/>
          <w:color w:val="000000"/>
          <w:sz w:val="20"/>
        </w:rPr>
        <w:t xml:space="preserve"> – Fair value is determined using one or more significant inputs that are unobservable in active markets at the measurement date, such as a pricing model, discounted cash flow, or similar technique.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carrying amounts reported in the Company’s condensed consolidated balance sheets for cash, accounts receivable, accounts payable and accrued expenses approximate fair value due to the immediate to short-term maturity of these financial instruments. The estimated fair value of the Company’s debt, net was calculated based upon available market information. The carrying value and the estimated fair value of debt, net are as follows:</w:t>
      </w:r>
    </w:p>
    <w:p>
      <w:pPr>
        <w:pStyle w:val="TextBody"/>
        <w:bidi w:val="0"/>
        <w:jc w:val="both"/>
        <w:rPr/>
      </w:pPr>
      <w:r>
        <w:rPr/>
        <w:t> </w:t>
      </w:r>
    </w:p>
    <w:tbl>
      <w:tblPr>
        <w:tblW w:w="8493" w:type="dxa"/>
        <w:jc w:val="left"/>
        <w:tblInd w:w="0" w:type="dxa"/>
        <w:tblLayout w:type="fixed"/>
        <w:tblCellMar>
          <w:top w:w="28" w:type="dxa"/>
          <w:left w:w="28" w:type="dxa"/>
          <w:bottom w:w="28" w:type="dxa"/>
          <w:right w:w="28" w:type="dxa"/>
        </w:tblCellMar>
      </w:tblPr>
      <w:tblGrid>
        <w:gridCol w:w="1696"/>
        <w:gridCol w:w="146"/>
        <w:gridCol w:w="886"/>
        <w:gridCol w:w="146"/>
        <w:gridCol w:w="211"/>
        <w:gridCol w:w="146"/>
        <w:gridCol w:w="781"/>
        <w:gridCol w:w="146"/>
        <w:gridCol w:w="146"/>
        <w:gridCol w:w="211"/>
        <w:gridCol w:w="146"/>
        <w:gridCol w:w="781"/>
        <w:gridCol w:w="146"/>
        <w:gridCol w:w="146"/>
        <w:gridCol w:w="211"/>
        <w:gridCol w:w="146"/>
        <w:gridCol w:w="781"/>
        <w:gridCol w:w="146"/>
        <w:gridCol w:w="146"/>
        <w:gridCol w:w="211"/>
        <w:gridCol w:w="146"/>
        <w:gridCol w:w="781"/>
        <w:gridCol w:w="1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Hierarchy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678,954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686,217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680,339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692,235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347,874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347,706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346,500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Amended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debt</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40"/>
        <w:jc w:val="both"/>
        <w:rPr>
          <w:rFonts w:ascii="Times New Roman" w:hAnsi="Times New Roman"/>
          <w:color w:val="000000"/>
          <w:sz w:val="20"/>
        </w:rPr>
      </w:pPr>
      <w:r>
        <w:rPr>
          <w:rFonts w:ascii="Times New Roman" w:hAnsi="Times New Roman"/>
          <w:color w:val="000000"/>
          <w:sz w:val="20"/>
        </w:rPr>
        <w:t>(1) Other debt consists of immaterial equipment financing arrangements entered into in the normal course of business, including certain equipment leases accounted for as financing arrangements.</w:t>
      </w:r>
    </w:p>
    <w:p>
      <w:pPr>
        <w:pStyle w:val="TextBody"/>
        <w:bidi w:val="0"/>
        <w:jc w:val="both"/>
        <w:rPr>
          <w:rFonts w:ascii="Times New Roman" w:hAnsi="Times New Roman"/>
          <w:color w:val="000000"/>
          <w:sz w:val="20"/>
        </w:rPr>
      </w:pPr>
      <w:r>
        <w:rPr>
          <w:rFonts w:ascii="Times New Roman" w:hAnsi="Times New Roman"/>
          <w:color w:val="000000"/>
          <w:sz w:val="20"/>
        </w:rPr>
        <w:t>As a result of a legal settlement finalized in February 2026, the Company received ordinary shares of a publicly traded company based in Australia. The shares are classified as short-term investments within the prepaid expenses and other current assets line on the condensed consolidated balance sheets and are measured at fair value on a quarterly basis. The fair value of these shares is determined using quoted closing market prices on the Australian Securities Exchange, an active exchange, as of the measurement date. Accordingly, the investment is classified within Level 1 of the fair value hierarchy. The following summarizes the change in fair value of equity securities included in selling, general and administrative expenses on the condensed consolidated statements of operations and comprehensive income which consists of adjustments related to the equity securities re-measured to fair value at the end of the reporting period:</w:t>
      </w:r>
    </w:p>
    <w:p>
      <w:pPr>
        <w:pStyle w:val="TextBody"/>
        <w:bidi w:val="0"/>
        <w:jc w:val="both"/>
        <w:rPr/>
      </w:pPr>
      <w:r>
        <w:rPr/>
        <w:t> </w:t>
      </w:r>
    </w:p>
    <w:tbl>
      <w:tblPr>
        <w:tblW w:w="6053" w:type="dxa"/>
        <w:jc w:val="left"/>
        <w:tblInd w:w="0" w:type="dxa"/>
        <w:tblLayout w:type="fixed"/>
        <w:tblCellMar>
          <w:top w:w="28" w:type="dxa"/>
          <w:left w:w="28" w:type="dxa"/>
          <w:bottom w:w="28" w:type="dxa"/>
          <w:right w:w="28" w:type="dxa"/>
        </w:tblCellMar>
      </w:tblPr>
      <w:tblGrid>
        <w:gridCol w:w="3991"/>
        <w:gridCol w:w="146"/>
        <w:gridCol w:w="402"/>
        <w:gridCol w:w="1203"/>
        <w:gridCol w:w="311"/>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securities acquired from legal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7,865</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equity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6,068</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an equity investment measured at cost with a carrying value of $2.1 million and $2.0 million as of March 31, 2026 and December 31, 2025, respectively, and is only adjusted to fair value if there are identified events that would indicate a need for an upward or downward adjustment or changes in circumstances that may indicate impairment. The estimation of fair value requires the use of significant unobservable inputs, such as voting rights and obligations in the securities held, and is therefore classified within Level 3 of the fair value hierarchy. There were no identified events that required a fair value adjustment during the three months ended March 31, 2026 and 2025.</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8. Net Income Per Share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Basic net income per share is calculated by dividing net income by the weighted average shares outstanding during the period, without consideration of common stock equivalents. Diluted net income per share is calculated by adjusting the weighted average shares outstanding for the dilutive effect of common stock equivalents outstanding for the period, determined using the treasury-stock method.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components of basic and diluted net income per share are as follows:</w:t>
      </w:r>
    </w:p>
    <w:p>
      <w:pPr>
        <w:pStyle w:val="TextBody"/>
        <w:bidi w:val="0"/>
        <w:jc w:val="both"/>
        <w:rPr/>
      </w:pPr>
      <w:r>
        <w:rPr/>
        <w:t> </w:t>
      </w:r>
    </w:p>
    <w:tbl>
      <w:tblPr>
        <w:tblW w:w="8216" w:type="dxa"/>
        <w:jc w:val="left"/>
        <w:tblInd w:w="0" w:type="dxa"/>
        <w:tblLayout w:type="fixed"/>
        <w:tblCellMar>
          <w:top w:w="28" w:type="dxa"/>
          <w:left w:w="28" w:type="dxa"/>
          <w:bottom w:w="28" w:type="dxa"/>
          <w:right w:w="28" w:type="dxa"/>
        </w:tblCellMar>
      </w:tblPr>
      <w:tblGrid>
        <w:gridCol w:w="5281"/>
        <w:gridCol w:w="146"/>
        <w:gridCol w:w="222"/>
        <w:gridCol w:w="823"/>
        <w:gridCol w:w="154"/>
        <w:gridCol w:w="154"/>
        <w:gridCol w:w="222"/>
        <w:gridCol w:w="823"/>
        <w:gridCol w:w="391"/>
      </w:tblGrid>
      <w:tr>
        <w:trPr/>
        <w:tc>
          <w:tcPr>
            <w:tcW w:w="5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(In thousands,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32,339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shares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151,847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159,544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1,842</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shares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162,066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share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share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Antidilutive shares excluded from diluted net income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Non-qualified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Performance share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antidilutive shares excluded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82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5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82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9.</w:t>
      </w:r>
      <w:r>
        <w:rPr>
          <w:rFonts w:ascii="Times New Roman" w:hAnsi="Times New Roman"/>
          <w:color w:val="000000"/>
          <w:sz w:val="20"/>
        </w:rPr>
        <w:t xml:space="preserve"> </w:t>
      </w:r>
      <w:r>
        <w:rPr>
          <w:rFonts w:ascii="Times New Roman" w:hAnsi="Times New Roman"/>
          <w:b/>
          <w:color w:val="000000"/>
          <w:sz w:val="20"/>
        </w:rPr>
        <w:t>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interim income tax provision is determined using an estimated annual effective tax rate, adjusted for discrete items arising in that period. The estimated annual effective tax rate requires judgment and is dependent upon several factors. The Company provides for income taxes under the liability method. This approach requires the recognition of deferred tax assets and liabilities for the expected future tax consequences of differences between the tax basis of assets or liabilities and their carrying amounts in the financial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provides a valuation allowance for deferred tax assets if it is more likely than not that these items will expire before the Company is able to realize their benefit. The Company calculates the valuation allowance in accordance with the authoritative guidance relating to income taxes, which requires an assessment of both positive and negative evidence regarding the realizability of these deferred tax assets, when measuring the need for a valuation allowance. Significant judgment is required in determining any valuation allowance against deferred tax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effective income tax rate was 33.9% and 27.9% for the three months ended March 31, 2026 and 2025,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 Stockholders’ Equity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Share Repurchases and Retirement</w:t>
      </w:r>
    </w:p>
    <w:p>
      <w:pPr>
        <w:pStyle w:val="TextBody"/>
        <w:bidi w:val="0"/>
        <w:spacing w:before="120" w:after="283"/>
        <w:jc w:val="both"/>
        <w:rPr>
          <w:rFonts w:ascii="Times New Roman" w:hAnsi="Times New Roman"/>
          <w:sz w:val="20"/>
        </w:rPr>
      </w:pPr>
      <w:r>
        <w:rPr>
          <w:rFonts w:ascii="Times New Roman" w:hAnsi="Times New Roman"/>
          <w:color w:val="000000"/>
          <w:sz w:val="20"/>
        </w:rPr>
        <w:t>In October 2023, the Company’s Board of Directors authorized a share repurchase program for up to an aggregate amount of $100.0 million of its outstanding shares of Class A common stock, par value $0.0001 (the “</w:t>
      </w:r>
      <w:r>
        <w:rPr>
          <w:rFonts w:ascii="Times New Roman" w:hAnsi="Times New Roman"/>
          <w:b/>
          <w:i/>
          <w:color w:val="000000"/>
          <w:sz w:val="20"/>
        </w:rPr>
        <w:t>Class A Common Stock</w:t>
      </w:r>
      <w:r>
        <w:rPr>
          <w:rFonts w:ascii="Times New Roman" w:hAnsi="Times New Roman"/>
          <w:color w:val="000000"/>
          <w:sz w:val="20"/>
        </w:rPr>
        <w:t>”), over an 18-month period. After the Company repurchased an aggregate 3.5 million shares for approximately $87.3 million in fiscal year 2024, in December 2024, the Company’s Board of Directors authorized the repurchase of up to an additional $100.0 million of its outstanding shares under the then-existing program, providing the Company with approximately $112.7 million available for repurchases. In December 2024, the Company entered into an accelerated share repurchase agreement (“</w:t>
      </w:r>
      <w:r>
        <w:rPr>
          <w:rFonts w:ascii="Times New Roman" w:hAnsi="Times New Roman"/>
          <w:b/>
          <w:i/>
          <w:color w:val="000000"/>
          <w:sz w:val="20"/>
        </w:rPr>
        <w:t>ASR</w:t>
      </w:r>
      <w:r>
        <w:rPr>
          <w:rFonts w:ascii="Times New Roman" w:hAnsi="Times New Roman"/>
          <w:color w:val="000000"/>
          <w:sz w:val="20"/>
        </w:rPr>
        <w:t>”) with a third-party financial institution and paid $112.7 million to receive an initial delivery of 3,821,958 shares of its Class A Common Stock. The final settlement occurred on March 3, 2025, at which time, the Company received an additional 685,934 shares of Class A Common Stock calculated using a volume-weighted average price over the term of the ASR agreement. In connection with the settlement, the Company reduced the par value from common stock and $2.4 million from additional paid-in capital calculated using an average share price, with an offset of $2.4 million to accumulated deficit on the condensed consolidated statements of stockholders’ equity. All repurchased shares were subsequently retired. The prior repurchase authorization expired on April 30,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May 2025, the Company’s Board of Directors authorized a new share repurchase program for up to an aggregate amount of $100.0 million of the Company’s outstanding shares of Class A Common Stock over an 18-month period. On October 23, 2025, the Company’s Board of Directors authorized the repurchase of up to an additional $150.0 million of the Company’s outstanding shares of Class A Common Stock under the existing May 2025 program, providing the Company with $250.0 million available for repurchases. During the fourth quarter of fiscal year 2025, the Company paid $133.4 million to repurchase 6,028,853 shares of its Class A Common Stock through open market transactions, which shares it subsequently retired.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first quarter of fiscal year 2026, the Company paid $50.2 million to repurchase 2,215,800 shares of its Class A Common Stock through open market transactions, which shares it subsequently retired. In addition, the Company recorded approximately $0.5 million within accrued liabilities on the condensed consolidated balance sheets as of March 31, 2026 for direct costs related to the excise tax payable on net share repurchases. In connection with these repurchases, the Company reduced the par value from common stock and $7.8 million from additional paid-in capital calculated using an average share price, and by increasing accumulated deficit for the remaining cost of $42.4 million. As of March 31, 2026, $66.3 million remains available under the Company’s authorized share repurchase program.</w:t>
      </w:r>
    </w:p>
    <w:p>
      <w:pPr>
        <w:pStyle w:val="TextBody"/>
        <w:bidi w:val="0"/>
        <w:jc w:val="left"/>
        <w:rPr/>
      </w:pPr>
      <w:r>
        <w:rPr/>
        <w:t> </w:t>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11. Stock-Based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details the components of stock-based compensation for the respective periods:</w:t>
      </w:r>
    </w:p>
    <w:p>
      <w:pPr>
        <w:pStyle w:val="TextBody"/>
        <w:bidi w:val="0"/>
        <w:jc w:val="both"/>
        <w:rPr/>
      </w:pPr>
      <w:r>
        <w:rPr/>
        <w:t> </w:t>
      </w:r>
    </w:p>
    <w:tbl>
      <w:tblPr>
        <w:tblW w:w="6569" w:type="dxa"/>
        <w:jc w:val="left"/>
        <w:tblInd w:w="0" w:type="dxa"/>
        <w:tblLayout w:type="fixed"/>
        <w:tblCellMar>
          <w:top w:w="28" w:type="dxa"/>
          <w:left w:w="28" w:type="dxa"/>
          <w:bottom w:w="28" w:type="dxa"/>
          <w:right w:w="28" w:type="dxa"/>
        </w:tblCellMar>
      </w:tblPr>
      <w:tblGrid>
        <w:gridCol w:w="3736"/>
        <w:gridCol w:w="146"/>
        <w:gridCol w:w="272"/>
        <w:gridCol w:w="738"/>
        <w:gridCol w:w="188"/>
        <w:gridCol w:w="188"/>
        <w:gridCol w:w="272"/>
        <w:gridCol w:w="738"/>
        <w:gridCol w:w="2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5,501</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6,952</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6,456</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12.</w:t>
      </w:r>
      <w:r>
        <w:rPr>
          <w:rFonts w:ascii="Times New Roman" w:hAnsi="Times New Roman"/>
          <w:color w:val="000000"/>
          <w:sz w:val="20"/>
        </w:rPr>
        <w:t xml:space="preserve"> </w:t>
      </w:r>
      <w:r>
        <w:rPr>
          <w:rFonts w:ascii="Times New Roman" w:hAnsi="Times New Roman"/>
          <w:b/>
          <w:color w:val="000000"/>
          <w:sz w:val="20"/>
        </w:rPr>
        <w:t>Tax Receivable Agreement</w:t>
      </w:r>
    </w:p>
    <w:p>
      <w:pPr>
        <w:pStyle w:val="TextBody"/>
        <w:bidi w:val="0"/>
        <w:spacing w:before="120" w:after="283"/>
        <w:jc w:val="both"/>
        <w:rPr>
          <w:rFonts w:ascii="Times New Roman" w:hAnsi="Times New Roman"/>
          <w:sz w:val="20"/>
        </w:rPr>
      </w:pPr>
      <w:r>
        <w:rPr>
          <w:rFonts w:ascii="Times New Roman" w:hAnsi="Times New Roman"/>
          <w:color w:val="000000"/>
          <w:sz w:val="20"/>
        </w:rPr>
        <w:t>In October 2018, the Company entered into a Tax Receivable Agreement (“</w:t>
      </w:r>
      <w:r>
        <w:rPr>
          <w:rFonts w:ascii="Times New Roman" w:hAnsi="Times New Roman"/>
          <w:b/>
          <w:i/>
          <w:color w:val="000000"/>
          <w:sz w:val="20"/>
        </w:rPr>
        <w:t>TRA</w:t>
      </w:r>
      <w:r>
        <w:rPr>
          <w:rFonts w:ascii="Times New Roman" w:hAnsi="Times New Roman"/>
          <w:color w:val="000000"/>
          <w:sz w:val="20"/>
        </w:rPr>
        <w:t>”) with PE Greenlight Holdings, LLC. On August 3, 2022, PE Greenlight Holdings, LLC sold and transferred to Lakeside Smart Holdco L.P (“</w:t>
      </w:r>
      <w:r>
        <w:rPr>
          <w:rFonts w:ascii="Times New Roman" w:hAnsi="Times New Roman"/>
          <w:b/>
          <w:i/>
          <w:color w:val="000000"/>
          <w:sz w:val="20"/>
        </w:rPr>
        <w:t>Lakeside</w:t>
      </w:r>
      <w:r>
        <w:rPr>
          <w:rFonts w:ascii="Times New Roman" w:hAnsi="Times New Roman"/>
          <w:color w:val="000000"/>
          <w:sz w:val="20"/>
        </w:rPr>
        <w:t xml:space="preserve">”), all of its rights, remaining interests and obligations as of that date under the TRA. The TRA provides for the payment to Lakeside of 50.0% of the net cash savings, if any, in U.S. federal, state and local income tax that the Company actually realizes (or is deemed to realize in certain circumstances) under the agreement. The Company generally retains the benefit of the remaining 50.0% of these cash savings. The Company estimated the potential maximum benefit to be paid will be approximately $70.0 million, and recorded an initial liability and corresponding charge to equity at the inception of the TRA.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March 31, 2026, the TRA liability was $43.7 million of which approximately $5.3 million was the current portion and $38.4 million was the non-current portion, both of which are included in the respective tax receivable agreement liability line items on the condensed consolidated balance sheets.</w:t>
      </w:r>
    </w:p>
    <w:p>
      <w:pPr>
        <w:pStyle w:val="TextBody"/>
        <w:bidi w:val="0"/>
        <w:spacing w:before="360" w:after="283"/>
        <w:jc w:val="both"/>
        <w:rPr>
          <w:rFonts w:ascii="Times New Roman" w:hAnsi="Times New Roman"/>
          <w:sz w:val="20"/>
        </w:rPr>
      </w:pPr>
      <w:r>
        <w:rPr>
          <w:rFonts w:ascii="Times New Roman" w:hAnsi="Times New Roman"/>
          <w:b/>
          <w:color w:val="000000"/>
          <w:sz w:val="20"/>
        </w:rPr>
        <w:t>13.</w:t>
      </w:r>
      <w:r>
        <w:rPr>
          <w:rFonts w:ascii="Times New Roman" w:hAnsi="Times New Roman"/>
          <w:color w:val="000000"/>
          <w:sz w:val="20"/>
        </w:rPr>
        <w:t xml:space="preserve"> </w:t>
      </w:r>
      <w:r>
        <w:rPr>
          <w:rFonts w:ascii="Times New Roman" w:hAnsi="Times New Roman"/>
          <w:b/>
          <w:color w:val="000000"/>
          <w:sz w:val="20"/>
        </w:rPr>
        <w:t>Commitments and Contingencies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issued various letters of credit under contractual arrangements with certain of its domestic and international vendors and customers. Outstanding letters of credit under these arrangements totaled $3.7 million at March 31, 2026. Additionally, the Company had $2.8 million of bank guarantees at March 31, 2026 required to support bids and contracts with certain international customers.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is subject to tax audits in the normal course of business and does not have material contingencies recorded related to such audits.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accrues for claims and contingencies when losses become probable and reasonably estimable. As of the end of each applicable reporting period, the Company reviews each of its matters and, where it is probable that a liability has been or will be incurred, the Company accrues for all probable and reasonably estimable losses. Where the Company can reasonably estimate a range of loss it may incur regarding such a matter, the Company records an accrual for the amount within the range that constitutes its best estimate. If the Company can reasonably estimate a range but no amount within the range appears to be a better estimate than any other, the Company uses the amount that is the low end of such range.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is subject to legal and regulatory actions that arise from time to time in the ordinary course of business. The Company records a liability when it believes it is probable a loss will be incurred, and the amount of loss or range of loss can be reasonably estimated. The assessment as to whether a loss is probable, reasonably possible or remote, and as to whether a loss or a range of such loss is estimable, often involves significant judgment about future events. When necessary, the Company accrues estimated amounts related to legal proceedings within accrued liabilities on the condensed consolidated balance sheets. The ultimate cost of litigation or settlement could be materially different than the amount of the current estimates and accruals and could have a material adverse impact on the Company’s consolidated financial position, results of operations, or cash flows.</w:t>
      </w:r>
    </w:p>
    <w:p>
      <w:pPr>
        <w:pStyle w:val="TextBody"/>
        <w:bidi w:val="0"/>
        <w:spacing w:before="120" w:after="283"/>
        <w:jc w:val="both"/>
        <w:rPr>
          <w:rFonts w:ascii="Times New Roman" w:hAnsi="Times New Roman"/>
          <w:sz w:val="20"/>
        </w:rPr>
      </w:pPr>
      <w:r>
        <w:rPr>
          <w:rFonts w:ascii="Times New Roman" w:hAnsi="Times New Roman"/>
          <w:i/>
          <w:color w:val="000000"/>
          <w:sz w:val="20"/>
        </w:rPr>
        <w:t xml:space="preserve">Brantley v. City of Gretna </w:t>
      </w:r>
      <w:r>
        <w:rPr>
          <w:rFonts w:ascii="Times New Roman" w:hAnsi="Times New Roman"/>
          <w:color w:val="000000"/>
          <w:sz w:val="20"/>
        </w:rPr>
        <w:t>is a class action lawsuit filed in the 24th Judicial District Court of Jefferson Parish, Louisiana against the City of Gretna (the “</w:t>
      </w:r>
      <w:r>
        <w:rPr>
          <w:rFonts w:ascii="Times New Roman" w:hAnsi="Times New Roman"/>
          <w:b/>
          <w:i/>
          <w:color w:val="000000"/>
          <w:sz w:val="20"/>
        </w:rPr>
        <w:t>City</w:t>
      </w:r>
      <w:r>
        <w:rPr>
          <w:rFonts w:ascii="Times New Roman" w:hAnsi="Times New Roman"/>
          <w:color w:val="000000"/>
          <w:sz w:val="20"/>
        </w:rPr>
        <w:t>”) and its safety camera vendor, Redflex Traffic Systems, Inc., in April 2016. The Company acquired Redflex Traffic Systems, Inc. as part of its June 2021 purchase of Redflex Holdings Limited. The plaintiff class, which was certified on March 30, 2021, alleged that the City’s safety camera program was implemented and operated in violation of local ordinances and the state constitution, including that the City’s hearing process violated the plaintiffs’ due process rights for lack of a “neutral” arbiter of liability for traffic infractions. Plaintiffs sought recovery of traffic infraction fines paid. The City and Redflex Traffic Systems, Inc. appealed the trial court’s ruling granting class certification, which was denied, and their petition for discretionary review of the certification ruling by the Louisiana Supreme Court was declined. The parties entered into a settlement agreement and preliminary approval was granted by the court in April 2025. The court provided final approval of the settlement on September 18, 2025. The settlement did not have a material impact on the Company’s financial position or income statement. The class action settlement has been fully administered and a final dismissal order was entered on March 11, 2026.</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14. Segment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has three operating and reportable segments: Commercial Services, Government Solutions, and Parking Solutions. Commercial Services offers toll and violation management solutions and title and registration services to RACs, Direct Fleets, FMCs, and other large fleet owners. Government Solutions offers photo enforcement automated safety solutions and services to states, municipalities, counties, school districts, and law enforcement agencies of all sizes. Parking Solutions provides an integrated suite of parking software, transaction processing and hardware solutions to its customers. </w:t>
      </w:r>
    </w:p>
    <w:p>
      <w:pPr>
        <w:pStyle w:val="TextBody"/>
        <w:bidi w:val="0"/>
        <w:spacing w:before="120" w:after="283"/>
        <w:jc w:val="both"/>
        <w:rPr>
          <w:rFonts w:ascii="Times New Roman" w:hAnsi="Times New Roman"/>
          <w:sz w:val="20"/>
        </w:rPr>
      </w:pPr>
      <w:r>
        <w:rPr>
          <w:rFonts w:ascii="Times New Roman" w:hAnsi="Times New Roman"/>
          <w:color w:val="000000"/>
          <w:sz w:val="20"/>
        </w:rPr>
        <w:t>The operating and reportable segments were determined based on how the Company’s Chief Operating Decision Maker (“</w:t>
      </w:r>
      <w:r>
        <w:rPr>
          <w:rFonts w:ascii="Times New Roman" w:hAnsi="Times New Roman"/>
          <w:b/>
          <w:i/>
          <w:color w:val="000000"/>
          <w:sz w:val="20"/>
        </w:rPr>
        <w:t>CODM</w:t>
      </w:r>
      <w:r>
        <w:rPr>
          <w:rFonts w:ascii="Times New Roman" w:hAnsi="Times New Roman"/>
          <w:color w:val="000000"/>
          <w:sz w:val="20"/>
        </w:rPr>
        <w:t xml:space="preserve">”) regularly reviews the operating results of the various components of the Company for which discrete financial information is available, including based on the nature of the products and services and the type of customer. The Company defines the CODM as its Chief Executive Officer. The Company’s CODM primarily uses actual revenues and segment profit (defined below) as compared to previously budgeted amounts to evaluate the operating performance, allocate resources, and deploy capital to the segments.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Segment performance is based on revenues and income from operations before depreciation, amortization, and stock-based compensation. The measure also excludes interest expense, net, income taxes and certain other transactions and is inclusive of other income, net. The tables below refer to this measure as segment profit. The aforementioned items are not indicative of operating performance, and, as a result, are not included in the measures that are reviewed by the CODM for the segments. Other income, net included in segment profit below consists primarily of credit card rebates earned on the prepayment of tolling transactions and gains or losses on foreign currency transactions and excludes certain non-operating expenses inapplicable to segments.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CODM does not use discrete asset information to evaluate operating performance at the segment level, and as such, the Company has not reported assets disaggregated by reportable segment.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tables set forth financial information by segment for the respective periods:</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941"/>
        <w:gridCol w:w="146"/>
        <w:gridCol w:w="235"/>
        <w:gridCol w:w="756"/>
        <w:gridCol w:w="166"/>
        <w:gridCol w:w="146"/>
        <w:gridCol w:w="217"/>
        <w:gridCol w:w="804"/>
        <w:gridCol w:w="146"/>
        <w:gridCol w:w="146"/>
        <w:gridCol w:w="211"/>
        <w:gridCol w:w="676"/>
        <w:gridCol w:w="166"/>
        <w:gridCol w:w="146"/>
        <w:gridCol w:w="211"/>
        <w:gridCol w:w="781"/>
        <w:gridCol w:w="311"/>
      </w:tblGrid>
      <w:tr>
        <w:trPr/>
        <w:tc>
          <w:tcPr>
            <w:tcW w:w="4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0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 2026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Commercial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Government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Parking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Services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Solutions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Solutions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213,392</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9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223,568</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 revenue, excluding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8,290</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84,492</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41,453</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disposal of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(4,109</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9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Segment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85,985</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15,407</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reconciling items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30,091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9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40,487</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40"/>
        <w:jc w:val="both"/>
        <w:rPr>
          <w:rFonts w:ascii="Times New Roman" w:hAnsi="Times New Roman"/>
          <w:color w:val="000000"/>
          <w:sz w:val="20"/>
        </w:rPr>
      </w:pPr>
      <w:r>
        <w:rPr>
          <w:rFonts w:ascii="Times New Roman" w:hAnsi="Times New Roman"/>
          <w:color w:val="000000"/>
          <w:sz w:val="20"/>
        </w:rPr>
        <w:t>(1) This consists of depreciation and amortization expense, stock-based compensation, and other costs to reconcile to total income before income taxes.</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920"/>
        <w:gridCol w:w="146"/>
        <w:gridCol w:w="211"/>
        <w:gridCol w:w="781"/>
        <w:gridCol w:w="166"/>
        <w:gridCol w:w="146"/>
        <w:gridCol w:w="217"/>
        <w:gridCol w:w="804"/>
        <w:gridCol w:w="166"/>
        <w:gridCol w:w="146"/>
        <w:gridCol w:w="211"/>
        <w:gridCol w:w="676"/>
        <w:gridCol w:w="166"/>
        <w:gridCol w:w="146"/>
        <w:gridCol w:w="211"/>
        <w:gridCol w:w="781"/>
        <w:gridCol w:w="311"/>
      </w:tblGrid>
      <w:tr>
        <w:trPr/>
        <w:tc>
          <w:tcPr>
            <w:tcW w:w="4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9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2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 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Commercial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Government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Parking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Services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Solutions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Solutions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211,902</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92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223,254</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 revenue, excluding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4,783</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8,032</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72,641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46,143</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disposal of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(4,109</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92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Segment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95,440</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16,636</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reconciling items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33,946</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92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44,833</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(1) This consists of depreciation and amortization expense, stock-based compensation, and other costs to reconcile to total income before income taxes.</w:t>
      </w:r>
    </w:p>
    <w:p>
      <w:pPr>
        <w:pStyle w:val="TextBody"/>
        <w:bidi w:val="0"/>
        <w:jc w:val="both"/>
        <w:rPr>
          <w:rFonts w:ascii="Times New Roman" w:hAnsi="Times New Roman"/>
          <w:sz w:val="20"/>
        </w:rPr>
      </w:pPr>
      <w:r>
        <w:rPr>
          <w:rFonts w:ascii="Times New Roman" w:hAnsi="Times New Roman"/>
          <w:color w:val="000000"/>
          <w:sz w:val="20"/>
        </w:rPr>
        <w:t xml:space="preserve">The Company provides information on credit loss expense by reportable segment, refer to Note 2, </w:t>
      </w:r>
      <w:r>
        <w:rPr>
          <w:rFonts w:ascii="Times New Roman" w:hAnsi="Times New Roman"/>
          <w:i/>
          <w:color w:val="000000"/>
          <w:sz w:val="20"/>
        </w:rPr>
        <w:t>Significant Accounting Policies</w:t>
      </w:r>
      <w:r>
        <w:rPr>
          <w:rFonts w:ascii="Times New Roman" w:hAnsi="Times New Roman"/>
          <w:color w:val="000000"/>
          <w:sz w:val="20"/>
        </w:rPr>
        <w:t>, for additional details.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primarily operates within the United States, Australia, United Kingdom, Canada, and in various other countries in Europe and Asia. The following table details the revenues from international operations for the respective periods:</w:t>
      </w:r>
    </w:p>
    <w:p>
      <w:pPr>
        <w:pStyle w:val="TextBody"/>
        <w:bidi w:val="0"/>
        <w:spacing w:before="120" w:after="283"/>
        <w:jc w:val="both"/>
        <w:rPr/>
      </w:pPr>
      <w:r>
        <w:rPr/>
        <w:t> </w:t>
      </w:r>
    </w:p>
    <w:tbl>
      <w:tblPr>
        <w:tblW w:w="5351" w:type="dxa"/>
        <w:jc w:val="left"/>
        <w:tblInd w:w="0" w:type="dxa"/>
        <w:tblLayout w:type="fixed"/>
        <w:tblCellMar>
          <w:top w:w="28" w:type="dxa"/>
          <w:left w:w="28" w:type="dxa"/>
          <w:bottom w:w="28" w:type="dxa"/>
          <w:right w:w="28" w:type="dxa"/>
        </w:tblCellMar>
      </w:tblPr>
      <w:tblGrid>
        <w:gridCol w:w="2516"/>
        <w:gridCol w:w="146"/>
        <w:gridCol w:w="245"/>
        <w:gridCol w:w="785"/>
        <w:gridCol w:w="169"/>
        <w:gridCol w:w="169"/>
        <w:gridCol w:w="245"/>
        <w:gridCol w:w="785"/>
        <w:gridCol w:w="291"/>
      </w:tblGrid>
      <w:tr>
        <w:trPr/>
        <w:tc>
          <w:tcPr>
            <w:tcW w:w="2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Australia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13,684</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5,406</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5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international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27,315</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31,447</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360" w:after="283"/>
        <w:jc w:val="both"/>
        <w:rPr/>
      </w:pPr>
      <w:r>
        <w:rPr/>
        <w:t> </w:t>
      </w:r>
    </w:p>
    <w:p>
      <w:pPr>
        <w:pStyle w:val="TextBody"/>
        <w:bidi w:val="0"/>
        <w:spacing w:before="120" w:after="283"/>
        <w:jc w:val="both"/>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jc w:val="both"/>
        <w:rPr>
          <w:rFonts w:ascii="Times New Roman" w:hAnsi="Times New Roman"/>
          <w:color w:val="000000"/>
          <w:sz w:val="20"/>
        </w:rPr>
      </w:pPr>
      <w:bookmarkStart w:id="9" w:name="item_2_managements_discussion_analysis_f"/>
      <w:bookmarkEnd w:id="9"/>
      <w:r>
        <w:rPr>
          <w:rFonts w:ascii="Times New Roman" w:hAnsi="Times New Roman"/>
          <w:color w:val="000000"/>
          <w:sz w:val="20"/>
        </w:rPr>
        <w:t>Item 2. Management’s Discussion and Analysis of Financial Condition and Results of Operations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together with our Annual Report, and our financial statements and the related notes included in Part I, Item 1 “Financial Statements” of this Report. This discussion contains forward-looking statements based upon current expectations that involve risks and uncertainties. Please refer to the section in this Report entitled “Cautionary Note Regarding Forward-Looking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leading provider of smart mobility technology solutions, principally operating throughout the United States, Australia, Europe, and Canada. We make transportation safer, smarter, and more connected through our integrated, data-driven solutions, including toll and violations management, title and registration services, automated safety and traffic enforcement, and commercial parking management. We bring together vehicles, hardware, software, data, and people to solve transportation challenges for customers around the world, including commercial fleet owners such as RACs, Direct Fleets, and FMCs, as well as governments, universities, parking operators, healthcare facilities, transportation hubs, and violation-issuing authorities. Our vision is to continue to develop and use technology and data intelligence to make transportation safer, smarter, and more connected globally.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Our Segments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three operating and reportable segments: Commercial Services, Government Solutions, and Parking Solutions: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Commercial Services segment offers toll and violation management solutions and title and registration services for commercial fleet customers, including RACs and FMCs in North America. In Europe, we provide tolling and violations processing services.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Government Solutions segment offers photo enforcement automated safety solutions and services to states, municipalities, counties, school districts, and law enforcement agencies of all sizes, primarily in the United States, Canada, and Australia. We provide complete, end-to-end speed, red-light, school bus stop arm, and city bus lane enforcement solutions. Our international operations primarily involve the sale of traffic enforcement products and recurring maintenance services related to the equipment and software.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Parking Solutions segment provides an integrated suite of parking software, transaction processing, and hardware solutions to universities, municipalities, commercial parking operators, and health care facilities in the United States and Canada.</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Segment performance is based on revenues and income from operations before depreciation, amortization, and stock-based compensation. The measure also excludes interest expense, net, income taxes, and certain other transactions and is inclusive of other income, net.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Executive Summary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operate under long-term contracts and a reoccurring service revenue model. We continue to execute our strategy to grow revenue organically year-over-year and focus on initiatives that support our long-term strategy. During the periods presented, we:</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Increased total revenue by $0.3 million, or 0.1%, from $223.3 million in the three months ended March 31, 2025 to $223.6 million in the same period in 2026. The increase was mainly due to installation revenue from the New York City program, expansion in speed, red light and bus lane programs in the Government Solutions segment, and increased revenue from software-as-a-service (“</w:t>
      </w:r>
      <w:r>
        <w:rPr>
          <w:rFonts w:ascii="Times New Roman" w:hAnsi="Times New Roman"/>
          <w:b/>
          <w:i/>
          <w:color w:val="000000"/>
          <w:sz w:val="20"/>
        </w:rPr>
        <w:t>SaaS</w:t>
      </w:r>
      <w:r>
        <w:rPr>
          <w:color w:val="000000"/>
        </w:rPr>
        <w:t>”</w:t>
      </w:r>
      <w:r>
        <w:rPr>
          <w:rFonts w:ascii="Times New Roman" w:hAnsi="Times New Roman"/>
          <w:color w:val="000000"/>
          <w:sz w:val="20"/>
        </w:rPr>
        <w:t>) product offerings and professional services revenue in the Parking Solutions segment.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Generated cash flows from operating activities of $40.8 million and $63.0 million for the three months ended March 31, 2026 and 2025, respectively. Our cash on hand was $46.9 million as of March 31, 2026.</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Recent Events</w:t>
      </w:r>
    </w:p>
    <w:p>
      <w:pPr>
        <w:pStyle w:val="TextBody"/>
        <w:bidi w:val="0"/>
        <w:spacing w:before="120" w:after="160"/>
        <w:jc w:val="left"/>
        <w:rPr>
          <w:rFonts w:ascii="Times New Roman" w:hAnsi="Times New Roman"/>
          <w:i/>
          <w:color w:val="000000"/>
          <w:sz w:val="20"/>
        </w:rPr>
      </w:pPr>
      <w:r>
        <w:rPr>
          <w:rFonts w:ascii="Times New Roman" w:hAnsi="Times New Roman"/>
          <w:i/>
          <w:color w:val="000000"/>
          <w:sz w:val="20"/>
        </w:rPr>
        <w:t>Share Repurchases</w:t>
      </w:r>
    </w:p>
    <w:p>
      <w:pPr>
        <w:pStyle w:val="TextBody"/>
        <w:bidi w:val="0"/>
        <w:spacing w:before="80" w:after="283"/>
        <w:jc w:val="both"/>
        <w:rPr>
          <w:rFonts w:ascii="Times New Roman" w:hAnsi="Times New Roman"/>
          <w:sz w:val="20"/>
        </w:rPr>
      </w:pPr>
      <w:r>
        <w:rPr>
          <w:rFonts w:ascii="Times New Roman" w:hAnsi="Times New Roman"/>
          <w:color w:val="000000"/>
          <w:sz w:val="20"/>
        </w:rPr>
        <w:t xml:space="preserve">During the first quarter of fiscal year 2026, we paid $50.2 million to repurchase 2,215,800 shares of our Class A Common Stock through open market transactions, which shares we subsequently retired. Refer to Note 10, </w:t>
      </w:r>
      <w:r>
        <w:rPr>
          <w:rFonts w:ascii="Times New Roman" w:hAnsi="Times New Roman"/>
          <w:i/>
          <w:color w:val="000000"/>
          <w:sz w:val="20"/>
        </w:rPr>
        <w:t>Stockholders’ Equity</w:t>
      </w:r>
      <w:r>
        <w:rPr>
          <w:rFonts w:ascii="Times New Roman" w:hAnsi="Times New Roman"/>
          <w:color w:val="000000"/>
          <w:sz w:val="20"/>
        </w:rPr>
        <w:t>, in Part 1, Item 1, Financial Statements, for additional information on our share repurchases. As of March 31, 2026, $66.3 million remained available under our share repurchase authorization.</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New Headquarters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first quarter of fiscal year 2026, we completed our relocation to a new corporate headquarters building in Mesa, Arizona. The new headquarters consists of approximately 40,000 square feet of leased office space. We expect this relocation to support our continued growth and enhance operational efficiency.</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Commercial Services Customer Contracts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currently operating under a short-term contract extension and are engaged in contract negotiations with one of our significant Commercial Services customers which represented over 10% of our total revenue for the three months ended March 31, 2026 and the year ended December 31, 2025. There is no assurance that we will be successful in negotiating a renewal agreement and if we are unable to enter into a renewal agreement, or if we enter in a new renewal agreement and it has materially different terms and pricing that are unfavorable as compared to our current agreement, this would have a material adverse effect on our business, financial condition and results of operations.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Key Factors Affecting Our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believe that our performance and future success depends on a number of factors that present opportunities for us but also pose risks and challenges, including those discussed below and in Part I, Item 1A. “Risk Factors” of our Annual Report and in Part II, Item 1A. “Risk Factors” of this Report. </w:t>
      </w:r>
    </w:p>
    <w:p>
      <w:pPr>
        <w:pStyle w:val="TextBody"/>
        <w:bidi w:val="0"/>
        <w:spacing w:before="240" w:after="160"/>
        <w:jc w:val="both"/>
        <w:rPr>
          <w:rFonts w:ascii="Times New Roman" w:hAnsi="Times New Roman"/>
          <w:i/>
          <w:color w:val="000000"/>
          <w:sz w:val="20"/>
        </w:rPr>
      </w:pPr>
      <w:r>
        <w:rPr>
          <w:rFonts w:ascii="Times New Roman" w:hAnsi="Times New Roman"/>
          <w:i/>
          <w:color w:val="000000"/>
          <w:sz w:val="20"/>
        </w:rPr>
        <w:t>Macroeconomic Conditions</w:t>
      </w:r>
    </w:p>
    <w:p>
      <w:pPr>
        <w:pStyle w:val="TextBody"/>
        <w:bidi w:val="0"/>
        <w:jc w:val="both"/>
        <w:rPr>
          <w:rFonts w:ascii="Times New Roman" w:hAnsi="Times New Roman"/>
          <w:color w:val="000000"/>
          <w:sz w:val="20"/>
        </w:rPr>
      </w:pPr>
      <w:r>
        <w:rPr>
          <w:rFonts w:ascii="Times New Roman" w:hAnsi="Times New Roman"/>
          <w:color w:val="000000"/>
          <w:sz w:val="20"/>
        </w:rPr>
        <w:t>Our business is susceptible to a number of industry-specific and global macroeconomic factors that may cause our actual results of operations to differ from our historical results of operations or current expectations. The factors and trends that we currently believe are or will be most impactful to our results of operations and financial condition include the following: the inflationary impact on items such as wages and travel-related costs, future travel demand, legislation or regulation regarding the adoption, expansion, or prohibition of automated enforcement and traffic safety technology by local, state, or national governments, and the impact of government regulations and actions, including tariffs, trade protection measures, military conflicts or a government shutdown. We continue to monitor the potential favorable or unfavorable impacts of these and other factors on our business, financial condition, and results of operations.</w:t>
      </w:r>
    </w:p>
    <w:p>
      <w:pPr>
        <w:pStyle w:val="TextBody"/>
        <w:bidi w:val="0"/>
        <w:spacing w:before="240" w:after="283"/>
        <w:jc w:val="both"/>
        <w:rPr>
          <w:rFonts w:ascii="Times New Roman" w:hAnsi="Times New Roman"/>
          <w:sz w:val="20"/>
        </w:rPr>
      </w:pPr>
      <w:r>
        <w:rPr>
          <w:rFonts w:ascii="Times New Roman" w:hAnsi="Times New Roman"/>
          <w:i/>
          <w:color w:val="000000"/>
          <w:sz w:val="20"/>
        </w:rPr>
        <w:t>Travel Demand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Commercial Services segment is largely impacted by its customer demand which in turn is impacted by a variety of factors including seasonality, demand for business and leisure travel, reductions in the level of air travel, higher airfare costs, increases in energy prices, general international, national, and local economic conditions and cycles, and consumer confidence, as well as other factors affecting travel levels, such as military conflicts, terrorist incidents, natural disasters, epidemic diseases, or a government shutdown.</w:t>
      </w:r>
    </w:p>
    <w:p>
      <w:pPr>
        <w:pStyle w:val="TextBody"/>
        <w:bidi w:val="0"/>
        <w:spacing w:before="120" w:after="283"/>
        <w:jc w:val="both"/>
        <w:rPr>
          <w:rFonts w:ascii="Times New Roman" w:hAnsi="Times New Roman"/>
          <w:sz w:val="20"/>
        </w:rPr>
      </w:pPr>
      <w:r>
        <w:rPr>
          <w:rFonts w:ascii="Times New Roman" w:hAnsi="Times New Roman"/>
          <w:color w:val="000000"/>
          <w:sz w:val="20"/>
        </w:rPr>
        <w:t>We monitor the U.S. Transportation and Security Administration (the “</w:t>
      </w:r>
      <w:r>
        <w:rPr>
          <w:rFonts w:ascii="Times New Roman" w:hAnsi="Times New Roman"/>
          <w:b/>
          <w:i/>
          <w:color w:val="000000"/>
          <w:sz w:val="20"/>
        </w:rPr>
        <w:t>TSA</w:t>
      </w:r>
      <w:r>
        <w:rPr>
          <w:rFonts w:ascii="Times New Roman" w:hAnsi="Times New Roman"/>
          <w:color w:val="000000"/>
          <w:sz w:val="20"/>
        </w:rPr>
        <w:t>”) passenger volume (“</w:t>
      </w:r>
      <w:r>
        <w:rPr>
          <w:rFonts w:ascii="Times New Roman" w:hAnsi="Times New Roman"/>
          <w:b/>
          <w:i/>
          <w:color w:val="000000"/>
          <w:sz w:val="20"/>
        </w:rPr>
        <w:t>TSA Passenger Volume</w:t>
      </w:r>
      <w:r>
        <w:rPr>
          <w:rFonts w:ascii="Times New Roman" w:hAnsi="Times New Roman"/>
          <w:color w:val="000000"/>
          <w:sz w:val="20"/>
        </w:rPr>
        <w:t>”) as one of several measures for Commercial Services revenue growth. TSA Passenger Volume measures the number of passengers screened by the TSA at United States airports, which correlates to the number of vehicles rented by travelers and toll road usage. TSA Passenger Volume in the first quarter of 2026 was approximately 1.5% greater than TSA Passenger Volume for the same period in 2025.</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Electronic Tolling Penetration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Commercial Services segment, which offers automated toll and violations management solutions to fleet customers, is impacted by the number of toll roads in the United States and Europe and the geographic concentration of such roads. We monitor the expansion and penetration of toll roadways across the United States and Europe and the percentage of toll roads that rely on cashless or all-electronic infrastructure.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i/>
          <w:color w:val="000000"/>
          <w:sz w:val="20"/>
        </w:rPr>
        <w:t>Enabling Legislation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Government Solutions segment is positively impacted, in significant part, by enabling legislation that permits photo enforcement programs at the federal, state, and local level in the United States. Accordingly, we depend on national, state, and local governments authorizing the use of automated photo enforcement and not otherwise materially restricting its use.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Primary Components of Our Operating Results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Revenues</w:t>
      </w:r>
    </w:p>
    <w:p>
      <w:pPr>
        <w:pStyle w:val="TextBody"/>
        <w:bidi w:val="0"/>
        <w:spacing w:before="240" w:after="283"/>
        <w:jc w:val="both"/>
        <w:rPr>
          <w:rFonts w:ascii="Times New Roman" w:hAnsi="Times New Roman"/>
          <w:sz w:val="20"/>
        </w:rPr>
      </w:pPr>
      <w:r>
        <w:rPr>
          <w:rFonts w:ascii="Times New Roman" w:hAnsi="Times New Roman"/>
          <w:i/>
          <w:color w:val="000000"/>
          <w:sz w:val="20"/>
        </w:rPr>
        <w:t>Service Revenue.</w:t>
      </w:r>
      <w:r>
        <w:rPr>
          <w:rFonts w:ascii="Times New Roman" w:hAnsi="Times New Roman"/>
          <w:color w:val="000000"/>
          <w:sz w:val="20"/>
        </w:rPr>
        <w:t xml:space="preserve"> Our Commercial Services segment generates service revenue primarily through the operation and management of tolling programs and processing violations for RACs, FMCs, and other large fleet customers. These solutions are full-service offerings by which we enroll the license plates of our customers’ vehicles and transponders with tolling authority accounts, pay tolls and violations on the customers’ behalf, and, through proprietary technology, integrate with customer data to match the toll or violation to the driver and then bill the driver (or our customer, as applicable) for use of the service. The cost of certain tolls, violations, and our customers’ share of administration fees are netted against revenue. We also generate service revenue in our Commercial Services segment through processing titles and registrations.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Government Solutions segment generates service revenue through the operation and maintenance of photo enforcement systems and certain distinct hardware installation and relocation activities. Revenue drivers in this segment include the number of systems installed and the monthly revenue per system. Ancillary service revenue is generated in our Government Solutions segment from payment processing, pass-through fees for collection expense, and other fees.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Parking Solutions segment generates service revenue mainly from offering SaaS, subscription fees, professional services, and citation processing services related to parking management solutions to its customers. </w:t>
      </w:r>
    </w:p>
    <w:p>
      <w:pPr>
        <w:pStyle w:val="TextBody"/>
        <w:bidi w:val="0"/>
        <w:spacing w:before="240" w:after="283"/>
        <w:jc w:val="both"/>
        <w:rPr>
          <w:rFonts w:ascii="Times New Roman" w:hAnsi="Times New Roman"/>
          <w:sz w:val="20"/>
        </w:rPr>
      </w:pPr>
      <w:r>
        <w:rPr>
          <w:rFonts w:ascii="Times New Roman" w:hAnsi="Times New Roman"/>
          <w:i/>
          <w:color w:val="000000"/>
          <w:sz w:val="20"/>
        </w:rPr>
        <w:t>Product Sales.</w:t>
      </w:r>
      <w:r>
        <w:rPr>
          <w:rFonts w:ascii="Times New Roman" w:hAnsi="Times New Roman"/>
          <w:color w:val="000000"/>
          <w:sz w:val="20"/>
        </w:rPr>
        <w:t xml:space="preserve"> Product sales are generated by the sale of photo enforcement equipment and certain highly interdependent and interrelated installation services in the Government Solutions segment and specialized hardware in the Parking Solutions segment. Customer buying patterns vary greatly from period to period related to product sales.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Costs and Expenses</w:t>
      </w:r>
    </w:p>
    <w:p>
      <w:pPr>
        <w:pStyle w:val="TextBody"/>
        <w:bidi w:val="0"/>
        <w:spacing w:before="120" w:after="283"/>
        <w:jc w:val="both"/>
        <w:rPr>
          <w:rFonts w:ascii="Times New Roman" w:hAnsi="Times New Roman"/>
          <w:sz w:val="20"/>
        </w:rPr>
      </w:pPr>
      <w:r>
        <w:rPr>
          <w:rFonts w:ascii="Times New Roman" w:hAnsi="Times New Roman"/>
          <w:i/>
          <w:color w:val="000000"/>
          <w:sz w:val="20"/>
        </w:rPr>
        <w:t>Cost of Service Revenue, Excluding Depreciation and Amortization.</w:t>
      </w:r>
      <w:r>
        <w:rPr>
          <w:rFonts w:ascii="Times New Roman" w:hAnsi="Times New Roman"/>
          <w:color w:val="000000"/>
          <w:sz w:val="20"/>
        </w:rPr>
        <w:t xml:space="preserve"> Cost of service revenue, excluding depreciation and amortization consists of recurring service costs, certain distinct hardware installation and relocation costs, collection and other third-party costs in our segments.</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Cost of Product Sales. </w:t>
      </w:r>
      <w:r>
        <w:rPr>
          <w:rFonts w:ascii="Times New Roman" w:hAnsi="Times New Roman"/>
          <w:color w:val="000000"/>
          <w:sz w:val="20"/>
        </w:rPr>
        <w:t>Cost of product sales consists of the cost to acquire photo enforcement equipment purchased by Government Solutions customers, costs of certain highly interdependent and interrelated installation services, and costs to develop hardware sold to Parking Solutions customers.</w:t>
      </w:r>
    </w:p>
    <w:p>
      <w:pPr>
        <w:pStyle w:val="TextBody"/>
        <w:bidi w:val="0"/>
        <w:spacing w:before="240" w:after="283"/>
        <w:jc w:val="both"/>
        <w:rPr>
          <w:rFonts w:ascii="Times New Roman" w:hAnsi="Times New Roman"/>
          <w:sz w:val="20"/>
        </w:rPr>
      </w:pPr>
      <w:r>
        <w:rPr>
          <w:rFonts w:ascii="Times New Roman" w:hAnsi="Times New Roman"/>
          <w:i/>
          <w:color w:val="000000"/>
          <w:sz w:val="20"/>
        </w:rPr>
        <w:t>Operating Expenses</w:t>
      </w:r>
      <w:r>
        <w:rPr>
          <w:rFonts w:ascii="Times New Roman" w:hAnsi="Times New Roman"/>
          <w:color w:val="000000"/>
          <w:sz w:val="20"/>
        </w:rPr>
        <w:t>. Operating expenses primarily include payroll and payroll-related costs (including stock-based compensation), subcontractor costs, payment processing, and other operational costs, including print, postage, and communication costs.</w:t>
      </w:r>
    </w:p>
    <w:p>
      <w:pPr>
        <w:pStyle w:val="TextBody"/>
        <w:bidi w:val="0"/>
        <w:spacing w:before="240" w:after="283"/>
        <w:jc w:val="both"/>
        <w:rPr>
          <w:rFonts w:ascii="Times New Roman" w:hAnsi="Times New Roman"/>
          <w:sz w:val="20"/>
        </w:rPr>
      </w:pPr>
      <w:r>
        <w:rPr>
          <w:rFonts w:ascii="Times New Roman" w:hAnsi="Times New Roman"/>
          <w:i/>
          <w:color w:val="000000"/>
          <w:sz w:val="20"/>
        </w:rPr>
        <w:t>Selling, General and Administrative Expenses</w:t>
      </w:r>
      <w:r>
        <w:rPr>
          <w:rFonts w:ascii="Times New Roman" w:hAnsi="Times New Roman"/>
          <w:color w:val="000000"/>
          <w:sz w:val="20"/>
        </w:rPr>
        <w:t>. Selling, general and administrative expenses include payroll and payroll-related costs (including stock-based compensation), real estate lease expense, insurance costs, professional services fees, and general corporate expenses.</w:t>
      </w:r>
    </w:p>
    <w:p>
      <w:pPr>
        <w:pStyle w:val="TextBody"/>
        <w:bidi w:val="0"/>
        <w:spacing w:before="240" w:after="283"/>
        <w:jc w:val="both"/>
        <w:rPr>
          <w:rFonts w:ascii="Times New Roman" w:hAnsi="Times New Roman"/>
          <w:sz w:val="20"/>
        </w:rPr>
      </w:pPr>
      <w:r>
        <w:rPr>
          <w:rFonts w:ascii="Times New Roman" w:hAnsi="Times New Roman"/>
          <w:i/>
          <w:color w:val="000000"/>
          <w:sz w:val="20"/>
        </w:rPr>
        <w:t>Depreciation, Amortization and (Gain) Loss on Disposal of Assets, Net</w:t>
      </w:r>
      <w:r>
        <w:rPr>
          <w:rFonts w:ascii="Times New Roman" w:hAnsi="Times New Roman"/>
          <w:color w:val="000000"/>
          <w:sz w:val="20"/>
        </w:rPr>
        <w:t>. Depreciation, amortization and (gain) loss on disposal of assets, net includes depreciation on property, plant and equipment, and amortization of definite-lived intangible assets. This line item also includes any one-time gains or losses incurred in connection with the disposal of certain assets.</w:t>
      </w:r>
    </w:p>
    <w:p>
      <w:pPr>
        <w:pStyle w:val="TextBody"/>
        <w:bidi w:val="0"/>
        <w:spacing w:before="240" w:after="283"/>
        <w:jc w:val="both"/>
        <w:rPr>
          <w:rFonts w:ascii="Times New Roman" w:hAnsi="Times New Roman"/>
          <w:sz w:val="20"/>
        </w:rPr>
      </w:pPr>
      <w:r>
        <w:rPr>
          <w:rFonts w:ascii="Times New Roman" w:hAnsi="Times New Roman"/>
          <w:i/>
          <w:color w:val="000000"/>
          <w:sz w:val="20"/>
        </w:rPr>
        <w:t>Interest Expense, Net</w:t>
      </w:r>
      <w:r>
        <w:rPr>
          <w:rFonts w:ascii="Times New Roman" w:hAnsi="Times New Roman"/>
          <w:color w:val="000000"/>
          <w:sz w:val="20"/>
        </w:rPr>
        <w:t>. This includes interest expense and amortization of deferred financing costs and discounts and is net of interest income.</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Loss on Extinguishment of Debt. </w:t>
      </w:r>
      <w:r>
        <w:rPr>
          <w:rFonts w:ascii="Times New Roman" w:hAnsi="Times New Roman"/>
          <w:color w:val="000000"/>
          <w:sz w:val="20"/>
        </w:rPr>
        <w:t>Loss on extinguishment of debt consists of the write-off of pre-existing original issue discounts and deferred financing costs associated with debt extinguishment.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i/>
          <w:color w:val="000000"/>
          <w:sz w:val="20"/>
        </w:rPr>
        <w:t>Other Income, Net</w:t>
      </w:r>
      <w:r>
        <w:rPr>
          <w:rFonts w:ascii="Times New Roman" w:hAnsi="Times New Roman"/>
          <w:color w:val="000000"/>
          <w:sz w:val="20"/>
        </w:rPr>
        <w:t>. Other income, net primarily consists of volume rebates earned from total spend on credit card transactions, gains or losses on foreign currency transactions, and other non-operating expenses.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Three Months Ended March 31, 2026 Compared to Three Months Ended March 31,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sets forth our statements of operations data and expresses each item as a percentage of total revenue for the periods presented as well as the changes between periods. The tables and information provided in this section were derived from exact numbers and may have immaterial rounding differences.</w:t>
      </w:r>
    </w:p>
    <w:tbl>
      <w:tblPr>
        <w:tblW w:w="10205" w:type="dxa"/>
        <w:jc w:val="left"/>
        <w:tblInd w:w="0" w:type="dxa"/>
        <w:tblLayout w:type="fixed"/>
        <w:tblCellMar>
          <w:top w:w="28" w:type="dxa"/>
          <w:left w:w="28" w:type="dxa"/>
          <w:bottom w:w="28" w:type="dxa"/>
          <w:right w:w="28" w:type="dxa"/>
        </w:tblCellMar>
      </w:tblPr>
      <w:tblGrid>
        <w:gridCol w:w="2579"/>
        <w:gridCol w:w="146"/>
        <w:gridCol w:w="211"/>
        <w:gridCol w:w="781"/>
        <w:gridCol w:w="166"/>
        <w:gridCol w:w="146"/>
        <w:gridCol w:w="211"/>
        <w:gridCol w:w="781"/>
        <w:gridCol w:w="166"/>
        <w:gridCol w:w="146"/>
        <w:gridCol w:w="146"/>
        <w:gridCol w:w="571"/>
        <w:gridCol w:w="288"/>
        <w:gridCol w:w="146"/>
        <w:gridCol w:w="146"/>
        <w:gridCol w:w="571"/>
        <w:gridCol w:w="288"/>
        <w:gridCol w:w="146"/>
        <w:gridCol w:w="211"/>
        <w:gridCol w:w="736"/>
        <w:gridCol w:w="166"/>
        <w:gridCol w:w="146"/>
        <w:gridCol w:w="146"/>
        <w:gridCol w:w="631"/>
        <w:gridCol w:w="534"/>
      </w:tblGrid>
      <w:tr>
        <w:trPr/>
        <w:tc>
          <w:tcPr>
            <w:tcW w:w="25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6"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Revenue</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(Decrease)</w:t>
              <w:br/>
              <w:t> 2026 vs 2025</w:t>
            </w:r>
          </w:p>
        </w:tc>
        <w:tc>
          <w:tcPr>
            <w:tcW w:w="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213,392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211,902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95.4</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94.9</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0.7</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Product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10,176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11,352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(10.4</w:t>
            </w:r>
          </w:p>
        </w:tc>
        <w:tc>
          <w:tcPr>
            <w:tcW w:w="5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257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9"/>
              </w:rPr>
            </w:pPr>
            <w:r>
              <w:rPr>
                <w:rFonts w:ascii="Times New Roman" w:hAnsi="Times New Roman"/>
                <w:b/>
                <w:color w:val="000000"/>
                <w:sz w:val="19"/>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223,568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223,254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100.0</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100.0</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0.1</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Cost of service revenue, excluding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7,391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4,783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54.5</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5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Cost of product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8,290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8,032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85,943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73,739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38.4</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33.0</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12,204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16.6</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5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40,853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51,501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18.3</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23.1</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(10,648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(20.7</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Depreciation, amortization and (gain) loss on disposal of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29,291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27,814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13.1</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12.5</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5.3</w:t>
            </w:r>
          </w:p>
        </w:tc>
        <w:tc>
          <w:tcPr>
            <w:tcW w:w="5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257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Total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171,768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165,869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76.8</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74.3</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5,899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w:t>
            </w:r>
          </w:p>
        </w:tc>
        <w:tc>
          <w:tcPr>
            <w:tcW w:w="5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9"/>
              </w:rPr>
            </w:pPr>
            <w:r>
              <w:rPr>
                <w:rFonts w:ascii="Times New Roman" w:hAnsi="Times New Roman"/>
                <w:b/>
                <w:color w:val="000000"/>
                <w:sz w:val="19"/>
              </w:rPr>
              <w:t>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51,800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57,385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23.2</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25.7</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(5,585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(9.7</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5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15,407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16,636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6.9</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7.5</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(7.4</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0.0</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0.0</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(100.0</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5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(4,109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(0.4</w:t>
            </w:r>
          </w:p>
        </w:tc>
        <w:tc>
          <w:tcPr>
            <w:tcW w:w="5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Total 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11,313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12,552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5.6</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(9.9</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5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40,487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44,833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18.1</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20.1</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(9.7</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13,743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12,494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6.1</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5.6</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w:t>
            </w:r>
          </w:p>
        </w:tc>
        <w:tc>
          <w:tcPr>
            <w:tcW w:w="5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257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9"/>
              </w:rPr>
            </w:pPr>
            <w:r>
              <w:rPr>
                <w:rFonts w:ascii="Times New Roman" w:hAnsi="Times New Roman"/>
                <w:b/>
                <w:color w:val="000000"/>
                <w:sz w:val="19"/>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26,744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32,339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12.0</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14.5</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(5,595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(17.3</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bl>
    <w:p>
      <w:pPr>
        <w:pStyle w:val="TextBody"/>
        <w:bidi w:val="0"/>
        <w:spacing w:before="240" w:after="283"/>
        <w:jc w:val="both"/>
        <w:rPr>
          <w:rFonts w:ascii="Times New Roman" w:hAnsi="Times New Roman"/>
          <w:sz w:val="20"/>
        </w:rPr>
      </w:pPr>
      <w:r>
        <w:rPr>
          <w:rFonts w:ascii="Times New Roman" w:hAnsi="Times New Roman"/>
          <w:i/>
          <w:color w:val="000000"/>
          <w:sz w:val="20"/>
        </w:rPr>
        <w:t>Service Revenue.</w:t>
      </w:r>
      <w:r>
        <w:rPr>
          <w:rFonts w:ascii="Times New Roman" w:hAnsi="Times New Roman"/>
          <w:color w:val="000000"/>
          <w:sz w:val="20"/>
        </w:rPr>
        <w:t xml:space="preserve"> Service revenue increased by $1.5 million, or 0.7%, to $213.4 million for the three months ended March 31, 2026 from $211.9 million for the three months ended March 31, 2025, representing 95.4% and 94.9% of total revenue, respectively. The following table depicts service revenue by segment:</w:t>
      </w:r>
    </w:p>
    <w:p>
      <w:pPr>
        <w:pStyle w:val="TextBody"/>
        <w:bidi w:val="0"/>
        <w:jc w:val="both"/>
        <w:rPr/>
      </w:pPr>
      <w:r>
        <w:rPr/>
        <w:t> </w:t>
      </w:r>
    </w:p>
    <w:tbl>
      <w:tblPr>
        <w:tblW w:w="9346" w:type="dxa"/>
        <w:jc w:val="left"/>
        <w:tblInd w:w="0" w:type="dxa"/>
        <w:tblLayout w:type="fixed"/>
        <w:tblCellMar>
          <w:top w:w="28" w:type="dxa"/>
          <w:left w:w="28" w:type="dxa"/>
          <w:bottom w:w="28" w:type="dxa"/>
          <w:right w:w="28" w:type="dxa"/>
        </w:tblCellMar>
      </w:tblPr>
      <w:tblGrid>
        <w:gridCol w:w="2151"/>
        <w:gridCol w:w="146"/>
        <w:gridCol w:w="211"/>
        <w:gridCol w:w="781"/>
        <w:gridCol w:w="146"/>
        <w:gridCol w:w="146"/>
        <w:gridCol w:w="211"/>
        <w:gridCol w:w="781"/>
        <w:gridCol w:w="146"/>
        <w:gridCol w:w="146"/>
        <w:gridCol w:w="157"/>
        <w:gridCol w:w="502"/>
        <w:gridCol w:w="292"/>
        <w:gridCol w:w="157"/>
        <w:gridCol w:w="157"/>
        <w:gridCol w:w="502"/>
        <w:gridCol w:w="271"/>
        <w:gridCol w:w="146"/>
        <w:gridCol w:w="211"/>
        <w:gridCol w:w="631"/>
        <w:gridCol w:w="166"/>
        <w:gridCol w:w="146"/>
        <w:gridCol w:w="146"/>
        <w:gridCol w:w="421"/>
        <w:gridCol w:w="576"/>
      </w:tblGrid>
      <w:tr>
        <w:trPr/>
        <w:tc>
          <w:tcPr>
            <w:tcW w:w="2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2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3"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(Decrease)</w:t>
              <w:br/>
              <w:t> 2026 vs 2025</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1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Government Solutions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1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Parking Solutions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213,392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211,902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Commercial Services service revenue decreased by $3.6 million, or 3.5%, from $101.4 million for the three months ended March 31, 2025 to $97.8 million for the three months ended March 31, 2026. The decrease was primarily due to $3.6 million of lower revenue generated from our FMC customers due to customer churn.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Government Solutions service revenue increased by $4.1 million, or 4.4%, from $94.0 million for the three months ended March 31, 2025, to $98.1 million for the three months ended March 31, 2026. The increase was primarily driven by $7.5 million in revenue from expansions in speed, red light and bus lane programs outside of NYCDOT, partially offset by a $3.4 million decrease in revenue primarily driven by the pricing change, net of installation revenue from new camera installations under the new NYCDOT contract.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Parking Solutions service revenue increased to $17.5 million for the three months ended March 31, 2026, from $16.5 million for the three months ended March 31, 2025. The increased revenue was primarily driven by SaaS product offerings and professional services, partially offset by a decrease in subscription services related to parking management solutions.</w:t>
      </w:r>
    </w:p>
    <w:p>
      <w:pPr>
        <w:pStyle w:val="TextBody"/>
        <w:bidi w:val="0"/>
        <w:spacing w:before="240" w:after="283"/>
        <w:jc w:val="both"/>
        <w:rPr>
          <w:rFonts w:ascii="Times New Roman" w:hAnsi="Times New Roman"/>
          <w:sz w:val="20"/>
        </w:rPr>
      </w:pPr>
      <w:r>
        <w:rPr>
          <w:rFonts w:ascii="Times New Roman" w:hAnsi="Times New Roman"/>
          <w:i/>
          <w:color w:val="000000"/>
          <w:sz w:val="20"/>
        </w:rPr>
        <w:t>Product Sales.</w:t>
      </w:r>
      <w:r>
        <w:rPr>
          <w:rFonts w:ascii="Times New Roman" w:hAnsi="Times New Roman"/>
          <w:color w:val="000000"/>
          <w:sz w:val="20"/>
        </w:rPr>
        <w:t xml:space="preserve"> Product sales were $10.2 million and $11.3 million for the three months ended March 31, 2026 and 2025, respectively. Product sales decreased by $1.2 million, which was due to a $0.6 million decrease in product sales in the Government Solutions segment and $0.6 million decrease in product sales in the Parking Solutions segment. Customer buying patterns vary greatly from period to period related to product sales.</w:t>
      </w:r>
    </w:p>
    <w:p>
      <w:pPr>
        <w:pStyle w:val="TextBody"/>
        <w:bidi w:val="0"/>
        <w:spacing w:before="240" w:after="283"/>
        <w:jc w:val="both"/>
        <w:rPr>
          <w:rFonts w:ascii="Times New Roman" w:hAnsi="Times New Roman"/>
          <w:sz w:val="20"/>
        </w:rPr>
      </w:pPr>
      <w:r>
        <w:rPr>
          <w:rFonts w:ascii="Times New Roman" w:hAnsi="Times New Roman"/>
          <w:i/>
          <w:color w:val="000000"/>
          <w:sz w:val="20"/>
        </w:rPr>
        <w:t>Cost of Service Revenue, Excluding Depreciation and Amortization.</w:t>
      </w:r>
      <w:r>
        <w:rPr>
          <w:rFonts w:ascii="Times New Roman" w:hAnsi="Times New Roman"/>
          <w:color w:val="000000"/>
          <w:sz w:val="20"/>
        </w:rPr>
        <w:t xml:space="preserve"> Cost of service revenue, excluding depreciation and amortization increased from $4.8 million for the three months ended March 31, 2025 to $7.4 million for the same period in 2026, mainly due to NYCDOT installation service costs and increased recurring service costs.</w:t>
      </w:r>
    </w:p>
    <w:p>
      <w:pPr>
        <w:pStyle w:val="TextBody"/>
        <w:bidi w:val="0"/>
        <w:spacing w:before="240" w:after="283"/>
        <w:jc w:val="both"/>
        <w:rPr>
          <w:rFonts w:ascii="Times New Roman" w:hAnsi="Times New Roman"/>
          <w:sz w:val="20"/>
        </w:rPr>
      </w:pPr>
      <w:r>
        <w:rPr>
          <w:rFonts w:ascii="Times New Roman" w:hAnsi="Times New Roman"/>
          <w:i/>
          <w:color w:val="000000"/>
          <w:sz w:val="20"/>
        </w:rPr>
        <w:t>Cost of Product Sales.</w:t>
      </w:r>
      <w:r>
        <w:rPr>
          <w:rFonts w:ascii="Times New Roman" w:hAnsi="Times New Roman"/>
          <w:color w:val="000000"/>
          <w:sz w:val="20"/>
        </w:rPr>
        <w:t xml:space="preserve"> Cost of product sales increased by $0.3 million from $8.0 million in the three months ended March 31, 2025 to $8.3 million in the three months ended March 31, 2026, which was due to decreased margins in the first quarter 2026 compared to the first quarter of 2025.</w:t>
      </w:r>
    </w:p>
    <w:p>
      <w:pPr>
        <w:pStyle w:val="TextBody"/>
        <w:bidi w:val="0"/>
        <w:spacing w:before="240" w:after="283"/>
        <w:jc w:val="both"/>
        <w:rPr>
          <w:rFonts w:ascii="Times New Roman" w:hAnsi="Times New Roman"/>
          <w:sz w:val="20"/>
        </w:rPr>
      </w:pPr>
      <w:r>
        <w:rPr>
          <w:rFonts w:ascii="Times New Roman" w:hAnsi="Times New Roman"/>
          <w:i/>
          <w:color w:val="000000"/>
          <w:sz w:val="20"/>
        </w:rPr>
        <w:t>Operating Expenses.</w:t>
      </w:r>
      <w:r>
        <w:rPr>
          <w:rFonts w:ascii="Times New Roman" w:hAnsi="Times New Roman"/>
          <w:color w:val="000000"/>
          <w:sz w:val="20"/>
        </w:rPr>
        <w:t xml:space="preserve"> Operating expenses increased by $12.2 million, or 16.6%, from $73.7 million for the three months ended March 31, 2025 to $85.9 million for the three months ended March 31, 2026. The increase in 2026 compared to the prior year period was primarily in the Government Solutions segment of approximately $9.5 million driven by increases in wages, subcontractor, information technology and recurring services costs and approximately $1.5 million in the Parking Solutions segment driven by wages, subcontractor and information technology costs. Operating expenses as a percentage of total revenue increased from 33.0% to 38.4% for the three months ended March 31, 2025 and 2026, respectively. The following table presents operating expenses by segment:</w:t>
      </w:r>
    </w:p>
    <w:p>
      <w:pPr>
        <w:pStyle w:val="TextBody"/>
        <w:bidi w:val="0"/>
        <w:jc w:val="both"/>
        <w:rPr/>
      </w:pPr>
      <w:r>
        <w:rPr/>
        <w:t> </w:t>
      </w:r>
    </w:p>
    <w:tbl>
      <w:tblPr>
        <w:tblW w:w="9681" w:type="dxa"/>
        <w:jc w:val="left"/>
        <w:tblInd w:w="0" w:type="dxa"/>
        <w:tblLayout w:type="fixed"/>
        <w:tblCellMar>
          <w:top w:w="28" w:type="dxa"/>
          <w:left w:w="28" w:type="dxa"/>
          <w:bottom w:w="28" w:type="dxa"/>
          <w:right w:w="28" w:type="dxa"/>
        </w:tblCellMar>
      </w:tblPr>
      <w:tblGrid>
        <w:gridCol w:w="2686"/>
        <w:gridCol w:w="146"/>
        <w:gridCol w:w="211"/>
        <w:gridCol w:w="676"/>
        <w:gridCol w:w="146"/>
        <w:gridCol w:w="146"/>
        <w:gridCol w:w="211"/>
        <w:gridCol w:w="676"/>
        <w:gridCol w:w="146"/>
        <w:gridCol w:w="146"/>
        <w:gridCol w:w="157"/>
        <w:gridCol w:w="502"/>
        <w:gridCol w:w="292"/>
        <w:gridCol w:w="157"/>
        <w:gridCol w:w="157"/>
        <w:gridCol w:w="502"/>
        <w:gridCol w:w="271"/>
        <w:gridCol w:w="146"/>
        <w:gridCol w:w="211"/>
        <w:gridCol w:w="676"/>
        <w:gridCol w:w="146"/>
        <w:gridCol w:w="146"/>
        <w:gridCol w:w="146"/>
        <w:gridCol w:w="466"/>
        <w:gridCol w:w="516"/>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3"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(Decrease)</w:t>
              <w:br/>
              <w:t> 2026 vs 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Government Solutions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Parking Solutions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 by segment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pPr>
      <w:r>
        <w:rPr/>
        <w:t> </w:t>
      </w:r>
    </w:p>
    <w:p>
      <w:pPr>
        <w:pStyle w:val="TextBody"/>
        <w:bidi w:val="0"/>
        <w:spacing w:before="40" w:after="283"/>
        <w:jc w:val="both"/>
        <w:rPr>
          <w:rFonts w:ascii="Times New Roman" w:hAnsi="Times New Roman"/>
          <w:sz w:val="20"/>
        </w:rPr>
      </w:pPr>
      <w:r>
        <w:rPr>
          <w:rFonts w:ascii="Times New Roman" w:hAnsi="Times New Roman"/>
          <w:i/>
          <w:color w:val="000000"/>
          <w:sz w:val="20"/>
        </w:rPr>
        <w:t>Selling, General and Administrative Expenses.</w:t>
      </w:r>
      <w:r>
        <w:rPr>
          <w:rFonts w:ascii="Times New Roman" w:hAnsi="Times New Roman"/>
          <w:color w:val="000000"/>
          <w:sz w:val="20"/>
        </w:rPr>
        <w:t xml:space="preserve"> Selling, general and administrative expenses decreased to $40.9 million for the three months ended March 31, 2026 compared to $51.5 million for the same period in 2025. This was primarily due to a $10.3 million decrease related to a legal settlement finalized in February 2026 and a $5.5 million decrease in credit loss expense partially offset by a $4.2 million increase in restructuring expense and a $2.1 million increase in consulting fees compared to the same period in the prior year. Selling, general and administrative expenses as a percentage of total revenue decreased from 23.1% to 18.3% for the three months ended March 31, 2025 and 2026, respectively. The following table presents selling, general and administrative expenses by segment:</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984"/>
        <w:gridCol w:w="146"/>
        <w:gridCol w:w="211"/>
        <w:gridCol w:w="676"/>
        <w:gridCol w:w="166"/>
        <w:gridCol w:w="146"/>
        <w:gridCol w:w="211"/>
        <w:gridCol w:w="676"/>
        <w:gridCol w:w="146"/>
        <w:gridCol w:w="146"/>
        <w:gridCol w:w="151"/>
        <w:gridCol w:w="482"/>
        <w:gridCol w:w="280"/>
        <w:gridCol w:w="151"/>
        <w:gridCol w:w="151"/>
        <w:gridCol w:w="482"/>
        <w:gridCol w:w="271"/>
        <w:gridCol w:w="146"/>
        <w:gridCol w:w="211"/>
        <w:gridCol w:w="736"/>
        <w:gridCol w:w="166"/>
        <w:gridCol w:w="146"/>
        <w:gridCol w:w="146"/>
        <w:gridCol w:w="631"/>
        <w:gridCol w:w="547"/>
      </w:tblGrid>
      <w:tr>
        <w:trPr/>
        <w:tc>
          <w:tcPr>
            <w:tcW w:w="29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8"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(Decrease)</w:t>
              <w:br/>
              <w:t> 2026 vs 2025</w:t>
            </w:r>
          </w:p>
        </w:tc>
        <w:tc>
          <w:tcPr>
            <w:tcW w:w="5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5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Government Solutions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5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Parking Solutions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 by segment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w:t>
            </w:r>
          </w:p>
        </w:tc>
        <w:tc>
          <w:tcPr>
            <w:tcW w:w="5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40" w:after="283"/>
        <w:jc w:val="both"/>
        <w:rPr>
          <w:rFonts w:ascii="Times New Roman" w:hAnsi="Times New Roman"/>
          <w:sz w:val="20"/>
        </w:rPr>
      </w:pPr>
      <w:r>
        <w:rPr>
          <w:rFonts w:ascii="Times New Roman" w:hAnsi="Times New Roman"/>
          <w:i/>
          <w:color w:val="000000"/>
          <w:sz w:val="20"/>
        </w:rPr>
        <w:t>Depreciation, Amortization and (Gain) Loss on Disposal of Assets, Net.</w:t>
      </w:r>
      <w:r>
        <w:rPr>
          <w:rFonts w:ascii="Times New Roman" w:hAnsi="Times New Roman"/>
          <w:color w:val="000000"/>
          <w:sz w:val="20"/>
        </w:rPr>
        <w:t xml:space="preserve"> Depreciation, amortization and (gain) loss on disposal of assets, net, increased by $1.5 million to $29.3 million for the three months ended March 31, 2026 from $27.8 million for the same period in 2025. This was primarily due to an increase in depreciation expense related to equipment, vehicles and software in the 2026 period compared to the 2025 period.</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Interest Expense, Net. </w:t>
      </w:r>
      <w:r>
        <w:rPr>
          <w:rFonts w:ascii="Times New Roman" w:hAnsi="Times New Roman"/>
          <w:color w:val="000000"/>
          <w:sz w:val="20"/>
        </w:rPr>
        <w:t>Interest expense, net decreased by approximately $1.2 million from $16.6 million for the three months ended March 31, 2025 to $15.4 million for the same period in 2026. This was primarily attributable to a 25 basis-point reduction in the interest rate as a result of refinancing our 2021 Term Loan in October 2025 coupled with decreasing SOFR rates. See “</w:t>
      </w:r>
      <w:r>
        <w:rPr>
          <w:rFonts w:ascii="Times New Roman" w:hAnsi="Times New Roman"/>
          <w:i/>
          <w:color w:val="000000"/>
          <w:sz w:val="20"/>
        </w:rPr>
        <w:t>Liquidity and Capital Resources</w:t>
      </w:r>
      <w:r>
        <w:rPr>
          <w:rFonts w:ascii="Times New Roman" w:hAnsi="Times New Roman"/>
          <w:color w:val="000000"/>
          <w:sz w:val="20"/>
        </w:rPr>
        <w:t>” below.</w:t>
      </w:r>
    </w:p>
    <w:p>
      <w:pPr>
        <w:pStyle w:val="TextBody"/>
        <w:bidi w:val="0"/>
        <w:spacing w:before="240" w:after="283"/>
        <w:jc w:val="both"/>
        <w:rPr>
          <w:rFonts w:ascii="Times New Roman" w:hAnsi="Times New Roman"/>
          <w:sz w:val="20"/>
        </w:rPr>
      </w:pPr>
      <w:r>
        <w:rPr>
          <w:rFonts w:ascii="Times New Roman" w:hAnsi="Times New Roman"/>
          <w:i/>
          <w:color w:val="000000"/>
          <w:sz w:val="20"/>
        </w:rPr>
        <w:t>Loss on Extinguishment of Debt</w:t>
      </w:r>
      <w:r>
        <w:rPr>
          <w:rFonts w:ascii="Times New Roman" w:hAnsi="Times New Roman"/>
          <w:color w:val="000000"/>
          <w:sz w:val="20"/>
        </w:rPr>
        <w:t>. We recorded less than $0.1 million of loss on extinguishment of debt during the three months ended March 31, 2025 related to the write-off of pre-existing deferred financing costs and discounts in connection with the early repayment on the 2021 Term Loan.</w:t>
      </w:r>
    </w:p>
    <w:p>
      <w:pPr>
        <w:pStyle w:val="TextBody"/>
        <w:bidi w:val="0"/>
        <w:spacing w:before="240" w:after="283"/>
        <w:jc w:val="both"/>
        <w:rPr>
          <w:rFonts w:ascii="Times New Roman" w:hAnsi="Times New Roman"/>
          <w:sz w:val="20"/>
        </w:rPr>
      </w:pPr>
      <w:r>
        <w:rPr>
          <w:rFonts w:ascii="Times New Roman" w:hAnsi="Times New Roman"/>
          <w:i/>
          <w:color w:val="000000"/>
          <w:sz w:val="20"/>
        </w:rPr>
        <w:t>Other Income, Net.</w:t>
      </w:r>
      <w:r>
        <w:rPr>
          <w:rFonts w:ascii="Times New Roman" w:hAnsi="Times New Roman"/>
          <w:color w:val="000000"/>
          <w:sz w:val="20"/>
        </w:rPr>
        <w:t xml:space="preserve"> Other income, net was $4.1 million for both of the three months ended March 31, 2026 and 2025. </w:t>
      </w:r>
    </w:p>
    <w:p>
      <w:pPr>
        <w:pStyle w:val="TextBody"/>
        <w:bidi w:val="0"/>
        <w:spacing w:before="240" w:after="283"/>
        <w:jc w:val="both"/>
        <w:rPr>
          <w:rFonts w:ascii="Times New Roman" w:hAnsi="Times New Roman"/>
          <w:sz w:val="20"/>
        </w:rPr>
      </w:pPr>
      <w:r>
        <w:rPr>
          <w:rFonts w:ascii="Times New Roman" w:hAnsi="Times New Roman"/>
          <w:i/>
          <w:color w:val="000000"/>
          <w:sz w:val="20"/>
        </w:rPr>
        <w:t>Income Tax Provision.</w:t>
      </w:r>
      <w:r>
        <w:rPr>
          <w:rFonts w:ascii="Times New Roman" w:hAnsi="Times New Roman"/>
          <w:color w:val="000000"/>
          <w:sz w:val="20"/>
        </w:rPr>
        <w:t xml:space="preserve"> Income tax provision was $13.7 million representing an effective tax rate of 33.9% for the three months ended March 31, 2026 compared to a tax provision of $12.5 million, with an effective tax rate of 27.9% for the same period in 2025. The increase in effective tax rate variance was primarily driven by tax deductions related to stock compensation and the tax impact of the legal settlement finalized in February 2026.</w:t>
      </w:r>
    </w:p>
    <w:p>
      <w:pPr>
        <w:pStyle w:val="TextBody"/>
        <w:bidi w:val="0"/>
        <w:spacing w:before="240" w:after="283"/>
        <w:jc w:val="both"/>
        <w:rPr>
          <w:rFonts w:ascii="Times New Roman" w:hAnsi="Times New Roman"/>
          <w:sz w:val="20"/>
        </w:rPr>
      </w:pPr>
      <w:r>
        <w:rPr>
          <w:rFonts w:ascii="Times New Roman" w:hAnsi="Times New Roman"/>
          <w:i/>
          <w:color w:val="000000"/>
          <w:sz w:val="20"/>
        </w:rPr>
        <w:t>Net Income.</w:t>
      </w:r>
      <w:r>
        <w:rPr>
          <w:rFonts w:ascii="Times New Roman" w:hAnsi="Times New Roman"/>
          <w:color w:val="000000"/>
          <w:sz w:val="20"/>
        </w:rPr>
        <w:t xml:space="preserve"> We had net income of $26.7 million for the three months ended March 31, 2026, as compared to a net income of $32.3 million for the three months ended March 31, 2025. The $5.6 million decrease in net income was primarily due to the increase in operating expenses, decrease in product sales and the other statement of operations activity discussed above, partially offset by the legal settlement finalized in February 2026.</w:t>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principal sources of liquidity are cash flows from operations and the available borrowing under our Amended Revolver.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believe that our existing cash and cash equivalents, cash flows provided by operating activities, and our ability to borrow under our Amended Revolver will be sufficient to meet operating cash requirements, service debt obligations and fund potential share repurchases for at least the next 12 months and thereafter for the foreseeable future. Our ability to generate sufficient cash from our operating activities depends on our future performance, which is subject to general economic, political, financial, competitive and other factors beyond our control. In addition, our future capital expenditures and other cash requirements could be higher than currently expected due to various factors, including any expansion of our business or strategic acquisitions.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incurred significant long-term debt as a result of acquisitions completed in prior years. Should we pursue strategic acquisitions, we may need to raise additional capital, which may be in the form of additional long-term debt, borrowings on our Amended Revolver, or equity financings, all of which may not be available to us on favorable terms or at all. We have the ability to borrow under our Amended Revolver to meet expected obligations as they come due.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originally entered into the Revolver in March 2018 and increased the borrowing capacity thereunder to $125.0 million in May 2025 pursuant to an amendment thereto. In fiscal year 2025, we amended and restated the Revolver and entered into the Amended and Restated Revolving Credit Agreement which increased the existing commitment from $125.0 million to $150.0 million and extended the maturity date to October 17, 2030. As of March 31, 2026, we had $26.0 million outstanding borrowings and $78.3 million available for borrowing, net of letters of credit, under our Amended Revolver. Our cash on hand was $46.9 million as of March 31,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fiscal year 2025, we refinanced the existing senior secured term loans under the 2021 Term Loan in an aggregate outstanding principal amount of approximately $688.8 million with a new senior secured term loan of the same principal amount maturing on October 15, 2032 and reduced the interest rate by 0.25%. We made a quarterly repayment of approximately $1.7 million on our Amended Term Loan during the three months ended March 31, 2026, and as a result, the total principal outstanding on the Amended Term Loan was $685.4 million as of March 31,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March 31, 2026, the tax receivable agreement liability was approximately $43.7 million. We expect to make payments of approximately $5.3 million per year for the next seven years and approximately $1.1 million in the final year.</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Share Repurchases and Retirement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October 2023, our Board of Directors authorized a share repurchase program for up to an aggregate amount of $100.0 million of our outstanding shares of Class A Common Stock over an 18-month period. After we repurchased an aggregate 3.5 million shares for approximately $87.3 million in fiscal year 2024, in December 2024, our Board of Directors authorized the repurchase of up to an additional $100.0 million of our outstanding shares under the then-existing program, providing us with approximately $112.7 million available for repurchases. In December 2024, we entered into an ASR agreement with a third-party financial institution and paid $112.7 million to receive an initial delivery of 3,821,958 shares of our Class A Common Stock. The final settlement occurred on March 3, 2025, at which time, we received an additional 685,934 shares of Class A Common Stock calculated using a volume-weighted average price over the term of the ASR agreement. All repurchased shares were subsequently retired. The prior repurchase authorization expired on April 30,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May 2025, our Board of Directors authorized a new share repurchase program for up to an aggregate amount of $100.0 million of our outstanding shares of Class A Common Stock over an 18-month period. On October 23, 2025, our Board of Directors authorized the repurchase of up to an additional $150.0 million of our outstanding shares of Class A Common Stock under the existing May 2025 program, providing us with $250.0 million available for repurchases. During the fourth quarter of fiscal year 2025, we paid $133.4 million to repurchase 6,028,853 shares of our Class A Common Stock through open market transactions. All repurchased shares were subsequently retired.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first quarter of fiscal year 2026, we paid $50.2 million to repurchase 2,215,800 shares of our Class A Common Stock through open market transactions, which were subsequently retired. In addition, we recorded approximately $0.5 million within accrued liabilities on the condensed consolidated balance sheets as of March 31, 2026 for direct costs related to the excise tax payable on net share repurchases. As of March 31, 2026, $66.3 million remains available under our authorized share repurchase program.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sets forth certain captions indicated on our statements of cash flows for the respective periods:</w:t>
      </w:r>
    </w:p>
    <w:p>
      <w:pPr>
        <w:pStyle w:val="TextBody"/>
        <w:bidi w:val="0"/>
        <w:jc w:val="both"/>
        <w:rPr/>
      </w:pPr>
      <w:r>
        <w:rPr/>
        <w:t> </w:t>
      </w:r>
    </w:p>
    <w:tbl>
      <w:tblPr>
        <w:tblW w:w="6221" w:type="dxa"/>
        <w:jc w:val="left"/>
        <w:tblInd w:w="0" w:type="dxa"/>
        <w:tblLayout w:type="fixed"/>
        <w:tblCellMar>
          <w:top w:w="28" w:type="dxa"/>
          <w:left w:w="28" w:type="dxa"/>
          <w:bottom w:w="28" w:type="dxa"/>
          <w:right w:w="28" w:type="dxa"/>
        </w:tblCellMar>
      </w:tblPr>
      <w:tblGrid>
        <w:gridCol w:w="3466"/>
        <w:gridCol w:w="146"/>
        <w:gridCol w:w="229"/>
        <w:gridCol w:w="801"/>
        <w:gridCol w:w="180"/>
        <w:gridCol w:w="158"/>
        <w:gridCol w:w="229"/>
        <w:gridCol w:w="801"/>
        <w:gridCol w:w="21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40,841</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(31,087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(28,581</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Cash Flows from Operating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provided by operating activities decreased by $22.2 million from $63.0 million for the three months ended March 31, 2025 to $40.8 million for the three months ended March 31, 2026. Net income year-over-year decreased by $5.6 million, from $32.3 million in 2025 to $26.7 million in 2026. The aggregate adjustments to reconcile net income to net cash provided by operating activities decreased $7.6 million mainly due to the share-based proceeds acquired from a legal settlement finalized in February 2026, and a decrease in credit loss expense, partially offset by an increase in deferred income taxes and the mark-to-market adjustment on the share-based proceeds. The aggregate changes in operating assets and liabilities decreased by $9.0 million in 2026 compared to the prior year primarily due to an increase in the net use of working capital, of which, the majority is attributable to an increase in unbilled receivables and inventory and a decrease in accrued liabilities, partially offset by a decrease in net accounts receivable and prepaid assets.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Cash Flows from Investing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used in investing activities was $31.1 million and $21.2 million for the three months ended March 31, 2026 and 2025, respectively. The increase in cash used was primarily driven by a $10.0 million increase for purchases of installation and service parts and property and equipment mainly for the Government Solutions segment compared to the same period in the prior year.</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Cash Flows from Financing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used in financing activities was $28.6 million and $8.7 million for the three months ended March 31, 2026 and 2025, respectively. The increased use in cash from financing activities was mainly due to $50.2 million of share repurchases in the first quarter of fiscal year 2026 and no comparable repurchases in the prior year period, partially offset by net borrowings of $26.0 million on our Amended Revolver.</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Debt, Net</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2021 Term Loan and Amended Term Loan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March 2021, VM Consolidated, our wholly owned subsidiary, entered into the 2021 Term Loan with a syndicate of lenders. The 2021 Term Loan had an aggregate borrowing of $900.0 million, maturing on March 24, 2028. In connection with the 2021 Term Loan borrowings, we had $4.6 million of offering discount costs and $4.5 million in deferred financing costs, both of which were capitalized and amortized over the life of the 2021 Term Loan. Such offering discount costs and deferred financing costs have subsequently been adjusted as needed as a result of refinancing activity discussed below which prompted re-evaluation of unamortized amounts on a lender-by-lender basis.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October 2025, VM Consolidated and certain of our subsidiaries entered into the Amendment and Restatement Agreement No. 2 to the Amended and Restated First Lien Term Loan Credit Agreement dated as of March 26, 2021, to refinance the existing senior secured term loans in an aggregate outstanding principal amount of approximately $688.8 million with a new senior secured term loan of the same principal amount maturing on October 15, 2032. The proceeds from the Amended Term Loan were used in their entirety to prepay in full the outstanding principal amount of the existing term loan under the 2021 Term Loan agreement.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Amended Term Loan bears interest at a per annum rate equal to SOFR plus an applicable margin of 2.00%, or a base rate plus an applicable margin of 1.00%. As of March 31, 2026, the interest rate on the Amended Term Loan was 5.7%. The Amended Term Loan amortizes in equal quarterly installments in aggregate amounts equal to 1.00% of the original principal amount of the Amended Term Loan beginning March 31, 2026, with the balance payable at maturity, is subject to mandatory prepayment provisions upon the occurrence of certain specified events, and is repayable at any time at the borrowers’ election, provided that repayment of the Amended Term Loan with proceeds of certain indebtedness prior to the six-month anniversary of October 17, 2025 will require a prepayment premium of 1.00% of the aggregate principal amount of such prepayment. We evaluated the refinancing transactions on a lender-by-lender basis and accounted accordingly for debt extinguishment and debt modification costs (for the portion of the transactions that did not meet the accounting criteria for debt extinguishment).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three months ended March 31, 2026, we made a quarterly repayment of $1.7 million on the Amended Term Loan. During the three months ended March 31, 2025, we made a voluntary prepayment totaling $2.3 million on the 2021 Term Loan. As a result, the total principal outstanding was $685.4 million as of March 31,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recorded less than $0.1 million of loss on extinguishment of debt for the three months ended March 31, 2025, related to the write-off of pre-existing deferred financing costs and discounts in connection with the early repayment.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 Amended Term Loan requires mandatory prepayments equal to the product of the excess cash flows of the Company (as defined in the Amended and Restated Term Loan Agreement) and the applicable prepayment percentages (calculated as of the last day of the fiscal year), as set forth in the following table:</w:t>
      </w:r>
    </w:p>
    <w:p>
      <w:pPr>
        <w:pStyle w:val="TextBody"/>
        <w:bidi w:val="0"/>
        <w:jc w:val="both"/>
        <w:rPr/>
      </w:pPr>
      <w:r>
        <w:rPr/>
        <w:t> </w:t>
      </w:r>
    </w:p>
    <w:tbl>
      <w:tblPr>
        <w:tblW w:w="9268" w:type="dxa"/>
        <w:jc w:val="left"/>
        <w:tblInd w:w="0" w:type="dxa"/>
        <w:tblLayout w:type="fixed"/>
        <w:tblCellMar>
          <w:top w:w="28" w:type="dxa"/>
          <w:left w:w="28" w:type="dxa"/>
          <w:bottom w:w="28" w:type="dxa"/>
          <w:right w:w="28" w:type="dxa"/>
        </w:tblCellMar>
      </w:tblPr>
      <w:tblGrid>
        <w:gridCol w:w="8086"/>
        <w:gridCol w:w="146"/>
        <w:gridCol w:w="1036"/>
      </w:tblGrid>
      <w:tr>
        <w:trPr/>
        <w:tc>
          <w:tcPr>
            <w:tcW w:w="8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8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Consolidated First Lien Net Leverage Ratio (As Defined in the Amended and Restated Term Loan Agreement)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Applicable</w:t>
              <w:br/>
              <w:t>Prepayment</w:t>
              <w:br/>
              <w:t>Percentage</w:t>
            </w:r>
          </w:p>
        </w:tc>
      </w:tr>
      <w:tr>
        <w:trPr/>
        <w:tc>
          <w:tcPr>
            <w:tcW w:w="80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&gt; 3.70:1.00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w:t>
            </w:r>
          </w:p>
        </w:tc>
      </w:tr>
      <w:tr>
        <w:trPr/>
        <w:tc>
          <w:tcPr>
            <w:tcW w:w="80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u w:val="single"/>
              </w:rPr>
              <w:t>&lt;</w:t>
            </w:r>
            <w:r>
              <w:rPr>
                <w:rFonts w:ascii="Times New Roman" w:hAnsi="Times New Roman"/>
                <w:color w:val="000000"/>
                <w:sz w:val="20"/>
              </w:rPr>
              <w:t> 3.70:1.00 and &gt; 3.20:1.00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r>
      <w:tr>
        <w:trPr/>
        <w:tc>
          <w:tcPr>
            <w:tcW w:w="80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u w:val="single"/>
              </w:rPr>
              <w:t>&lt;</w:t>
            </w:r>
            <w:r>
              <w:rPr>
                <w:rFonts w:ascii="Times New Roman" w:hAnsi="Times New Roman"/>
                <w:color w:val="000000"/>
                <w:sz w:val="20"/>
              </w:rPr>
              <w:t> 3.20:1.00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bl>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Senior Notes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March 2021, VM Consolidated issued an aggregate principal amount of $350.0 million in Senior Notes, due on April 15, 2029. In connection with the issuance of the Senior Notes, we incurred $5.7 million in lender and third-party costs, which were capitalized as deferred financing costs and are being amortized over the remaining life of the Senior Notes.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on the Senior Notes is fixed at 5.50% per annum and is payable on April 15 and October 15 of each year. We may redeem all or a portion of the Senior Notes at a redemption price of 101.375% plus accrued and unpaid interest through April 2026 and at face value plus accrued and unpaid interest thereafter.</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The Revolver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entered into a Revolving Credit Agreement in March 2018 with a commitment of up to $75.0 million available for loans and letters of credit, which commitment was increased to $125.0 million. In May 2025, pursuant to an amendment thereto, such commitment was increased to $125.0 million. On October 17, 2025, certain of our direct and indirect wholly owned subsidiaries, including VM Consolidated, entered into the Amended and Restated Revolving Credit Agreement to amend and restate the Revolver. The Amended and Restated Revolving Credit Agreement provides for a $150.0 million senior secured asset-based revolving credit facility with a $35.0 million sublimit for the issuance of letters of credit, and matures on October 17, 2030 (subject to an earlier maturity date in certain circumstances).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Outstanding borrowings under the Amended Revolver accrue interest at per annum rate equal to SOFR plus a margin ranging from 1.25% to 1.75% or a base rate plus a margin ranging from 0.25% to 0.75%, in each case, depending on the quarterly average undrawn availability under the Amended Revolver in the prior quarter. The Amended and Restated Revolving Credit Agreement also provides for the option, subject to receiving additional commitments from lenders and the satisfaction of certain conditions, to increase the loan commitments under the Amended Revolver by up to an amount equal to the greater of (x) $75.0 million and (y) the amount by which the borrowing base exceeds the aggregate commitments at such time. There were $26.0 million of outstanding borrowings on the Amended Revolver as of March 31, 2026. There were no outstanding borrowings on the Amended Revolver as of December 31, 2025. The availability to borrow was $78.3 million at March 31, 2026, calculated as our borrowing base which consists of certain eligible accounts receivable and inventory balances, less any outstanding borrowings and letters of credit up to the maximum commitment available.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commitment fee on the unused portion of the Amended Revolver is payable quarterly at (x) an annual rate of 0.375%, when quarterly average usage was less than 50% of the loan commitments in the prior quarter or (y) an annual rate of 0.250%, when quarterly average usage of the Amended Revolver was greater than or equal to 50% of the loan commitments in the prior quarter. We are also required to pay participation and fronting fees at 1.38% on $3.7 million of outstanding letters of credit as of March 31,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borrowings and other extensions of credits under the Amended Term Loan, Senior Notes and the Amended Revolver are subject to the satisfaction of customary conditions and restrictive covenants including absence of defaults and accuracy in material respects of representations and warranties. Substantially all of the Company’s assets are pledged as collateral under the Amended Term Loan and the Amended Revolver. At March 31, 2026, we were compliant with all debt covenants in our debt agreements.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From time to time, we enter into equipment financing arrangements in the normal course of business, including certain equipment leases accounted for as financing arrangements. Amounts outstanding under these arrangements are included in “Other debt” in Note 6, </w:t>
      </w:r>
      <w:r>
        <w:rPr>
          <w:rFonts w:ascii="Times New Roman" w:hAnsi="Times New Roman"/>
          <w:i/>
          <w:color w:val="000000"/>
          <w:sz w:val="20"/>
        </w:rPr>
        <w:t>Debt, Net</w:t>
      </w:r>
      <w:r>
        <w:rPr>
          <w:rFonts w:ascii="Times New Roman" w:hAnsi="Times New Roman"/>
          <w:color w:val="000000"/>
          <w:sz w:val="20"/>
        </w:rPr>
        <w:t>, in Part I, Item 1, Financial Statements, and were not material to our overall financial position, liquidity, or capital resources as of March 31, 2026.</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Interest Expense,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recorded interest expense, including amortization of deferred financing costs and discounts, of $15.4 million and $16.6 million for the three months ended March 31, 2026 and 2025,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do not have any material off-balance sheet financing arrangements as of March 31, 2026.</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Critical Accounting Policies, Estimates and Judgments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preparation of condensed consolidated financial statements in conformity with generally accepted accounting principles in the United States requires management to make estimates and assumptions that affect the amounts reported in the financial statements and the accompanying notes. Please refer to our Annual Report for our critical accounting policies, estimates and judgments. We believe that our estimates and assumptions are reasonable in the circumstances; however, actual results could differ materially from those estimates.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For a discussion of recent accounting pronouncements, refer to Note 2, </w:t>
      </w:r>
      <w:r>
        <w:rPr>
          <w:rFonts w:ascii="Times New Roman" w:hAnsi="Times New Roman"/>
          <w:i/>
          <w:color w:val="000000"/>
          <w:sz w:val="20"/>
        </w:rPr>
        <w:t>Significant Accounting Policies</w:t>
      </w:r>
      <w:r>
        <w:rPr>
          <w:rFonts w:ascii="Times New Roman" w:hAnsi="Times New Roman"/>
          <w:color w:val="000000"/>
          <w:sz w:val="20"/>
        </w:rPr>
        <w:t>, in Part I, Item 1, Financial Statements.</w:t>
      </w:r>
    </w:p>
    <w:p>
      <w:pPr>
        <w:pStyle w:val="Heading2"/>
        <w:bidi w:val="0"/>
        <w:spacing w:before="360" w:after="283"/>
        <w:jc w:val="both"/>
        <w:rPr>
          <w:rFonts w:ascii="Times New Roman" w:hAnsi="Times New Roman"/>
          <w:color w:val="000000"/>
          <w:sz w:val="20"/>
        </w:rPr>
      </w:pPr>
      <w:bookmarkStart w:id="10" w:name="item_3_quantitative_qualitative_disclosu"/>
      <w:bookmarkEnd w:id="10"/>
      <w:r>
        <w:rPr>
          <w:rFonts w:ascii="Times New Roman" w:hAnsi="Times New Roman"/>
          <w:color w:val="000000"/>
          <w:sz w:val="20"/>
        </w:rPr>
        <w:t>Item 3. Quantitative and Qualitative Disclosures About Market Risk</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We are exposed to interest rate risk due to the variable interest rates on the Amended Term Loan and Amended Revolver described in Part I, Item 2, </w:t>
      </w:r>
      <w:r>
        <w:rPr>
          <w:rFonts w:ascii="Times New Roman" w:hAnsi="Times New Roman"/>
          <w:i/>
          <w:color w:val="000000"/>
          <w:sz w:val="20"/>
        </w:rPr>
        <w:t>Management’s Discussion and Analysis of Financial Condition and Results of Operations—Liquidity and Capital Resources</w:t>
      </w:r>
      <w:r>
        <w:rPr>
          <w:rFonts w:ascii="Times New Roman" w:hAnsi="Times New Roman"/>
          <w:color w:val="000000"/>
          <w:sz w:val="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rate risk represents our exposure to fluctuations in interest rates associated with the variable rate debt represented by the Amended Term Loan and Amended Revolver, which have outstanding balances of $685.4 million and $26.0 million at March 31, 2026, respectively. As of March 31, 2026, the interest rates were 5.7% and 4.9% on the Amended Term Loan and the Amended Revolver, respectively.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the March 31, 2026 balance outstanding, each 1% movement in interest rates will result in an approximately $7.1 million change in annual interest expense.</w:t>
      </w:r>
    </w:p>
    <w:p>
      <w:pPr>
        <w:pStyle w:val="Heading2"/>
        <w:bidi w:val="0"/>
        <w:spacing w:before="360" w:after="283"/>
        <w:jc w:val="both"/>
        <w:rPr>
          <w:rFonts w:ascii="Times New Roman" w:hAnsi="Times New Roman"/>
          <w:color w:val="000000"/>
          <w:sz w:val="20"/>
        </w:rPr>
      </w:pPr>
      <w:bookmarkStart w:id="11" w:name="item_4_controls_procedures"/>
      <w:bookmarkEnd w:id="11"/>
      <w:r>
        <w:rPr>
          <w:rFonts w:ascii="Times New Roman" w:hAnsi="Times New Roman"/>
          <w:color w:val="000000"/>
          <w:sz w:val="20"/>
        </w:rPr>
        <w:t>Item 4. Controls and Procedures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Evaluation of Disclosure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disclosure controls and procedures (as defined in Rules 13a-15(e) or 15d-15(e) under the Exchange Act) are designed to ensure that information required to be disclosed in the reports that we file or submit under the Exchange Act is recorded, processed, summarized, and reported within the time periods specified in the SEC’s rules and forms and to ensure that information required to be disclosed is accumulated and communicated to management, including our principal executive and financial officers, to allow timely decisions regarding disclosure. Our Chief Executive Officer and Chief Financial Officer, with assistance from other members of management, have evaluated the effectiveness of our disclosure controls and procedures as of March 31, 2026. Based upon such evaluation, our principal executive officer and principal financial officer have concluded that our disclosure controls and procedures were effective at the reasonable assurance level as of such date.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have been no changes to our internal control over financial reporting (as defined in Rules 13a-15(f) and 15d-15(f) under the Exchange Act) during the quarter ended March 31, 2026 that materially affected, or are reasonably likely to materially affect, our internal control over financial reporting.</w:t>
      </w:r>
    </w:p>
    <w:p>
      <w:pPr>
        <w:pStyle w:val="TextBody"/>
        <w:bidi w:val="0"/>
        <w:spacing w:before="120" w:after="283"/>
        <w:jc w:val="both"/>
        <w:rPr>
          <w:rFonts w:ascii="Times New Roman" w:hAnsi="Times New Roman"/>
          <w:sz w:val="20"/>
        </w:rPr>
      </w:pPr>
      <w:r>
        <w:rPr>
          <w:rFonts w:ascii="Times New Roman" w:hAnsi="Times New Roman"/>
          <w:color w:val="000000"/>
          <w:sz w:val="20"/>
        </w:rPr>
        <w:t>In 2025, we completed the first phase of a multi-phase implementation of a new global enterprise resource planning (“</w:t>
      </w:r>
      <w:r>
        <w:rPr>
          <w:rFonts w:ascii="Times New Roman" w:hAnsi="Times New Roman"/>
          <w:b/>
          <w:i/>
          <w:color w:val="000000"/>
          <w:sz w:val="20"/>
        </w:rPr>
        <w:t>ERP</w:t>
      </w:r>
      <w:r>
        <w:rPr>
          <w:rFonts w:ascii="Times New Roman" w:hAnsi="Times New Roman"/>
          <w:color w:val="000000"/>
          <w:sz w:val="20"/>
        </w:rPr>
        <w:t>”) system that will replace components of our existing operating and financial systems. The new ERP system is designed to accurately maintain the flow of financial information, enhance operational functionality, and accelerate information reporting to our management. During the first half of 2025, we completed the implementation of new applications, interfaces, and reports which support our financial reporting, which resulted in changes to certain of our processes and internal controls. The new ERP implementation is substantially complete and is expected to be fully complete in fiscal year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both"/>
        <w:rPr>
          <w:rFonts w:ascii="Times New Roman" w:hAnsi="Times New Roman"/>
          <w:caps/>
          <w:color w:val="000000"/>
          <w:sz w:val="20"/>
        </w:rPr>
      </w:pPr>
      <w:bookmarkStart w:id="12" w:name="part_iior_information"/>
      <w:bookmarkEnd w:id="12"/>
      <w:r>
        <w:rPr>
          <w:rFonts w:ascii="Times New Roman" w:hAnsi="Times New Roman"/>
          <w:caps/>
          <w:color w:val="000000"/>
          <w:sz w:val="20"/>
        </w:rPr>
        <w:t>Part II—Other Information</w:t>
      </w:r>
    </w:p>
    <w:p>
      <w:pPr>
        <w:pStyle w:val="Heading2"/>
        <w:bidi w:val="0"/>
        <w:spacing w:before="120" w:after="283"/>
        <w:jc w:val="both"/>
        <w:rPr>
          <w:rFonts w:ascii="Times New Roman" w:hAnsi="Times New Roman"/>
          <w:color w:val="000000"/>
          <w:sz w:val="20"/>
        </w:rPr>
      </w:pPr>
      <w:bookmarkStart w:id="13" w:name="item_1_legal_proceedings"/>
      <w:bookmarkEnd w:id="13"/>
      <w:r>
        <w:rPr>
          <w:rFonts w:ascii="Times New Roman" w:hAnsi="Times New Roman"/>
          <w:color w:val="000000"/>
          <w:sz w:val="20"/>
        </w:rPr>
        <w:t>Item 1. 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legal and regulatory actions that arise from time to time in the ordinary course of business, and may be subject to similar or other claims in the future. Legal disputes and other claims and proceedings may relate to, among other things, intellectual property, commercial arrangements, negligence and fiduciary duty claims, vicarious liability based on conduct of individuals or entities outside of our control, including our third-party service providers, antitrust claims, deceptive trade practices, general fraud claims, and employment law claims, including compliance with wage and hour regulations. In addition to more general litigation, at times we have also been a named party in claims made against our customers, including putative class actions challenging the legality and constitutionality of automated photo enforcement and other similar programs of our Government Solutions customers, and consumer fraud claims brought against us and our Commercial Services customers alleging faulty disclosures regarding our services. From time to time, we may also be reviewed or investigated by U.S. federal, state, or local regulators, or regulators in the foreign jurisdictions in which we operate regarding these and other matters, including proper licensing and tax assessments. All litigation is inherently unpredictable and we could incur judgments or enter into settlements or claims in the future that could materially impact our results.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As described in our Annual Report and our Quarterly Reports on Form 10-Q for the quarters ended March 31, 2025 and June 30, 2025, </w:t>
      </w:r>
      <w:r>
        <w:rPr>
          <w:rFonts w:ascii="Times New Roman" w:hAnsi="Times New Roman"/>
          <w:i/>
          <w:color w:val="000000"/>
          <w:sz w:val="20"/>
        </w:rPr>
        <w:t>Brantley v. City of Gretna</w:t>
      </w:r>
      <w:r>
        <w:rPr>
          <w:rFonts w:ascii="Times New Roman" w:hAnsi="Times New Roman"/>
          <w:color w:val="000000"/>
          <w:sz w:val="20"/>
        </w:rPr>
        <w:t xml:space="preserve"> is a class action lawsuit filed in the 24th Judicial District Court of Jefferson Parish, Louisiana against the City of Gretna (the “</w:t>
      </w:r>
      <w:r>
        <w:rPr>
          <w:rFonts w:ascii="Times New Roman" w:hAnsi="Times New Roman"/>
          <w:b/>
          <w:i/>
          <w:color w:val="000000"/>
          <w:sz w:val="20"/>
        </w:rPr>
        <w:t>City</w:t>
      </w:r>
      <w:r>
        <w:rPr>
          <w:rFonts w:ascii="Times New Roman" w:hAnsi="Times New Roman"/>
          <w:color w:val="000000"/>
          <w:sz w:val="20"/>
        </w:rPr>
        <w:t>”) and its safety camera vendor, Redflex Traffic Systems, Inc., in April 2016. The Company acquired Redflex Traffic Systems, Inc. as part of its June 2021 purchase of Redflex Holdings Limited. The plaintiff class, which was certified on March 30, 2021, alleged that the City’s safety camera program was implemented and operated in violation of local ordinances and the state constitution, including that the City’s hearing process violated the plaintiffs’ due process rights for lack of a “neutral” arbiter of liability for traffic infractions. Plaintiffs sought recovery of traffic infraction fines paid. The City and Redflex Traffic Systems, Inc. appealed the trial court’s ruling granting class certification, which was denied, and their petition for discretionary review of the certification ruling by the Louisiana Supreme Court was declined. The parties entered into a settlement agreement and preliminary approval was granted by the court in April 2025. The court provided final approval of the settlement on September 18, 2025. The class action settlement has been fully administered and a final dismissal order was entered on March 11, 2026.</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When necessary, we accrue estimated amounts related to legal proceedings within accrued liabilities on the condensed consolidated balance sheets. The information contained in Note 13, </w:t>
      </w:r>
      <w:r>
        <w:rPr>
          <w:rFonts w:ascii="Times New Roman" w:hAnsi="Times New Roman"/>
          <w:i/>
          <w:color w:val="000000"/>
          <w:sz w:val="20"/>
        </w:rPr>
        <w:t>Commitments and Contingencies</w:t>
      </w:r>
      <w:r>
        <w:rPr>
          <w:rFonts w:ascii="Times New Roman" w:hAnsi="Times New Roman"/>
          <w:color w:val="000000"/>
          <w:sz w:val="20"/>
        </w:rPr>
        <w:t>, included in Part I, Item 1 of this Quarterly Report on Form 10-Q is incorporated herein by reference.</w:t>
      </w:r>
    </w:p>
    <w:p>
      <w:pPr>
        <w:pStyle w:val="Heading2"/>
        <w:bidi w:val="0"/>
        <w:spacing w:before="360" w:after="283"/>
        <w:jc w:val="both"/>
        <w:rPr>
          <w:rFonts w:ascii="Times New Roman" w:hAnsi="Times New Roman"/>
          <w:color w:val="000000"/>
          <w:sz w:val="20"/>
        </w:rPr>
      </w:pPr>
      <w:bookmarkStart w:id="14" w:name="item_1a_risks_related_to_our_business"/>
      <w:bookmarkEnd w:id="14"/>
      <w:r>
        <w:rPr>
          <w:rFonts w:ascii="Times New Roman" w:hAnsi="Times New Roman"/>
          <w:color w:val="000000"/>
          <w:sz w:val="20"/>
        </w:rPr>
        <w:t>Item 1A. Risk Factors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Part I, Item 1A. “Risk Factors” in our Annual Report includes a discussion of our risk factors. Other than the risk factors below, there have been no material changes from the risk factors described in our Annual Report. We may disclose changes to such risk factors or disclose additional risk factors from time to time in our future SEC filings.</w:t>
      </w:r>
    </w:p>
    <w:p>
      <w:pPr>
        <w:pStyle w:val="TextBody"/>
        <w:bidi w:val="0"/>
        <w:spacing w:before="120" w:after="283"/>
        <w:jc w:val="both"/>
        <w:rPr>
          <w:rFonts w:ascii="Times New Roman" w:hAnsi="Times New Roman"/>
          <w:sz w:val="20"/>
        </w:rPr>
      </w:pPr>
      <w:r>
        <w:rPr>
          <w:rFonts w:ascii="Times New Roman" w:hAnsi="Times New Roman"/>
          <w:b/>
          <w:i/>
          <w:color w:val="000000"/>
          <w:sz w:val="20"/>
        </w:rPr>
        <w:t>Our Commercial Services and Government Solutions segments have several large customers, including NYCDOT, that account for a significant portion of our revenue, and a reduction in demand, materially different terms or pricing in new or amended agreements, or loss of one or more of such customers could have a material adverse effect on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business experiences varying levels of customer concentration. For example, in our Government Solutions segment, NYCDOT represented approximately 15.2% and 15.4% of our total revenues for the quarters ended March 31, 2026 and 2025, respectively. Our contract with NYCDOT expired on December 31, 2025, and we entered into a new contract with NYCDOT, effective January 1, 2026, to manage New York City’s automated enforcement camera safety programs for a five-year period. The terms of the new contract are materially different than our prior contract with NYCDOT, including service level agreements, service credits, liquidated damages, cybersecurity, and subcontracting requirements. If we do not successfully perform the contract pursuant to its terms, it could have a material adverse effect on our business, financial condition, and results of operations. We may continue to rely on a small number of customers in our Government Solutions segment to represent a significant portion of our total revenues in any given period. The loss of any of our top Government Solutions customers could have a material adverse effect on our business, financial condition,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also experience customer concentration in our Commercial Services segment. Three of our Commercial Services customers collectively accounted for 35.2% and 37.9% of our total revenues for the quarters ended March 31, 2026 and 2025, respectively. We face risks associated with the renewal of Commercial Services customer agreements. We are currently operating under a short-term contract extension and are engaged in contract negotiations with one of our significant Commercial Services customers which represented over 10% of our total revenue for the three months ended March 31, 2026 and the year ended December 31, 2025. There is no assurance that we will be successful in negotiating a renewal agreement and if we are unable to enter into a renewal agreement, or if we enter in a new renewal agreement and it has materially different terms and pricing that are unfavorable as compared to our current agreement, this would have a material adverse effect on our business, financial condition, and results of operations. We will enter into contract renewal discussions with our other two significant Commercial Services customers over the next eighteen months, and if we are unable to renew such customer agreements, or if the terms or pricing of such agreements are materially different from the current agreements, this would have a material impact on our business, financial condition, and results of operations.</w:t>
      </w:r>
    </w:p>
    <w:p>
      <w:pPr>
        <w:pStyle w:val="TextBody"/>
        <w:bidi w:val="0"/>
        <w:spacing w:before="120" w:after="283"/>
        <w:jc w:val="both"/>
        <w:rPr/>
      </w:pPr>
      <w:r>
        <w:rPr/>
        <w:t> </w:t>
      </w:r>
    </w:p>
    <w:p>
      <w:pPr>
        <w:pStyle w:val="TextBody"/>
        <w:bidi w:val="0"/>
        <w:jc w:val="left"/>
        <w:rPr>
          <w:rFonts w:ascii="Times New Roman" w:hAnsi="Times New Roman"/>
          <w:b/>
          <w:color w:val="000000"/>
          <w:sz w:val="20"/>
        </w:rPr>
      </w:pPr>
      <w:bookmarkStart w:id="15" w:name="item_2_sales_of_equity_securities"/>
      <w:bookmarkEnd w:id="15"/>
      <w:r>
        <w:rPr>
          <w:rFonts w:ascii="Times New Roman" w:hAnsi="Times New Roman"/>
          <w:b/>
          <w:color w:val="000000"/>
          <w:sz w:val="20"/>
        </w:rPr>
        <w:t>Item 2. Unregistered Sales of Equity Securities and Use of Proceeds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Purchases of Equity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details the purchases of our Class A Common Stock during the three months ended March 31, 2026:</w:t>
      </w:r>
    </w:p>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1368"/>
        <w:gridCol w:w="146"/>
        <w:gridCol w:w="212"/>
        <w:gridCol w:w="1201"/>
        <w:gridCol w:w="146"/>
        <w:gridCol w:w="146"/>
        <w:gridCol w:w="311"/>
        <w:gridCol w:w="818"/>
        <w:gridCol w:w="146"/>
        <w:gridCol w:w="146"/>
        <w:gridCol w:w="357"/>
        <w:gridCol w:w="2025"/>
        <w:gridCol w:w="146"/>
        <w:gridCol w:w="146"/>
        <w:gridCol w:w="475"/>
        <w:gridCol w:w="2221"/>
        <w:gridCol w:w="195"/>
      </w:tblGrid>
      <w:tr>
        <w:trPr/>
        <w:tc>
          <w:tcPr>
            <w:tcW w:w="13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3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Price Paid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 as Part of Publicly Announced Plans 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Maximum Dollar Value of Shares that May Yet to be Purchased Under the Plans or Programs </w:t>
            </w:r>
            <w:r>
              <w:rPr>
                <w:rFonts w:ascii="Times New Roman" w:hAnsi="Times New Roman"/>
                <w:b/>
                <w:color w:val="000000"/>
                <w:sz w:val="11"/>
              </w:rPr>
              <w:t>(1)</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January 1, 2026 - January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2,215,800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2,215,800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66,317,515</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February 1, 2026 - February 28,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66,317,515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March 1, 2026 -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66,317,515</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2,215,800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2,215,800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66,317,515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40"/>
        <w:jc w:val="both"/>
        <w:rPr>
          <w:rFonts w:ascii="Times New Roman" w:hAnsi="Times New Roman"/>
          <w:color w:val="000000"/>
          <w:sz w:val="20"/>
        </w:rPr>
      </w:pPr>
      <w:r>
        <w:rPr>
          <w:rFonts w:ascii="Times New Roman" w:hAnsi="Times New Roman"/>
          <w:color w:val="000000"/>
          <w:sz w:val="20"/>
        </w:rPr>
        <w:t>(1) Represents amounts outstanding under our authorized share repurchase program. On May 17, 2025, our Board of Directors authorized a new share repurchase program to repurchase up to an aggregate amount of $100.0 million of our outstanding shares of Class A Common Stock over an 18-month period in open market purchases, in privately negotiated transactions, or by other means, including trading plans intended to qualify under Rule 10b5-1of the Exchange Act, and ASR agreements. On October 23, 2025, our Board of Directors authorized the repurchase of up to an additional $150.0 million of our outstanding shares of Class A Common Stock under the existing share repurchase program, providing the Company with an aggregate $250.0 million available for repurchases. The program may be suspended or terminated at any time by the Company and will terminate on November 13, 2026, if not terminated or extended prior to that date. As of March 31, 2026, we had $66.3 million available under the share repurchase authorization.</w:t>
      </w:r>
    </w:p>
    <w:p>
      <w:pPr>
        <w:pStyle w:val="TextBody"/>
        <w:bidi w:val="0"/>
        <w:jc w:val="left"/>
        <w:rPr>
          <w:rFonts w:ascii="Times New Roman" w:hAnsi="Times New Roman"/>
          <w:i/>
          <w:color w:val="000000"/>
          <w:sz w:val="20"/>
        </w:rPr>
      </w:pPr>
      <w:r>
        <w:rPr>
          <w:rFonts w:ascii="Times New Roman" w:hAnsi="Times New Roman"/>
          <w:i/>
          <w:color w:val="000000"/>
          <w:sz w:val="20"/>
        </w:rPr>
        <w:t>Sales of Unregistered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did not have any sales of unregistered equity securities during the three months ended March 31, 2026.</w:t>
      </w:r>
    </w:p>
    <w:p>
      <w:pPr>
        <w:pStyle w:val="Heading2"/>
        <w:bidi w:val="0"/>
        <w:spacing w:before="360" w:after="283"/>
        <w:jc w:val="both"/>
        <w:rPr>
          <w:rFonts w:ascii="Times New Roman" w:hAnsi="Times New Roman"/>
          <w:color w:val="000000"/>
          <w:sz w:val="20"/>
        </w:rPr>
      </w:pPr>
      <w:bookmarkStart w:id="16" w:name="item_3_defaults_upon_senior_securities"/>
      <w:bookmarkEnd w:id="16"/>
      <w:r>
        <w:rPr>
          <w:rFonts w:ascii="Times New Roman" w:hAnsi="Times New Roman"/>
          <w:color w:val="000000"/>
          <w:sz w:val="20"/>
        </w:rPr>
        <w:t>Item 3. Defaults Upon Senior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None.</w:t>
      </w:r>
    </w:p>
    <w:p>
      <w:pPr>
        <w:pStyle w:val="Heading2"/>
        <w:bidi w:val="0"/>
        <w:spacing w:before="360" w:after="283"/>
        <w:jc w:val="both"/>
        <w:rPr>
          <w:rFonts w:ascii="Times New Roman" w:hAnsi="Times New Roman"/>
          <w:color w:val="000000"/>
          <w:sz w:val="20"/>
        </w:rPr>
      </w:pPr>
      <w:bookmarkStart w:id="17" w:name="item_4_mine_safety_disclosures"/>
      <w:bookmarkEnd w:id="17"/>
      <w:r>
        <w:rPr>
          <w:rFonts w:ascii="Times New Roman" w:hAnsi="Times New Roman"/>
          <w:color w:val="000000"/>
          <w:sz w:val="20"/>
        </w:rPr>
        <w:t>Item 4. Mine Safety Disclosures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Not applicable.</w:t>
      </w:r>
    </w:p>
    <w:p>
      <w:pPr>
        <w:pStyle w:val="Heading2"/>
        <w:bidi w:val="0"/>
        <w:spacing w:before="360" w:after="283"/>
        <w:jc w:val="both"/>
        <w:rPr>
          <w:rFonts w:ascii="Times New Roman" w:hAnsi="Times New Roman"/>
          <w:color w:val="000000"/>
          <w:sz w:val="20"/>
        </w:rPr>
      </w:pPr>
      <w:bookmarkStart w:id="18" w:name="item_5_or_information"/>
      <w:bookmarkEnd w:id="18"/>
      <w:r>
        <w:rPr>
          <w:rFonts w:ascii="Times New Roman" w:hAnsi="Times New Roman"/>
          <w:color w:val="000000"/>
          <w:sz w:val="20"/>
        </w:rPr>
        <w:t>Item 5. Other Information</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Insider Trading Arrangements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three months ended March 31, 2026, none of our directors or officers (as defined in Rule 16a-1(f) promulgated under the Exchange Act) adopted or terminated a Rule 10b5-1 trading arrangement or a non-Rule 10b5-1 trading arrangement (as each term is defined in Item 408 of Regulation S-K).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jc w:val="left"/>
        <w:rPr>
          <w:rFonts w:ascii="Times New Roman" w:hAnsi="Times New Roman"/>
          <w:color w:val="000000"/>
          <w:sz w:val="20"/>
        </w:rPr>
      </w:pPr>
      <w:bookmarkStart w:id="19" w:name="item_6_exhibits"/>
      <w:bookmarkEnd w:id="19"/>
      <w:r>
        <w:rPr>
          <w:rFonts w:ascii="Times New Roman" w:hAnsi="Times New Roman"/>
          <w:color w:val="000000"/>
          <w:sz w:val="20"/>
        </w:rPr>
        <w:t>Item 6. Exhibits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exhibits are filed as part of, or incorporated by reference into, this Report.</w:t>
      </w:r>
    </w:p>
    <w:p>
      <w:pPr>
        <w:pStyle w:val="TextBody"/>
        <w:bidi w:val="0"/>
        <w:spacing w:before="200" w:after="283"/>
        <w:jc w:val="center"/>
        <w:rPr>
          <w:rFonts w:ascii="Times New Roman" w:hAnsi="Times New Roman"/>
          <w:b/>
          <w:caps/>
          <w:color w:val="000000"/>
          <w:sz w:val="20"/>
        </w:rPr>
      </w:pPr>
      <w:r>
        <w:rPr>
          <w:rFonts w:ascii="Times New Roman" w:hAnsi="Times New Roman"/>
          <w:b/>
          <w:caps/>
          <w:color w:val="000000"/>
          <w:sz w:val="20"/>
        </w:rPr>
        <w:t>Exhibit 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8"/>
        <w:gridCol w:w="5620"/>
        <w:gridCol w:w="511"/>
        <w:gridCol w:w="736"/>
        <w:gridCol w:w="631"/>
        <w:gridCol w:w="1131"/>
        <w:gridCol w:w="828"/>
      </w:tblGrid>
      <w:tr>
        <w:trPr/>
        <w:tc>
          <w:tcPr>
            <w:tcW w:w="748" w:type="dxa"/>
            <w:tcBorders/>
            <w:vAlign w:val="center"/>
          </w:tcPr>
          <w:p>
            <w:pPr>
              <w:pStyle w:val="TableContents"/>
              <w:bidi w:val="0"/>
              <w:spacing w:before="0" w:after="283"/>
              <w:jc w:val="left"/>
              <w:rPr>
                <w:sz w:val="4"/>
                <w:szCs w:val="4"/>
              </w:rPr>
            </w:pPr>
            <w:r>
              <w:rPr>
                <w:sz w:val="4"/>
                <w:szCs w:val="4"/>
              </w:rPr>
            </w:r>
          </w:p>
        </w:tc>
        <w:tc>
          <w:tcPr>
            <w:tcW w:w="562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r>
      <w:tr>
        <w:trPr/>
        <w:tc>
          <w:tcPr>
            <w:tcW w:w="748" w:type="dxa"/>
            <w:tcBorders/>
            <w:tcMar>
              <w:top w:w="0" w:type="dxa"/>
              <w:left w:w="0" w:type="dxa"/>
              <w:bottom w:w="0" w:type="dxa"/>
              <w:right w:w="0" w:type="dxa"/>
            </w:tcMar>
            <w:vAlign w:val="center"/>
          </w:tcPr>
          <w:p>
            <w:pPr>
              <w:pStyle w:val="TableContents"/>
              <w:bidi w:val="0"/>
              <w:spacing w:before="0" w:after="283"/>
              <w:jc w:val="center"/>
              <w:rPr/>
            </w:pPr>
            <w:r>
              <w:rPr/>
              <w:t> </w:t>
            </w:r>
          </w:p>
        </w:tc>
        <w:tc>
          <w:tcPr>
            <w:tcW w:w="56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3009" w:type="dxa"/>
            <w:gridSpan w:val="4"/>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82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8"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562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7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6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1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828"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Herewith</w:t>
            </w:r>
          </w:p>
        </w:tc>
      </w:tr>
      <w:tr>
        <w:trPr/>
        <w:tc>
          <w:tcPr>
            <w:tcW w:w="748"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3.1</w:t>
            </w:r>
          </w:p>
        </w:tc>
        <w:tc>
          <w:tcPr>
            <w:tcW w:w="5620" w:type="dxa"/>
            <w:tcBorders/>
            <w:tcMar>
              <w:top w:w="0" w:type="dxa"/>
              <w:left w:w="0" w:type="dxa"/>
              <w:bottom w:w="0" w:type="dxa"/>
              <w:right w:w="0" w:type="dxa"/>
            </w:tcMar>
            <w:vAlign w:val="center"/>
          </w:tcPr>
          <w:p>
            <w:pPr>
              <w:pStyle w:val="TableContents"/>
              <w:bidi w:val="0"/>
              <w:spacing w:before="0" w:after="100"/>
              <w:jc w:val="both"/>
              <w:rPr/>
            </w:pPr>
            <w:hyperlink r:id="rId2">
              <w:r>
                <w:rPr>
                  <w:rStyle w:val="InternetLink"/>
                  <w:rFonts w:ascii="Times New Roman" w:hAnsi="Times New Roman"/>
                  <w:color w:val="0000FF"/>
                  <w:sz w:val="20"/>
                  <w:u w:val="single"/>
                </w:rPr>
                <w:t>Second Amended and Restated Certificate of Incorporation of Verra Mobility Corporation.</w:t>
              </w:r>
            </w:hyperlink>
          </w:p>
        </w:tc>
        <w:tc>
          <w:tcPr>
            <w:tcW w:w="511"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8-K</w:t>
            </w:r>
          </w:p>
        </w:tc>
        <w:tc>
          <w:tcPr>
            <w:tcW w:w="736"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001-37979</w:t>
            </w:r>
          </w:p>
        </w:tc>
        <w:tc>
          <w:tcPr>
            <w:tcW w:w="631"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3.1</w:t>
            </w:r>
          </w:p>
        </w:tc>
        <w:tc>
          <w:tcPr>
            <w:tcW w:w="1131"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October 22, 2018</w:t>
            </w:r>
          </w:p>
        </w:tc>
        <w:tc>
          <w:tcPr>
            <w:tcW w:w="828" w:type="dxa"/>
            <w:tcBorders/>
            <w:tcMar>
              <w:top w:w="0" w:type="dxa"/>
              <w:left w:w="0" w:type="dxa"/>
              <w:bottom w:w="0" w:type="dxa"/>
              <w:right w:w="0" w:type="dxa"/>
            </w:tcMar>
            <w:vAlign w:val="center"/>
          </w:tcPr>
          <w:p>
            <w:pPr>
              <w:pStyle w:val="TableContents"/>
              <w:bidi w:val="0"/>
              <w:spacing w:before="0" w:after="100"/>
              <w:jc w:val="center"/>
              <w:rPr/>
            </w:pPr>
            <w:r>
              <w:rPr/>
              <w:t> </w:t>
            </w:r>
          </w:p>
        </w:tc>
      </w:tr>
      <w:tr>
        <w:trPr/>
        <w:tc>
          <w:tcPr>
            <w:tcW w:w="748"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3.2</w:t>
            </w:r>
          </w:p>
        </w:tc>
        <w:tc>
          <w:tcPr>
            <w:tcW w:w="5620" w:type="dxa"/>
            <w:tcBorders/>
            <w:tcMar>
              <w:top w:w="0" w:type="dxa"/>
              <w:left w:w="0" w:type="dxa"/>
              <w:bottom w:w="0" w:type="dxa"/>
              <w:right w:w="0" w:type="dxa"/>
            </w:tcMar>
            <w:vAlign w:val="center"/>
          </w:tcPr>
          <w:p>
            <w:pPr>
              <w:pStyle w:val="TableContents"/>
              <w:bidi w:val="0"/>
              <w:spacing w:before="0" w:after="100"/>
              <w:jc w:val="both"/>
              <w:rPr/>
            </w:pPr>
            <w:hyperlink r:id="rId3">
              <w:r>
                <w:rPr>
                  <w:rStyle w:val="InternetLink"/>
                  <w:rFonts w:ascii="Times New Roman" w:hAnsi="Times New Roman"/>
                  <w:color w:val="0000FF"/>
                  <w:sz w:val="20"/>
                  <w:u w:val="single"/>
                </w:rPr>
                <w:t>Amended and Restated Bylaws of Verra Mobility Corporation.</w:t>
              </w:r>
            </w:hyperlink>
          </w:p>
        </w:tc>
        <w:tc>
          <w:tcPr>
            <w:tcW w:w="511"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8-K</w:t>
            </w:r>
          </w:p>
        </w:tc>
        <w:tc>
          <w:tcPr>
            <w:tcW w:w="736"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001-37979</w:t>
            </w:r>
          </w:p>
        </w:tc>
        <w:tc>
          <w:tcPr>
            <w:tcW w:w="631"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3.1</w:t>
            </w:r>
          </w:p>
        </w:tc>
        <w:tc>
          <w:tcPr>
            <w:tcW w:w="1131"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November 9, 2023</w:t>
            </w:r>
          </w:p>
        </w:tc>
        <w:tc>
          <w:tcPr>
            <w:tcW w:w="828" w:type="dxa"/>
            <w:tcBorders/>
            <w:tcMar>
              <w:top w:w="0" w:type="dxa"/>
              <w:left w:w="0" w:type="dxa"/>
              <w:bottom w:w="0" w:type="dxa"/>
              <w:right w:w="0" w:type="dxa"/>
            </w:tcMar>
            <w:vAlign w:val="center"/>
          </w:tcPr>
          <w:p>
            <w:pPr>
              <w:pStyle w:val="TableContents"/>
              <w:bidi w:val="0"/>
              <w:spacing w:before="0" w:after="100"/>
              <w:jc w:val="center"/>
              <w:rPr/>
            </w:pPr>
            <w:r>
              <w:rPr/>
              <w:t> </w:t>
            </w:r>
          </w:p>
        </w:tc>
      </w:tr>
      <w:tr>
        <w:trPr/>
        <w:tc>
          <w:tcPr>
            <w:tcW w:w="748"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31.1</w:t>
            </w:r>
          </w:p>
        </w:tc>
        <w:tc>
          <w:tcPr>
            <w:tcW w:w="5620" w:type="dxa"/>
            <w:tcBorders/>
            <w:tcMar>
              <w:top w:w="0" w:type="dxa"/>
              <w:left w:w="0" w:type="dxa"/>
              <w:bottom w:w="0" w:type="dxa"/>
              <w:right w:w="0" w:type="dxa"/>
            </w:tcMar>
            <w:vAlign w:val="center"/>
          </w:tcPr>
          <w:p>
            <w:pPr>
              <w:pStyle w:val="TableContents"/>
              <w:bidi w:val="0"/>
              <w:spacing w:before="0" w:after="100"/>
              <w:jc w:val="both"/>
              <w:rPr/>
            </w:pPr>
            <w:hyperlink w:anchor="vrrm-ex31_1.htm">
              <w:r>
                <w:rPr>
                  <w:rStyle w:val="InternetLink"/>
                  <w:rFonts w:ascii="Times New Roman" w:hAnsi="Times New Roman"/>
                  <w:color w:val="0000FF"/>
                  <w:sz w:val="20"/>
                  <w:u w:val="single"/>
                </w:rPr>
                <w:t>Certification of Principal Executive Officer Pursuant to Rules 13a</w:t>
                <w:noBreakHyphen/>
                <w:t>14(a) and 15d</w:t>
                <w:noBreakHyphen/>
                <w:t>14(a) under the Securities Exchange Act of 1934, as Adopted Pursuant to Section 302 of the Sarbanes-Oxley Act of 2002.</w:t>
              </w:r>
            </w:hyperlink>
          </w:p>
        </w:tc>
        <w:tc>
          <w:tcPr>
            <w:tcW w:w="511" w:type="dxa"/>
            <w:tcBorders/>
            <w:tcMar>
              <w:top w:w="0" w:type="dxa"/>
              <w:left w:w="0" w:type="dxa"/>
              <w:bottom w:w="0" w:type="dxa"/>
              <w:right w:w="0" w:type="dxa"/>
            </w:tcMar>
            <w:vAlign w:val="center"/>
          </w:tcPr>
          <w:p>
            <w:pPr>
              <w:pStyle w:val="TableContents"/>
              <w:bidi w:val="0"/>
              <w:spacing w:before="0" w:after="100"/>
              <w:jc w:val="center"/>
              <w:rPr/>
            </w:pPr>
            <w:r>
              <w:rPr/>
              <w:t> </w:t>
            </w:r>
          </w:p>
        </w:tc>
        <w:tc>
          <w:tcPr>
            <w:tcW w:w="736" w:type="dxa"/>
            <w:tcBorders/>
            <w:tcMar>
              <w:top w:w="0" w:type="dxa"/>
              <w:left w:w="0" w:type="dxa"/>
              <w:bottom w:w="0" w:type="dxa"/>
              <w:right w:w="0" w:type="dxa"/>
            </w:tcMar>
            <w:vAlign w:val="center"/>
          </w:tcPr>
          <w:p>
            <w:pPr>
              <w:pStyle w:val="TableContents"/>
              <w:bidi w:val="0"/>
              <w:spacing w:before="0" w:after="100"/>
              <w:jc w:val="center"/>
              <w:rPr/>
            </w:pPr>
            <w:r>
              <w:rPr/>
              <w:t> </w:t>
            </w:r>
          </w:p>
        </w:tc>
        <w:tc>
          <w:tcPr>
            <w:tcW w:w="631" w:type="dxa"/>
            <w:tcBorders/>
            <w:tcMar>
              <w:top w:w="0" w:type="dxa"/>
              <w:left w:w="0" w:type="dxa"/>
              <w:bottom w:w="0" w:type="dxa"/>
              <w:right w:w="0" w:type="dxa"/>
            </w:tcMar>
            <w:vAlign w:val="center"/>
          </w:tcPr>
          <w:p>
            <w:pPr>
              <w:pStyle w:val="TableContents"/>
              <w:bidi w:val="0"/>
              <w:spacing w:before="0" w:after="100"/>
              <w:jc w:val="center"/>
              <w:rPr/>
            </w:pPr>
            <w:r>
              <w:rPr/>
              <w:t> </w:t>
            </w:r>
          </w:p>
        </w:tc>
        <w:tc>
          <w:tcPr>
            <w:tcW w:w="1131" w:type="dxa"/>
            <w:tcBorders/>
            <w:tcMar>
              <w:top w:w="0" w:type="dxa"/>
              <w:left w:w="0" w:type="dxa"/>
              <w:bottom w:w="0" w:type="dxa"/>
              <w:right w:w="0" w:type="dxa"/>
            </w:tcMar>
            <w:vAlign w:val="center"/>
          </w:tcPr>
          <w:p>
            <w:pPr>
              <w:pStyle w:val="TableContents"/>
              <w:bidi w:val="0"/>
              <w:spacing w:before="0" w:after="100"/>
              <w:jc w:val="center"/>
              <w:rPr/>
            </w:pPr>
            <w:r>
              <w:rPr/>
              <w:t> </w:t>
            </w:r>
          </w:p>
        </w:tc>
        <w:tc>
          <w:tcPr>
            <w:tcW w:w="828"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X</w:t>
            </w:r>
          </w:p>
        </w:tc>
      </w:tr>
      <w:tr>
        <w:trPr/>
        <w:tc>
          <w:tcPr>
            <w:tcW w:w="748"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31.2</w:t>
            </w:r>
          </w:p>
        </w:tc>
        <w:tc>
          <w:tcPr>
            <w:tcW w:w="5620" w:type="dxa"/>
            <w:tcBorders/>
            <w:tcMar>
              <w:top w:w="0" w:type="dxa"/>
              <w:left w:w="0" w:type="dxa"/>
              <w:bottom w:w="0" w:type="dxa"/>
              <w:right w:w="0" w:type="dxa"/>
            </w:tcMar>
            <w:vAlign w:val="center"/>
          </w:tcPr>
          <w:p>
            <w:pPr>
              <w:pStyle w:val="TableContents"/>
              <w:bidi w:val="0"/>
              <w:spacing w:before="0" w:after="100"/>
              <w:jc w:val="both"/>
              <w:rPr/>
            </w:pPr>
            <w:hyperlink w:anchor="vrrm-ex31_2.htm">
              <w:r>
                <w:rPr>
                  <w:rStyle w:val="InternetLink"/>
                  <w:rFonts w:ascii="Times New Roman" w:hAnsi="Times New Roman"/>
                  <w:color w:val="0000FF"/>
                  <w:sz w:val="20"/>
                  <w:u w:val="single"/>
                </w:rPr>
                <w:t>Certification of Principal Financial Officer Pursuant to Rules 13a</w:t>
                <w:noBreakHyphen/>
                <w:t>14(a) and 15d</w:t>
                <w:noBreakHyphen/>
                <w:t>14(a) under the Securities Exchange Act of 1934, as Adopted Pursuant to Section 302 of the Sarbanes-Oxley Act of 2002.</w:t>
              </w:r>
            </w:hyperlink>
          </w:p>
        </w:tc>
        <w:tc>
          <w:tcPr>
            <w:tcW w:w="511" w:type="dxa"/>
            <w:tcBorders/>
            <w:tcMar>
              <w:top w:w="0" w:type="dxa"/>
              <w:left w:w="0" w:type="dxa"/>
              <w:bottom w:w="0" w:type="dxa"/>
              <w:right w:w="0" w:type="dxa"/>
            </w:tcMar>
            <w:vAlign w:val="center"/>
          </w:tcPr>
          <w:p>
            <w:pPr>
              <w:pStyle w:val="TableContents"/>
              <w:bidi w:val="0"/>
              <w:spacing w:before="0" w:after="100"/>
              <w:jc w:val="center"/>
              <w:rPr/>
            </w:pPr>
            <w:r>
              <w:rPr/>
              <w:t> </w:t>
            </w:r>
          </w:p>
        </w:tc>
        <w:tc>
          <w:tcPr>
            <w:tcW w:w="736" w:type="dxa"/>
            <w:tcBorders/>
            <w:tcMar>
              <w:top w:w="0" w:type="dxa"/>
              <w:left w:w="0" w:type="dxa"/>
              <w:bottom w:w="0" w:type="dxa"/>
              <w:right w:w="0" w:type="dxa"/>
            </w:tcMar>
            <w:vAlign w:val="center"/>
          </w:tcPr>
          <w:p>
            <w:pPr>
              <w:pStyle w:val="TableContents"/>
              <w:bidi w:val="0"/>
              <w:spacing w:before="0" w:after="100"/>
              <w:jc w:val="center"/>
              <w:rPr/>
            </w:pPr>
            <w:r>
              <w:rPr/>
              <w:t> </w:t>
            </w:r>
          </w:p>
        </w:tc>
        <w:tc>
          <w:tcPr>
            <w:tcW w:w="631" w:type="dxa"/>
            <w:tcBorders/>
            <w:tcMar>
              <w:top w:w="0" w:type="dxa"/>
              <w:left w:w="0" w:type="dxa"/>
              <w:bottom w:w="0" w:type="dxa"/>
              <w:right w:w="0" w:type="dxa"/>
            </w:tcMar>
            <w:vAlign w:val="center"/>
          </w:tcPr>
          <w:p>
            <w:pPr>
              <w:pStyle w:val="TableContents"/>
              <w:bidi w:val="0"/>
              <w:spacing w:before="0" w:after="100"/>
              <w:jc w:val="center"/>
              <w:rPr/>
            </w:pPr>
            <w:r>
              <w:rPr/>
              <w:t> </w:t>
            </w:r>
          </w:p>
        </w:tc>
        <w:tc>
          <w:tcPr>
            <w:tcW w:w="1131" w:type="dxa"/>
            <w:tcBorders/>
            <w:tcMar>
              <w:top w:w="0" w:type="dxa"/>
              <w:left w:w="0" w:type="dxa"/>
              <w:bottom w:w="0" w:type="dxa"/>
              <w:right w:w="0" w:type="dxa"/>
            </w:tcMar>
            <w:vAlign w:val="center"/>
          </w:tcPr>
          <w:p>
            <w:pPr>
              <w:pStyle w:val="TableContents"/>
              <w:bidi w:val="0"/>
              <w:spacing w:before="0" w:after="100"/>
              <w:jc w:val="center"/>
              <w:rPr/>
            </w:pPr>
            <w:r>
              <w:rPr/>
              <w:t> </w:t>
            </w:r>
          </w:p>
        </w:tc>
        <w:tc>
          <w:tcPr>
            <w:tcW w:w="828"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X</w:t>
            </w:r>
          </w:p>
        </w:tc>
      </w:tr>
      <w:tr>
        <w:trPr/>
        <w:tc>
          <w:tcPr>
            <w:tcW w:w="748"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32.1*</w:t>
            </w:r>
          </w:p>
        </w:tc>
        <w:tc>
          <w:tcPr>
            <w:tcW w:w="5620" w:type="dxa"/>
            <w:tcBorders/>
            <w:tcMar>
              <w:top w:w="0" w:type="dxa"/>
              <w:left w:w="0" w:type="dxa"/>
              <w:bottom w:w="0" w:type="dxa"/>
              <w:right w:w="0" w:type="dxa"/>
            </w:tcMar>
            <w:vAlign w:val="center"/>
          </w:tcPr>
          <w:p>
            <w:pPr>
              <w:pStyle w:val="TableContents"/>
              <w:bidi w:val="0"/>
              <w:spacing w:before="0" w:after="100"/>
              <w:jc w:val="both"/>
              <w:rPr/>
            </w:pPr>
            <w:hyperlink w:anchor="vrrm-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511" w:type="dxa"/>
            <w:tcBorders/>
            <w:tcMar>
              <w:top w:w="0" w:type="dxa"/>
              <w:left w:w="0" w:type="dxa"/>
              <w:bottom w:w="0" w:type="dxa"/>
              <w:right w:w="0" w:type="dxa"/>
            </w:tcMar>
            <w:vAlign w:val="center"/>
          </w:tcPr>
          <w:p>
            <w:pPr>
              <w:pStyle w:val="TableContents"/>
              <w:bidi w:val="0"/>
              <w:spacing w:before="0" w:after="100"/>
              <w:jc w:val="center"/>
              <w:rPr/>
            </w:pPr>
            <w:r>
              <w:rPr/>
              <w:t> </w:t>
            </w:r>
          </w:p>
        </w:tc>
        <w:tc>
          <w:tcPr>
            <w:tcW w:w="736" w:type="dxa"/>
            <w:tcBorders/>
            <w:tcMar>
              <w:top w:w="0" w:type="dxa"/>
              <w:left w:w="0" w:type="dxa"/>
              <w:bottom w:w="0" w:type="dxa"/>
              <w:right w:w="0" w:type="dxa"/>
            </w:tcMar>
            <w:vAlign w:val="center"/>
          </w:tcPr>
          <w:p>
            <w:pPr>
              <w:pStyle w:val="TableContents"/>
              <w:bidi w:val="0"/>
              <w:spacing w:before="0" w:after="100"/>
              <w:jc w:val="center"/>
              <w:rPr/>
            </w:pPr>
            <w:r>
              <w:rPr/>
              <w:t> </w:t>
            </w:r>
          </w:p>
        </w:tc>
        <w:tc>
          <w:tcPr>
            <w:tcW w:w="631" w:type="dxa"/>
            <w:tcBorders/>
            <w:tcMar>
              <w:top w:w="0" w:type="dxa"/>
              <w:left w:w="0" w:type="dxa"/>
              <w:bottom w:w="0" w:type="dxa"/>
              <w:right w:w="0" w:type="dxa"/>
            </w:tcMar>
            <w:vAlign w:val="center"/>
          </w:tcPr>
          <w:p>
            <w:pPr>
              <w:pStyle w:val="TableContents"/>
              <w:bidi w:val="0"/>
              <w:spacing w:before="0" w:after="100"/>
              <w:jc w:val="center"/>
              <w:rPr/>
            </w:pPr>
            <w:r>
              <w:rPr/>
              <w:t> </w:t>
            </w:r>
          </w:p>
        </w:tc>
        <w:tc>
          <w:tcPr>
            <w:tcW w:w="1131" w:type="dxa"/>
            <w:tcBorders/>
            <w:tcMar>
              <w:top w:w="0" w:type="dxa"/>
              <w:left w:w="0" w:type="dxa"/>
              <w:bottom w:w="0" w:type="dxa"/>
              <w:right w:w="0" w:type="dxa"/>
            </w:tcMar>
            <w:vAlign w:val="center"/>
          </w:tcPr>
          <w:p>
            <w:pPr>
              <w:pStyle w:val="TableContents"/>
              <w:bidi w:val="0"/>
              <w:spacing w:before="0" w:after="100"/>
              <w:jc w:val="center"/>
              <w:rPr/>
            </w:pPr>
            <w:r>
              <w:rPr/>
              <w:t> </w:t>
            </w:r>
          </w:p>
        </w:tc>
        <w:tc>
          <w:tcPr>
            <w:tcW w:w="828"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X</w:t>
            </w:r>
          </w:p>
        </w:tc>
      </w:tr>
      <w:tr>
        <w:trPr/>
        <w:tc>
          <w:tcPr>
            <w:tcW w:w="748"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32.2*</w:t>
            </w:r>
          </w:p>
        </w:tc>
        <w:tc>
          <w:tcPr>
            <w:tcW w:w="5620" w:type="dxa"/>
            <w:tcBorders/>
            <w:tcMar>
              <w:top w:w="0" w:type="dxa"/>
              <w:left w:w="0" w:type="dxa"/>
              <w:bottom w:w="0" w:type="dxa"/>
              <w:right w:w="0" w:type="dxa"/>
            </w:tcMar>
            <w:vAlign w:val="center"/>
          </w:tcPr>
          <w:p>
            <w:pPr>
              <w:pStyle w:val="TableContents"/>
              <w:bidi w:val="0"/>
              <w:spacing w:before="0" w:after="100"/>
              <w:jc w:val="both"/>
              <w:rPr/>
            </w:pPr>
            <w:hyperlink w:anchor="vrrm-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511" w:type="dxa"/>
            <w:tcBorders/>
            <w:tcMar>
              <w:top w:w="0" w:type="dxa"/>
              <w:left w:w="0" w:type="dxa"/>
              <w:bottom w:w="0" w:type="dxa"/>
              <w:right w:w="0" w:type="dxa"/>
            </w:tcMar>
            <w:vAlign w:val="center"/>
          </w:tcPr>
          <w:p>
            <w:pPr>
              <w:pStyle w:val="TableContents"/>
              <w:bidi w:val="0"/>
              <w:spacing w:before="0" w:after="100"/>
              <w:jc w:val="center"/>
              <w:rPr/>
            </w:pPr>
            <w:r>
              <w:rPr/>
              <w:t> </w:t>
            </w:r>
          </w:p>
        </w:tc>
        <w:tc>
          <w:tcPr>
            <w:tcW w:w="736" w:type="dxa"/>
            <w:tcBorders/>
            <w:tcMar>
              <w:top w:w="0" w:type="dxa"/>
              <w:left w:w="0" w:type="dxa"/>
              <w:bottom w:w="0" w:type="dxa"/>
              <w:right w:w="0" w:type="dxa"/>
            </w:tcMar>
            <w:vAlign w:val="center"/>
          </w:tcPr>
          <w:p>
            <w:pPr>
              <w:pStyle w:val="TableContents"/>
              <w:bidi w:val="0"/>
              <w:spacing w:before="0" w:after="100"/>
              <w:jc w:val="center"/>
              <w:rPr/>
            </w:pPr>
            <w:r>
              <w:rPr/>
              <w:t> </w:t>
            </w:r>
          </w:p>
        </w:tc>
        <w:tc>
          <w:tcPr>
            <w:tcW w:w="631" w:type="dxa"/>
            <w:tcBorders/>
            <w:tcMar>
              <w:top w:w="0" w:type="dxa"/>
              <w:left w:w="0" w:type="dxa"/>
              <w:bottom w:w="0" w:type="dxa"/>
              <w:right w:w="0" w:type="dxa"/>
            </w:tcMar>
            <w:vAlign w:val="center"/>
          </w:tcPr>
          <w:p>
            <w:pPr>
              <w:pStyle w:val="TableContents"/>
              <w:bidi w:val="0"/>
              <w:spacing w:before="0" w:after="100"/>
              <w:jc w:val="center"/>
              <w:rPr/>
            </w:pPr>
            <w:r>
              <w:rPr/>
              <w:t> </w:t>
            </w:r>
          </w:p>
        </w:tc>
        <w:tc>
          <w:tcPr>
            <w:tcW w:w="1131" w:type="dxa"/>
            <w:tcBorders/>
            <w:tcMar>
              <w:top w:w="0" w:type="dxa"/>
              <w:left w:w="0" w:type="dxa"/>
              <w:bottom w:w="0" w:type="dxa"/>
              <w:right w:w="0" w:type="dxa"/>
            </w:tcMar>
            <w:vAlign w:val="center"/>
          </w:tcPr>
          <w:p>
            <w:pPr>
              <w:pStyle w:val="TableContents"/>
              <w:bidi w:val="0"/>
              <w:spacing w:before="0" w:after="100"/>
              <w:jc w:val="center"/>
              <w:rPr/>
            </w:pPr>
            <w:r>
              <w:rPr/>
              <w:t> </w:t>
            </w:r>
          </w:p>
        </w:tc>
        <w:tc>
          <w:tcPr>
            <w:tcW w:w="828"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X</w:t>
            </w:r>
          </w:p>
        </w:tc>
      </w:tr>
      <w:tr>
        <w:trPr/>
        <w:tc>
          <w:tcPr>
            <w:tcW w:w="748"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101.INS</w:t>
            </w:r>
          </w:p>
        </w:tc>
        <w:tc>
          <w:tcPr>
            <w:tcW w:w="5620"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00"/>
                <w:sz w:val="20"/>
              </w:rPr>
            </w:pPr>
            <w:r>
              <w:rPr>
                <w:rFonts w:ascii="Times New Roman" w:hAnsi="Times New Roman"/>
                <w:color w:val="000000"/>
                <w:sz w:val="20"/>
              </w:rPr>
              <w:t>Inline XBRL Instance Document (the instance does not appear in the Interactive Data File because its XBRL tags are embedded within the Inline XBRL document).</w:t>
            </w:r>
          </w:p>
        </w:tc>
        <w:tc>
          <w:tcPr>
            <w:tcW w:w="511" w:type="dxa"/>
            <w:tcBorders/>
            <w:tcMar>
              <w:top w:w="0" w:type="dxa"/>
              <w:left w:w="0" w:type="dxa"/>
              <w:bottom w:w="0" w:type="dxa"/>
              <w:right w:w="0" w:type="dxa"/>
            </w:tcMar>
            <w:vAlign w:val="center"/>
          </w:tcPr>
          <w:p>
            <w:pPr>
              <w:pStyle w:val="TableContents"/>
              <w:bidi w:val="0"/>
              <w:spacing w:before="0" w:after="100"/>
              <w:jc w:val="center"/>
              <w:rPr/>
            </w:pPr>
            <w:r>
              <w:rPr/>
              <w:t> </w:t>
            </w:r>
          </w:p>
        </w:tc>
        <w:tc>
          <w:tcPr>
            <w:tcW w:w="736" w:type="dxa"/>
            <w:tcBorders/>
            <w:tcMar>
              <w:top w:w="0" w:type="dxa"/>
              <w:left w:w="0" w:type="dxa"/>
              <w:bottom w:w="0" w:type="dxa"/>
              <w:right w:w="0" w:type="dxa"/>
            </w:tcMar>
            <w:vAlign w:val="center"/>
          </w:tcPr>
          <w:p>
            <w:pPr>
              <w:pStyle w:val="TableContents"/>
              <w:bidi w:val="0"/>
              <w:spacing w:before="0" w:after="100"/>
              <w:jc w:val="center"/>
              <w:rPr/>
            </w:pPr>
            <w:r>
              <w:rPr/>
              <w:t> </w:t>
            </w:r>
          </w:p>
        </w:tc>
        <w:tc>
          <w:tcPr>
            <w:tcW w:w="631" w:type="dxa"/>
            <w:tcBorders/>
            <w:tcMar>
              <w:top w:w="0" w:type="dxa"/>
              <w:left w:w="0" w:type="dxa"/>
              <w:bottom w:w="0" w:type="dxa"/>
              <w:right w:w="0" w:type="dxa"/>
            </w:tcMar>
            <w:vAlign w:val="center"/>
          </w:tcPr>
          <w:p>
            <w:pPr>
              <w:pStyle w:val="TableContents"/>
              <w:bidi w:val="0"/>
              <w:spacing w:before="0" w:after="100"/>
              <w:jc w:val="center"/>
              <w:rPr/>
            </w:pPr>
            <w:r>
              <w:rPr/>
              <w:t> </w:t>
            </w:r>
          </w:p>
        </w:tc>
        <w:tc>
          <w:tcPr>
            <w:tcW w:w="1131" w:type="dxa"/>
            <w:tcBorders/>
            <w:tcMar>
              <w:top w:w="0" w:type="dxa"/>
              <w:left w:w="0" w:type="dxa"/>
              <w:bottom w:w="0" w:type="dxa"/>
              <w:right w:w="0" w:type="dxa"/>
            </w:tcMar>
            <w:vAlign w:val="center"/>
          </w:tcPr>
          <w:p>
            <w:pPr>
              <w:pStyle w:val="TableContents"/>
              <w:bidi w:val="0"/>
              <w:spacing w:before="0" w:after="100"/>
              <w:jc w:val="center"/>
              <w:rPr/>
            </w:pPr>
            <w:r>
              <w:rPr/>
              <w:t> </w:t>
            </w:r>
          </w:p>
        </w:tc>
        <w:tc>
          <w:tcPr>
            <w:tcW w:w="828"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X</w:t>
            </w:r>
          </w:p>
        </w:tc>
      </w:tr>
      <w:tr>
        <w:trPr/>
        <w:tc>
          <w:tcPr>
            <w:tcW w:w="748"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101.SCH</w:t>
            </w:r>
          </w:p>
        </w:tc>
        <w:tc>
          <w:tcPr>
            <w:tcW w:w="56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511" w:type="dxa"/>
            <w:tcBorders/>
            <w:tcMar>
              <w:top w:w="0" w:type="dxa"/>
              <w:left w:w="0" w:type="dxa"/>
              <w:bottom w:w="0" w:type="dxa"/>
              <w:right w:w="0" w:type="dxa"/>
            </w:tcMar>
            <w:vAlign w:val="center"/>
          </w:tcPr>
          <w:p>
            <w:pPr>
              <w:pStyle w:val="TableContents"/>
              <w:bidi w:val="0"/>
              <w:spacing w:before="0" w:after="100"/>
              <w:jc w:val="center"/>
              <w:rPr/>
            </w:pPr>
            <w:r>
              <w:rPr/>
              <w:t> </w:t>
            </w:r>
          </w:p>
        </w:tc>
        <w:tc>
          <w:tcPr>
            <w:tcW w:w="736" w:type="dxa"/>
            <w:tcBorders/>
            <w:tcMar>
              <w:top w:w="0" w:type="dxa"/>
              <w:left w:w="0" w:type="dxa"/>
              <w:bottom w:w="0" w:type="dxa"/>
              <w:right w:w="0" w:type="dxa"/>
            </w:tcMar>
            <w:vAlign w:val="center"/>
          </w:tcPr>
          <w:p>
            <w:pPr>
              <w:pStyle w:val="TableContents"/>
              <w:bidi w:val="0"/>
              <w:spacing w:before="0" w:after="100"/>
              <w:jc w:val="center"/>
              <w:rPr/>
            </w:pPr>
            <w:r>
              <w:rPr/>
              <w:t> </w:t>
            </w:r>
          </w:p>
        </w:tc>
        <w:tc>
          <w:tcPr>
            <w:tcW w:w="631" w:type="dxa"/>
            <w:tcBorders/>
            <w:tcMar>
              <w:top w:w="0" w:type="dxa"/>
              <w:left w:w="0" w:type="dxa"/>
              <w:bottom w:w="0" w:type="dxa"/>
              <w:right w:w="0" w:type="dxa"/>
            </w:tcMar>
            <w:vAlign w:val="center"/>
          </w:tcPr>
          <w:p>
            <w:pPr>
              <w:pStyle w:val="TableContents"/>
              <w:bidi w:val="0"/>
              <w:spacing w:before="0" w:after="100"/>
              <w:jc w:val="center"/>
              <w:rPr/>
            </w:pPr>
            <w:r>
              <w:rPr/>
              <w:t> </w:t>
            </w:r>
          </w:p>
        </w:tc>
        <w:tc>
          <w:tcPr>
            <w:tcW w:w="1131" w:type="dxa"/>
            <w:tcBorders/>
            <w:tcMar>
              <w:top w:w="0" w:type="dxa"/>
              <w:left w:w="0" w:type="dxa"/>
              <w:bottom w:w="0" w:type="dxa"/>
              <w:right w:w="0" w:type="dxa"/>
            </w:tcMar>
            <w:vAlign w:val="center"/>
          </w:tcPr>
          <w:p>
            <w:pPr>
              <w:pStyle w:val="TableContents"/>
              <w:bidi w:val="0"/>
              <w:spacing w:before="0" w:after="100"/>
              <w:jc w:val="center"/>
              <w:rPr/>
            </w:pPr>
            <w:r>
              <w:rPr/>
              <w:t> </w:t>
            </w:r>
          </w:p>
        </w:tc>
        <w:tc>
          <w:tcPr>
            <w:tcW w:w="828"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X</w:t>
            </w:r>
          </w:p>
        </w:tc>
      </w:tr>
      <w:tr>
        <w:trPr/>
        <w:tc>
          <w:tcPr>
            <w:tcW w:w="748"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104</w:t>
            </w:r>
          </w:p>
        </w:tc>
        <w:tc>
          <w:tcPr>
            <w:tcW w:w="5620"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511" w:type="dxa"/>
            <w:tcBorders/>
            <w:tcMar>
              <w:top w:w="0" w:type="dxa"/>
              <w:left w:w="0" w:type="dxa"/>
              <w:bottom w:w="0" w:type="dxa"/>
              <w:right w:w="0" w:type="dxa"/>
            </w:tcMar>
            <w:vAlign w:val="center"/>
          </w:tcPr>
          <w:p>
            <w:pPr>
              <w:pStyle w:val="TableContents"/>
              <w:bidi w:val="0"/>
              <w:spacing w:before="0" w:after="100"/>
              <w:jc w:val="center"/>
              <w:rPr/>
            </w:pPr>
            <w:r>
              <w:rPr/>
              <w:t> </w:t>
            </w:r>
          </w:p>
        </w:tc>
        <w:tc>
          <w:tcPr>
            <w:tcW w:w="736" w:type="dxa"/>
            <w:tcBorders/>
            <w:tcMar>
              <w:top w:w="0" w:type="dxa"/>
              <w:left w:w="0" w:type="dxa"/>
              <w:bottom w:w="0" w:type="dxa"/>
              <w:right w:w="0" w:type="dxa"/>
            </w:tcMar>
            <w:vAlign w:val="center"/>
          </w:tcPr>
          <w:p>
            <w:pPr>
              <w:pStyle w:val="TableContents"/>
              <w:bidi w:val="0"/>
              <w:spacing w:before="0" w:after="100"/>
              <w:jc w:val="center"/>
              <w:rPr/>
            </w:pPr>
            <w:r>
              <w:rPr/>
              <w:t> </w:t>
            </w:r>
          </w:p>
        </w:tc>
        <w:tc>
          <w:tcPr>
            <w:tcW w:w="631" w:type="dxa"/>
            <w:tcBorders/>
            <w:tcMar>
              <w:top w:w="0" w:type="dxa"/>
              <w:left w:w="0" w:type="dxa"/>
              <w:bottom w:w="0" w:type="dxa"/>
              <w:right w:w="0" w:type="dxa"/>
            </w:tcMar>
            <w:vAlign w:val="center"/>
          </w:tcPr>
          <w:p>
            <w:pPr>
              <w:pStyle w:val="TableContents"/>
              <w:bidi w:val="0"/>
              <w:spacing w:before="0" w:after="100"/>
              <w:jc w:val="center"/>
              <w:rPr/>
            </w:pPr>
            <w:r>
              <w:rPr/>
              <w:t> </w:t>
            </w:r>
          </w:p>
        </w:tc>
        <w:tc>
          <w:tcPr>
            <w:tcW w:w="1131" w:type="dxa"/>
            <w:tcBorders/>
            <w:tcMar>
              <w:top w:w="0" w:type="dxa"/>
              <w:left w:w="0" w:type="dxa"/>
              <w:bottom w:w="0" w:type="dxa"/>
              <w:right w:w="0" w:type="dxa"/>
            </w:tcMar>
            <w:vAlign w:val="center"/>
          </w:tcPr>
          <w:p>
            <w:pPr>
              <w:pStyle w:val="TableContents"/>
              <w:bidi w:val="0"/>
              <w:spacing w:before="0" w:after="100"/>
              <w:jc w:val="center"/>
              <w:rPr/>
            </w:pPr>
            <w:r>
              <w:rPr/>
              <w:t> </w:t>
            </w:r>
          </w:p>
        </w:tc>
        <w:tc>
          <w:tcPr>
            <w:tcW w:w="828"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X</w:t>
            </w:r>
          </w:p>
        </w:tc>
      </w:tr>
      <w:tr>
        <w:trPr/>
        <w:tc>
          <w:tcPr>
            <w:tcW w:w="10205" w:type="dxa"/>
            <w:gridSpan w:val="7"/>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0"/>
              </w:rPr>
            </w:pPr>
            <w:r>
              <w:rPr>
                <w:rFonts w:ascii="Times New Roman" w:hAnsi="Times New Roman"/>
                <w:color w:val="000000"/>
                <w:sz w:val="20"/>
              </w:rPr>
              <w:t>* This certification is deemed not filed for purposes of Section 18 of the Exchange Act or otherwise subject to the liability of that section, nor shall it be deemed incorporated by reference into any filing under the Securities Act or the Exchange Act.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aps/>
          <w:color w:val="000000"/>
          <w:sz w:val="20"/>
        </w:rPr>
      </w:pPr>
      <w:bookmarkStart w:id="20" w:name="signatures"/>
      <w:bookmarkEnd w:id="20"/>
      <w:r>
        <w:rPr>
          <w:rFonts w:ascii="Times New Roman" w:hAnsi="Times New Roman"/>
          <w:caps/>
          <w:color w:val="000000"/>
          <w:sz w:val="20"/>
        </w:rPr>
        <w:t>Signatures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both"/>
        <w:rPr/>
      </w:pPr>
      <w:r>
        <w:rPr/>
        <w:t> </w:t>
      </w:r>
    </w:p>
    <w:tbl>
      <w:tblPr>
        <w:tblW w:w="4846" w:type="dxa"/>
        <w:jc w:val="left"/>
        <w:tblInd w:w="0" w:type="dxa"/>
        <w:tblLayout w:type="fixed"/>
        <w:tblCellMar>
          <w:top w:w="28" w:type="dxa"/>
          <w:left w:w="28" w:type="dxa"/>
          <w:bottom w:w="28" w:type="dxa"/>
          <w:right w:w="28" w:type="dxa"/>
        </w:tblCellMar>
      </w:tblPr>
      <w:tblGrid>
        <w:gridCol w:w="1636"/>
        <w:gridCol w:w="461"/>
        <w:gridCol w:w="2749"/>
      </w:tblGrid>
      <w:tr>
        <w:trPr/>
        <w:tc>
          <w:tcPr>
            <w:tcW w:w="163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749"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VERRA MOBILITY CORPORATION</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6, 2026</w:t>
            </w:r>
          </w:p>
        </w:tc>
        <w:tc>
          <w:tcPr>
            <w:tcW w:w="4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749"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/s/ Craig Conti</w:t>
            </w:r>
          </w:p>
        </w:tc>
      </w:tr>
      <w:tr>
        <w:trPr/>
        <w:tc>
          <w:tcPr>
            <w:tcW w:w="1636"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9" w:type="dxa"/>
            <w:tcBorders>
              <w:top w:val="single" w:sz="8" w:space="0" w:color="000000"/>
            </w:tcBorders>
            <w:tcMar>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Craig Conti</w:t>
            </w:r>
          </w:p>
        </w:tc>
      </w:tr>
      <w:tr>
        <w:trPr/>
        <w:tc>
          <w:tcPr>
            <w:tcW w:w="1636"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tcMar>
              <w:top w:w="0" w:type="dxa"/>
              <w:left w:w="0" w:type="dxa"/>
              <w:bottom w:w="0" w:type="dxa"/>
              <w:right w:w="0" w:type="dxa"/>
            </w:tcMar>
            <w:vAlign w:val="center"/>
          </w:tcPr>
          <w:p>
            <w:pPr>
              <w:pStyle w:val="TableContents"/>
              <w:bidi w:val="0"/>
              <w:spacing w:before="0" w:after="283"/>
              <w:jc w:val="left"/>
              <w:rPr/>
            </w:pPr>
            <w:r>
              <w:rPr/>
              <w:t> </w:t>
            </w:r>
          </w:p>
        </w:tc>
        <w:tc>
          <w:tcPr>
            <w:tcW w:w="2749"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bookmarkStart w:id="21" w:name="vrrm-ex31_1.htm"/>
      <w:bookmarkStart w:id="22" w:name="ksvrrmex31_1"/>
      <w:bookmarkEnd w:id="21"/>
      <w:bookmarkEnd w:id="2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Certification of Principal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Exchange Act Rules 13a-14(a) and 15d-14(a)</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 David Roberts, certify that: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 have reviewed this quarterly report on Form 10-Q of Verra Mobility Corporation;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504" w:type="dxa"/>
        <w:jc w:val="left"/>
        <w:tblInd w:w="0" w:type="dxa"/>
        <w:tblLayout w:type="fixed"/>
        <w:tblCellMar>
          <w:top w:w="28" w:type="dxa"/>
          <w:left w:w="28" w:type="dxa"/>
          <w:bottom w:w="28" w:type="dxa"/>
          <w:right w:w="28" w:type="dxa"/>
        </w:tblCellMar>
      </w:tblPr>
      <w:tblGrid>
        <w:gridCol w:w="1741"/>
        <w:gridCol w:w="406"/>
        <w:gridCol w:w="146"/>
        <w:gridCol w:w="3211"/>
      </w:tblGrid>
      <w:tr>
        <w:trPr/>
        <w:tc>
          <w:tcPr>
            <w:tcW w:w="17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May 6,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Roberts</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Roberts</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left"/>
        <w:rPr/>
      </w:pPr>
      <w:r>
        <w:rPr/>
        <w:t> </w:t>
      </w:r>
    </w:p>
    <w:p>
      <w:pPr>
        <w:pStyle w:val="TextBody"/>
        <w:bidi w:val="0"/>
        <w:spacing w:before="12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vrrm-ex31_2.htm"/>
      <w:bookmarkStart w:id="24" w:name="ksvrrmex31_2"/>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Certification of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Exchange Act Rules 13a-14(a) and 15d-14(a)</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 Craig Conti, certify that: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 have reviewed this quarterly report on Form 10-Q of Verra Mobility Corporation;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304" w:type="dxa"/>
        <w:jc w:val="left"/>
        <w:tblInd w:w="0" w:type="dxa"/>
        <w:tblLayout w:type="fixed"/>
        <w:tblCellMar>
          <w:top w:w="28" w:type="dxa"/>
          <w:left w:w="28" w:type="dxa"/>
          <w:bottom w:w="28" w:type="dxa"/>
          <w:right w:w="28" w:type="dxa"/>
        </w:tblCellMar>
      </w:tblPr>
      <w:tblGrid>
        <w:gridCol w:w="1741"/>
        <w:gridCol w:w="406"/>
        <w:gridCol w:w="146"/>
        <w:gridCol w:w="2011"/>
      </w:tblGrid>
      <w:tr>
        <w:trPr/>
        <w:tc>
          <w:tcPr>
            <w:tcW w:w="17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May 6,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Craig Conti</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Craig Conti</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vrrm-ex32_1.htm"/>
      <w:bookmarkStart w:id="26" w:name="ksvrrmex32_1"/>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VERRA MOBILITY CORPORATION</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CHIEF EXECUTIVE OFFICER 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906 OF THE SARBANES-OXLEY ACT OF 2002</w:t>
      </w:r>
    </w:p>
    <w:p>
      <w:pPr>
        <w:pStyle w:val="TextBody"/>
        <w:bidi w:val="0"/>
        <w:spacing w:before="200" w:after="283"/>
        <w:jc w:val="both"/>
        <w:rPr>
          <w:rFonts w:ascii="Times New Roman" w:hAnsi="Times New Roman"/>
          <w:sz w:val="20"/>
        </w:rPr>
      </w:pPr>
      <w:r>
        <w:rPr>
          <w:rFonts w:ascii="Times New Roman" w:hAnsi="Times New Roman"/>
          <w:color w:val="000000"/>
          <w:sz w:val="20"/>
        </w:rPr>
        <w:t>In connection with the quarterly report on Form 10-Q of Verra Mobility Corporation (the “</w:t>
      </w:r>
      <w:r>
        <w:rPr>
          <w:rFonts w:ascii="Times New Roman" w:hAnsi="Times New Roman"/>
          <w:b/>
          <w:i/>
          <w:color w:val="000000"/>
          <w:sz w:val="20"/>
        </w:rPr>
        <w:t>Company</w:t>
      </w:r>
      <w:r>
        <w:rPr>
          <w:rFonts w:ascii="Times New Roman" w:hAnsi="Times New Roman"/>
          <w:color w:val="000000"/>
          <w:sz w:val="20"/>
        </w:rPr>
        <w:t>”) for the period ended March 31, 2026 as filed with the Securities and Exchange Commission on the date hereof (the “</w:t>
      </w:r>
      <w:r>
        <w:rPr>
          <w:rFonts w:ascii="Times New Roman" w:hAnsi="Times New Roman"/>
          <w:b/>
          <w:i/>
          <w:color w:val="000000"/>
          <w:sz w:val="20"/>
        </w:rPr>
        <w:t>Report</w:t>
      </w:r>
      <w:r>
        <w:rPr>
          <w:rFonts w:ascii="Times New Roman" w:hAnsi="Times New Roman"/>
          <w:color w:val="000000"/>
          <w:sz w:val="20"/>
        </w:rPr>
        <w:t>”), I, David Roberts, President and Chief Executive Officer of the Company, hereby certify, pursuant to 18 U.S.C. Section 1350, as adopted pursuant to Section 906 of the Sarbanes-Oxley Act of 2002, that to the best of my knowledge: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p>
      <w:pPr>
        <w:pStyle w:val="TextBody"/>
        <w:bidi w:val="0"/>
        <w:jc w:val="left"/>
        <w:rPr/>
      </w:pPr>
      <w:r>
        <w:rPr/>
        <w:t> </w:t>
      </w:r>
    </w:p>
    <w:tbl>
      <w:tblPr>
        <w:tblW w:w="5504" w:type="dxa"/>
        <w:jc w:val="left"/>
        <w:tblInd w:w="0" w:type="dxa"/>
        <w:tblLayout w:type="fixed"/>
        <w:tblCellMar>
          <w:top w:w="28" w:type="dxa"/>
          <w:left w:w="28" w:type="dxa"/>
          <w:bottom w:w="28" w:type="dxa"/>
          <w:right w:w="28" w:type="dxa"/>
        </w:tblCellMar>
      </w:tblPr>
      <w:tblGrid>
        <w:gridCol w:w="1741"/>
        <w:gridCol w:w="406"/>
        <w:gridCol w:w="146"/>
        <w:gridCol w:w="3211"/>
      </w:tblGrid>
      <w:tr>
        <w:trPr/>
        <w:tc>
          <w:tcPr>
            <w:tcW w:w="17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May 6,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Roberts</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Roberts</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vrrm-ex32_2.htm"/>
      <w:bookmarkStart w:id="28" w:name="ksvrrmex32_2"/>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VERRA MOBILITY CORPORATION</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CHIEF FINANCIAL OFFICER 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906 OF THE SARBANES-OXLEY ACT OF 2002</w:t>
      </w:r>
    </w:p>
    <w:p>
      <w:pPr>
        <w:pStyle w:val="TextBody"/>
        <w:bidi w:val="0"/>
        <w:spacing w:before="200" w:after="283"/>
        <w:jc w:val="both"/>
        <w:rPr>
          <w:rFonts w:ascii="Times New Roman" w:hAnsi="Times New Roman"/>
          <w:sz w:val="20"/>
        </w:rPr>
      </w:pPr>
      <w:r>
        <w:rPr>
          <w:rFonts w:ascii="Times New Roman" w:hAnsi="Times New Roman"/>
          <w:color w:val="000000"/>
          <w:sz w:val="20"/>
        </w:rPr>
        <w:t>In connection with the quarterly report on Form 10-Q of Verra Mobility Corporation (the “</w:t>
      </w:r>
      <w:r>
        <w:rPr>
          <w:rFonts w:ascii="Times New Roman" w:hAnsi="Times New Roman"/>
          <w:b/>
          <w:i/>
          <w:color w:val="000000"/>
          <w:sz w:val="20"/>
        </w:rPr>
        <w:t>Company</w:t>
      </w:r>
      <w:r>
        <w:rPr>
          <w:rFonts w:ascii="Times New Roman" w:hAnsi="Times New Roman"/>
          <w:color w:val="000000"/>
          <w:sz w:val="20"/>
        </w:rPr>
        <w:t>”) for the period ended March 31, 2026 as filed with the Securities and Exchange Commission on the date hereof (the “</w:t>
      </w:r>
      <w:r>
        <w:rPr>
          <w:rFonts w:ascii="Times New Roman" w:hAnsi="Times New Roman"/>
          <w:b/>
          <w:i/>
          <w:color w:val="000000"/>
          <w:sz w:val="20"/>
        </w:rPr>
        <w:t>Report</w:t>
      </w:r>
      <w:r>
        <w:rPr>
          <w:rFonts w:ascii="Times New Roman" w:hAnsi="Times New Roman"/>
          <w:color w:val="000000"/>
          <w:sz w:val="20"/>
        </w:rPr>
        <w:t>”), I, Craig Conti, Chief Financial Officer of the Company, hereby certify, pursuant to 18 U.S.C. Section 1350, as adopted pursuant to Section 906 of the Sarbanes-Oxley Act of 2002, that to the best of my knowledge: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p>
      <w:pPr>
        <w:pStyle w:val="TextBody"/>
        <w:bidi w:val="0"/>
        <w:jc w:val="left"/>
        <w:rPr/>
      </w:pPr>
      <w:r>
        <w:rPr/>
        <w:t> </w:t>
      </w:r>
    </w:p>
    <w:tbl>
      <w:tblPr>
        <w:tblW w:w="4304" w:type="dxa"/>
        <w:jc w:val="left"/>
        <w:tblInd w:w="0" w:type="dxa"/>
        <w:tblLayout w:type="fixed"/>
        <w:tblCellMar>
          <w:top w:w="28" w:type="dxa"/>
          <w:left w:w="28" w:type="dxa"/>
          <w:bottom w:w="28" w:type="dxa"/>
          <w:right w:w="28" w:type="dxa"/>
        </w:tblCellMar>
      </w:tblPr>
      <w:tblGrid>
        <w:gridCol w:w="1741"/>
        <w:gridCol w:w="406"/>
        <w:gridCol w:w="146"/>
        <w:gridCol w:w="2011"/>
      </w:tblGrid>
      <w:tr>
        <w:trPr/>
        <w:tc>
          <w:tcPr>
            <w:tcW w:w="17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May 6,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Craig Conti</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Craig Conti</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82745/000156459018024644/vrrm-ex31_941.htm" TargetMode="External"/><Relationship Id="rId3" Type="http://schemas.openxmlformats.org/officeDocument/2006/relationships/hyperlink" Target="https://www.sec.gov/ix?doc=/Archives/edgar/data/1682745/000095017023062035/vrrm-20231108.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18745</Words>
  <Characters>103957</Characters>
  <CharactersWithSpaces>123545</CharactersWithSpaces>
  <Paragraphs>5192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