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69215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22"/>
          <w:szCs w:val="22"/>
          <w:b w:val="1"/>
          <w:bCs w:val="1"/>
          <w:u w:val="single" w:color="auto"/>
          <w:color w:val="auto"/>
        </w:rPr>
        <w:t>ORM 10-</w:t>
      </w:r>
      <w:r>
        <w:rPr>
          <w:rFonts w:ascii="Arial" w:cs="Arial" w:eastAsia="Arial" w:hAnsi="Arial"/>
          <w:sz w:val="22"/>
          <w:szCs w:val="22"/>
          <w:b w:val="1"/>
          <w:bCs w:val="1"/>
          <w:color w:val="auto"/>
        </w:rPr>
        <w:t>K</w:t>
      </w:r>
    </w:p>
    <w:p>
      <w:pPr>
        <w:spacing w:after="0" w:line="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2020</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5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7260" w:type="dxa"/>
            <w:vAlign w:val="bottom"/>
            <w:gridSpan w:val="12"/>
          </w:tcPr>
          <w:p>
            <w:pPr>
              <w:ind w:left="200"/>
              <w:spacing w:after="0"/>
              <w:rPr>
                <w:sz w:val="20"/>
                <w:szCs w:val="20"/>
                <w:color w:val="auto"/>
              </w:rPr>
            </w:pPr>
            <w:r>
              <w:rPr>
                <w:rFonts w:ascii="Arial" w:cs="Arial" w:eastAsia="Arial" w:hAnsi="Arial"/>
                <w:sz w:val="13"/>
                <w:szCs w:val="13"/>
                <w:b w:val="1"/>
                <w:bCs w:val="1"/>
                <w:color w:val="auto"/>
              </w:rPr>
              <w:t>For the transition period from ___________ to ___________.</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8"/>
          </w:tcPr>
          <w:p>
            <w:pPr>
              <w:jc w:val="center"/>
              <w:ind w:right="440"/>
              <w:spacing w:after="0"/>
              <w:rPr>
                <w:sz w:val="20"/>
                <w:szCs w:val="20"/>
                <w:color w:val="auto"/>
              </w:rPr>
            </w:pPr>
            <w:r>
              <w:rPr>
                <w:rFonts w:ascii="Arial" w:cs="Arial" w:eastAsia="Arial" w:hAnsi="Arial"/>
                <w:sz w:val="13"/>
                <w:szCs w:val="13"/>
                <w:b w:val="1"/>
                <w:bCs w:val="1"/>
                <w:color w:val="auto"/>
                <w:w w:val="94"/>
              </w:rPr>
              <w:t>Commission File Number 001-37979</w:t>
            </w:r>
          </w:p>
        </w:tc>
        <w:tc>
          <w:tcPr>
            <w:tcW w:w="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4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180" w:type="dxa"/>
            <w:vAlign w:val="bottom"/>
            <w:gridSpan w:val="7"/>
            <w:vMerge w:val="restart"/>
          </w:tcPr>
          <w:p>
            <w:pPr>
              <w:spacing w:after="0"/>
              <w:rPr>
                <w:sz w:val="20"/>
                <w:szCs w:val="20"/>
                <w:color w:val="auto"/>
              </w:rPr>
            </w:pPr>
            <w:r>
              <w:rPr>
                <w:rFonts w:ascii="Arial" w:cs="Arial" w:eastAsia="Arial" w:hAnsi="Arial"/>
                <w:sz w:val="32"/>
                <w:szCs w:val="32"/>
                <w:b w:val="1"/>
                <w:bCs w:val="1"/>
                <w:color w:val="auto"/>
              </w:rPr>
              <w:t>CORPORATION</w:t>
            </w:r>
          </w:p>
        </w:tc>
        <w:tc>
          <w:tcPr>
            <w:tcW w:w="0" w:type="dxa"/>
            <w:vAlign w:val="bottom"/>
          </w:tcPr>
          <w:p>
            <w:pPr>
              <w:spacing w:after="0"/>
              <w:rPr>
                <w:sz w:val="1"/>
                <w:szCs w:val="1"/>
                <w:color w:val="auto"/>
              </w:rPr>
            </w:pPr>
          </w:p>
        </w:tc>
      </w:tr>
      <w:tr>
        <w:trPr>
          <w:trHeight w:val="372"/>
        </w:trPr>
        <w:tc>
          <w:tcPr>
            <w:tcW w:w="6060" w:type="dxa"/>
            <w:vAlign w:val="bottom"/>
            <w:gridSpan w:val="6"/>
          </w:tcPr>
          <w:p>
            <w:pPr>
              <w:ind w:left="2900"/>
              <w:spacing w:after="0"/>
              <w:rPr>
                <w:sz w:val="20"/>
                <w:szCs w:val="20"/>
                <w:color w:val="auto"/>
              </w:rPr>
            </w:pPr>
            <w:r>
              <w:rPr>
                <w:rFonts w:ascii="Arial" w:cs="Arial" w:eastAsia="Arial" w:hAnsi="Arial"/>
                <w:sz w:val="32"/>
                <w:szCs w:val="32"/>
                <w:b w:val="1"/>
                <w:bCs w:val="1"/>
                <w:color w:val="auto"/>
              </w:rPr>
              <w:t>VERRA MOBILITY</w:t>
            </w:r>
          </w:p>
        </w:tc>
        <w:tc>
          <w:tcPr>
            <w:tcW w:w="518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3200" w:type="dxa"/>
            <w:vAlign w:val="bottom"/>
            <w:gridSpan w:val="10"/>
          </w:tcPr>
          <w:p>
            <w:pPr>
              <w:jc w:val="center"/>
              <w:ind w:left="33"/>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980" w:type="dxa"/>
            <w:vAlign w:val="bottom"/>
            <w:vMerge w:val="restart"/>
          </w:tcPr>
          <w:p>
            <w:pPr>
              <w:jc w:val="center"/>
              <w:ind w:left="1606"/>
              <w:spacing w:after="0"/>
              <w:rPr>
                <w:sz w:val="20"/>
                <w:szCs w:val="20"/>
                <w:color w:val="auto"/>
              </w:rPr>
            </w:pPr>
            <w:r>
              <w:rPr>
                <w:rFonts w:ascii="Arial" w:cs="Arial" w:eastAsia="Arial" w:hAnsi="Arial"/>
                <w:sz w:val="13"/>
                <w:szCs w:val="13"/>
                <w:b w:val="1"/>
                <w:bCs w:val="1"/>
                <w:color w:val="auto"/>
                <w:w w:val="94"/>
              </w:rPr>
              <w:t>Delaware</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gridSpan w:val="2"/>
            <w:vMerge w:val="restart"/>
          </w:tcPr>
          <w:p>
            <w:pPr>
              <w:jc w:val="right"/>
              <w:ind w:right="2355"/>
              <w:spacing w:after="0"/>
              <w:rPr>
                <w:sz w:val="20"/>
                <w:szCs w:val="20"/>
                <w:color w:val="auto"/>
              </w:rPr>
            </w:pPr>
            <w:r>
              <w:rPr>
                <w:rFonts w:ascii="Arial" w:cs="Arial" w:eastAsia="Arial" w:hAnsi="Arial"/>
                <w:sz w:val="13"/>
                <w:szCs w:val="13"/>
                <w:b w:val="1"/>
                <w:bCs w:val="1"/>
                <w:color w:val="auto"/>
              </w:rPr>
              <w:t>81-3563824</w:t>
            </w: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80" w:type="dxa"/>
            <w:vAlign w:val="bottom"/>
          </w:tcPr>
          <w:p>
            <w:pPr>
              <w:jc w:val="center"/>
              <w:ind w:left="1586"/>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i w:val="1"/>
                <w:iCs w:val="1"/>
                <w:color w:val="auto"/>
                <w:w w:val="90"/>
              </w:rPr>
              <w:t>State of Incorporation</w:t>
            </w:r>
            <w:r>
              <w:rPr>
                <w:rFonts w:ascii="Arial" w:cs="Arial" w:eastAsia="Arial" w:hAnsi="Arial"/>
                <w:sz w:val="13"/>
                <w:szCs w:val="13"/>
                <w:color w:val="auto"/>
                <w:w w:val="90"/>
              </w:rPr>
              <w: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60" w:type="dxa"/>
            <w:vAlign w:val="bottom"/>
            <w:gridSpan w:val="2"/>
          </w:tcPr>
          <w:p>
            <w:pPr>
              <w:jc w:val="center"/>
              <w:ind w:right="1355"/>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i w:val="1"/>
                <w:iCs w:val="1"/>
                <w:color w:val="auto"/>
                <w:w w:val="89"/>
              </w:rPr>
              <w:t>I.R.S. Employer Identification No</w:t>
            </w:r>
            <w:r>
              <w:rPr>
                <w:rFonts w:ascii="Arial" w:cs="Arial" w:eastAsia="Arial" w:hAnsi="Arial"/>
                <w:sz w:val="13"/>
                <w:szCs w:val="13"/>
                <w:color w:val="auto"/>
                <w:w w:val="89"/>
              </w:rPr>
              <w:t>.)</w:t>
            </w:r>
          </w:p>
        </w:tc>
        <w:tc>
          <w:tcPr>
            <w:tcW w:w="0" w:type="dxa"/>
            <w:vAlign w:val="bottom"/>
          </w:tcPr>
          <w:p>
            <w:pPr>
              <w:spacing w:after="0"/>
              <w:rPr>
                <w:sz w:val="1"/>
                <w:szCs w:val="1"/>
                <w:color w:val="auto"/>
              </w:rPr>
            </w:pPr>
          </w:p>
        </w:tc>
      </w:tr>
      <w:tr>
        <w:trPr>
          <w:trHeight w:val="354"/>
        </w:trPr>
        <w:tc>
          <w:tcPr>
            <w:tcW w:w="3980" w:type="dxa"/>
            <w:vAlign w:val="bottom"/>
          </w:tcPr>
          <w:p>
            <w:pPr>
              <w:jc w:val="center"/>
              <w:ind w:left="1586"/>
              <w:spacing w:after="0"/>
              <w:rPr>
                <w:sz w:val="20"/>
                <w:szCs w:val="20"/>
                <w:color w:val="auto"/>
              </w:rPr>
            </w:pPr>
            <w:r>
              <w:rPr>
                <w:rFonts w:ascii="Arial" w:cs="Arial" w:eastAsia="Arial" w:hAnsi="Arial"/>
                <w:sz w:val="13"/>
                <w:szCs w:val="13"/>
                <w:b w:val="1"/>
                <w:bCs w:val="1"/>
                <w:color w:val="auto"/>
                <w:w w:val="94"/>
              </w:rPr>
              <w:t>1150 North Alma School Road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80" w:type="dxa"/>
            <w:vAlign w:val="bottom"/>
          </w:tcPr>
          <w:p>
            <w:pPr>
              <w:jc w:val="center"/>
              <w:ind w:left="1586"/>
              <w:spacing w:after="0" w:line="148" w:lineRule="exact"/>
              <w:rPr>
                <w:sz w:val="20"/>
                <w:szCs w:val="20"/>
                <w:color w:val="auto"/>
              </w:rPr>
            </w:pPr>
            <w:r>
              <w:rPr>
                <w:rFonts w:ascii="Arial" w:cs="Arial" w:eastAsia="Arial" w:hAnsi="Arial"/>
                <w:sz w:val="13"/>
                <w:szCs w:val="13"/>
                <w:b w:val="1"/>
                <w:bCs w:val="1"/>
                <w:color w:val="auto"/>
                <w:w w:val="96"/>
              </w:rPr>
              <w:t>Mesa, Arizona</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60" w:type="dxa"/>
            <w:vAlign w:val="bottom"/>
            <w:gridSpan w:val="2"/>
          </w:tcPr>
          <w:p>
            <w:pPr>
              <w:jc w:val="right"/>
              <w:ind w:right="2515"/>
              <w:spacing w:after="0" w:line="148" w:lineRule="exact"/>
              <w:rPr>
                <w:sz w:val="20"/>
                <w:szCs w:val="20"/>
                <w:color w:val="auto"/>
              </w:rPr>
            </w:pPr>
            <w:r>
              <w:rPr>
                <w:rFonts w:ascii="Arial" w:cs="Arial" w:eastAsia="Arial" w:hAnsi="Arial"/>
                <w:sz w:val="13"/>
                <w:szCs w:val="13"/>
                <w:b w:val="1"/>
                <w:bCs w:val="1"/>
                <w:color w:val="auto"/>
              </w:rPr>
              <w:t>85201</w:t>
            </w:r>
          </w:p>
        </w:tc>
        <w:tc>
          <w:tcPr>
            <w:tcW w:w="0" w:type="dxa"/>
            <w:vAlign w:val="bottom"/>
          </w:tcPr>
          <w:p>
            <w:pPr>
              <w:spacing w:after="0"/>
              <w:rPr>
                <w:sz w:val="1"/>
                <w:szCs w:val="1"/>
                <w:color w:val="auto"/>
              </w:rPr>
            </w:pPr>
          </w:p>
        </w:tc>
      </w:tr>
      <w:tr>
        <w:trPr>
          <w:trHeight w:val="160"/>
        </w:trPr>
        <w:tc>
          <w:tcPr>
            <w:tcW w:w="3980" w:type="dxa"/>
            <w:vAlign w:val="bottom"/>
          </w:tcPr>
          <w:p>
            <w:pPr>
              <w:jc w:val="center"/>
              <w:ind w:left="1586"/>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i w:val="1"/>
                <w:iCs w:val="1"/>
                <w:color w:val="auto"/>
                <w:w w:val="89"/>
              </w:rPr>
              <w:t>Address of Principal Executive Offices</w:t>
            </w:r>
            <w:r>
              <w:rPr>
                <w:rFonts w:ascii="Arial" w:cs="Arial" w:eastAsia="Arial" w:hAnsi="Arial"/>
                <w:sz w:val="13"/>
                <w:szCs w:val="13"/>
                <w:color w:val="auto"/>
                <w:w w:val="89"/>
              </w:rPr>
              <w: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20" w:type="dxa"/>
            <w:vAlign w:val="bottom"/>
          </w:tcPr>
          <w:p>
            <w:pPr>
              <w:jc w:val="center"/>
              <w:ind w:right="1815"/>
              <w:spacing w:after="0"/>
              <w:rPr>
                <w:sz w:val="20"/>
                <w:szCs w:val="20"/>
                <w:color w:val="auto"/>
              </w:rPr>
            </w:pPr>
            <w:r>
              <w:rPr>
                <w:rFonts w:ascii="Arial" w:cs="Arial" w:eastAsia="Arial" w:hAnsi="Arial"/>
                <w:sz w:val="13"/>
                <w:szCs w:val="13"/>
                <w:color w:val="auto"/>
                <w:w w:val="87"/>
              </w:rPr>
              <w:t>(</w:t>
            </w:r>
            <w:r>
              <w:rPr>
                <w:rFonts w:ascii="Arial" w:cs="Arial" w:eastAsia="Arial" w:hAnsi="Arial"/>
                <w:sz w:val="13"/>
                <w:szCs w:val="13"/>
                <w:i w:val="1"/>
                <w:iCs w:val="1"/>
                <w:color w:val="auto"/>
                <w:w w:val="87"/>
              </w:rPr>
              <w:t>Zip Code</w:t>
            </w: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2080" w:type="dxa"/>
            <w:vAlign w:val="bottom"/>
            <w:gridSpan w:val="5"/>
          </w:tcPr>
          <w:p>
            <w:pPr>
              <w:jc w:val="center"/>
              <w:ind w:left="1133"/>
              <w:spacing w:after="0"/>
              <w:rPr>
                <w:sz w:val="20"/>
                <w:szCs w:val="20"/>
                <w:color w:val="auto"/>
              </w:rPr>
            </w:pPr>
            <w:r>
              <w:rPr>
                <w:rFonts w:ascii="Arial" w:cs="Arial" w:eastAsia="Arial" w:hAnsi="Arial"/>
                <w:sz w:val="13"/>
                <w:szCs w:val="13"/>
                <w:b w:val="1"/>
                <w:bCs w:val="1"/>
                <w:color w:val="auto"/>
                <w:w w:val="94"/>
              </w:rPr>
              <w:t>(480) 443-7000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80" w:type="dxa"/>
            <w:vAlign w:val="bottom"/>
          </w:tcPr>
          <w:p>
            <w:pPr>
              <w:spacing w:after="0"/>
              <w:rPr>
                <w:sz w:val="14"/>
                <w:szCs w:val="14"/>
                <w:color w:val="auto"/>
              </w:rPr>
            </w:pPr>
          </w:p>
        </w:tc>
        <w:tc>
          <w:tcPr>
            <w:tcW w:w="3200" w:type="dxa"/>
            <w:vAlign w:val="bottom"/>
            <w:gridSpan w:val="10"/>
          </w:tcPr>
          <w:p>
            <w:pPr>
              <w:jc w:val="center"/>
              <w:ind w:left="33"/>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i w:val="1"/>
                <w:iCs w:val="1"/>
                <w:color w:val="auto"/>
                <w:w w:val="93"/>
              </w:rPr>
              <w:t>Registrant’s telephone number, including area code</w:t>
            </w:r>
            <w:r>
              <w:rPr>
                <w:rFonts w:ascii="Arial" w:cs="Arial" w:eastAsia="Arial" w:hAnsi="Arial"/>
                <w:sz w:val="13"/>
                <w:szCs w:val="13"/>
                <w:color w:val="auto"/>
                <w:w w:val="93"/>
              </w:rPr>
              <w:t>)</w:t>
            </w:r>
          </w:p>
        </w:tc>
        <w:tc>
          <w:tcPr>
            <w:tcW w:w="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80" w:type="dxa"/>
            <w:vAlign w:val="bottom"/>
          </w:tcPr>
          <w:p>
            <w:pPr>
              <w:jc w:val="center"/>
              <w:ind w:left="346"/>
              <w:spacing w:after="0"/>
              <w:rPr>
                <w:sz w:val="20"/>
                <w:szCs w:val="20"/>
                <w:color w:val="auto"/>
              </w:rPr>
            </w:pPr>
            <w:r>
              <w:rPr>
                <w:rFonts w:ascii="Arial" w:cs="Arial" w:eastAsia="Arial" w:hAnsi="Arial"/>
                <w:sz w:val="13"/>
                <w:szCs w:val="13"/>
                <w:i w:val="1"/>
                <w:iCs w:val="1"/>
                <w:color w:val="auto"/>
                <w:w w:val="88"/>
              </w:rPr>
              <w:t>(Title of Each Class)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8"/>
          </w:tcPr>
          <w:p>
            <w:pPr>
              <w:jc w:val="center"/>
              <w:ind w:right="540"/>
              <w:spacing w:after="0"/>
              <w:rPr>
                <w:sz w:val="20"/>
                <w:szCs w:val="20"/>
                <w:color w:val="auto"/>
              </w:rPr>
            </w:pPr>
            <w:r>
              <w:rPr>
                <w:rFonts w:ascii="Arial" w:cs="Arial" w:eastAsia="Arial" w:hAnsi="Arial"/>
                <w:sz w:val="13"/>
                <w:szCs w:val="13"/>
                <w:i w:val="1"/>
                <w:iCs w:val="1"/>
                <w:color w:val="auto"/>
                <w:w w:val="88"/>
              </w:rPr>
              <w:t>(Trading Symbol)</w:t>
            </w:r>
          </w:p>
        </w:tc>
        <w:tc>
          <w:tcPr>
            <w:tcW w:w="440" w:type="dxa"/>
            <w:vAlign w:val="bottom"/>
          </w:tcPr>
          <w:p>
            <w:pPr>
              <w:spacing w:after="0"/>
              <w:rPr>
                <w:sz w:val="16"/>
                <w:szCs w:val="16"/>
                <w:color w:val="auto"/>
              </w:rPr>
            </w:pPr>
          </w:p>
        </w:tc>
        <w:tc>
          <w:tcPr>
            <w:tcW w:w="3620" w:type="dxa"/>
            <w:vAlign w:val="bottom"/>
          </w:tcPr>
          <w:p>
            <w:pPr>
              <w:jc w:val="center"/>
              <w:ind w:right="795"/>
              <w:spacing w:after="0"/>
              <w:rPr>
                <w:sz w:val="20"/>
                <w:szCs w:val="20"/>
                <w:color w:val="auto"/>
              </w:rPr>
            </w:pPr>
            <w:r>
              <w:rPr>
                <w:rFonts w:ascii="Arial" w:cs="Arial" w:eastAsia="Arial" w:hAnsi="Arial"/>
                <w:sz w:val="13"/>
                <w:szCs w:val="13"/>
                <w:i w:val="1"/>
                <w:iCs w:val="1"/>
                <w:color w:val="auto"/>
                <w:w w:val="86"/>
              </w:rPr>
              <w:t>(Name of Each Exchange on Which Registered)</w:t>
            </w:r>
          </w:p>
        </w:tc>
        <w:tc>
          <w:tcPr>
            <w:tcW w:w="0" w:type="dxa"/>
            <w:vAlign w:val="bottom"/>
          </w:tcPr>
          <w:p>
            <w:pPr>
              <w:spacing w:after="0"/>
              <w:rPr>
                <w:sz w:val="1"/>
                <w:szCs w:val="1"/>
                <w:color w:val="auto"/>
              </w:rPr>
            </w:pPr>
          </w:p>
        </w:tc>
      </w:tr>
      <w:tr>
        <w:trPr>
          <w:trHeight w:val="168"/>
        </w:trPr>
        <w:tc>
          <w:tcPr>
            <w:tcW w:w="3980" w:type="dxa"/>
            <w:vAlign w:val="bottom"/>
            <w:tcBorders>
              <w:top w:val="single" w:sz="8" w:color="auto"/>
            </w:tcBorders>
          </w:tcPr>
          <w:p>
            <w:pPr>
              <w:jc w:val="center"/>
              <w:ind w:left="366"/>
              <w:spacing w:after="0"/>
              <w:rPr>
                <w:sz w:val="20"/>
                <w:szCs w:val="20"/>
                <w:color w:val="auto"/>
              </w:rPr>
            </w:pPr>
            <w:r>
              <w:rPr>
                <w:rFonts w:ascii="Arial" w:cs="Arial" w:eastAsia="Arial" w:hAnsi="Arial"/>
                <w:sz w:val="13"/>
                <w:szCs w:val="13"/>
                <w:b w:val="1"/>
                <w:bCs w:val="1"/>
                <w:color w:val="auto"/>
                <w:w w:val="93"/>
              </w:rPr>
              <w:t>Class A Common Stock, par value $0.0001 per share</w:t>
            </w:r>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jc w:val="center"/>
              <w:ind w:right="498"/>
              <w:spacing w:after="0"/>
              <w:rPr>
                <w:sz w:val="20"/>
                <w:szCs w:val="20"/>
                <w:color w:val="auto"/>
              </w:rPr>
            </w:pPr>
            <w:r>
              <w:rPr>
                <w:rFonts w:ascii="Arial" w:cs="Arial" w:eastAsia="Arial" w:hAnsi="Arial"/>
                <w:sz w:val="13"/>
                <w:szCs w:val="13"/>
                <w:b w:val="1"/>
                <w:bCs w:val="1"/>
                <w:color w:val="auto"/>
              </w:rPr>
              <w:t>VRRM</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jc w:val="center"/>
              <w:ind w:right="795"/>
              <w:spacing w:after="0"/>
              <w:rPr>
                <w:sz w:val="20"/>
                <w:szCs w:val="20"/>
                <w:color w:val="auto"/>
              </w:rPr>
            </w:pPr>
            <w:r>
              <w:rPr>
                <w:rFonts w:ascii="Arial" w:cs="Arial" w:eastAsia="Arial" w:hAnsi="Arial"/>
                <w:sz w:val="13"/>
                <w:szCs w:val="13"/>
                <w:b w:val="1"/>
                <w:bCs w:val="1"/>
                <w:color w:val="auto"/>
                <w:w w:val="97"/>
              </w:rPr>
              <w:t>Nasdaq Capital Market</w:t>
            </w:r>
          </w:p>
        </w:tc>
        <w:tc>
          <w:tcPr>
            <w:tcW w:w="0" w:type="dxa"/>
            <w:vAlign w:val="bottom"/>
          </w:tcPr>
          <w:p>
            <w:pPr>
              <w:spacing w:after="0"/>
              <w:rPr>
                <w:sz w:val="1"/>
                <w:szCs w:val="1"/>
                <w:color w:val="auto"/>
              </w:rPr>
            </w:pPr>
          </w:p>
        </w:tc>
      </w:tr>
      <w:tr>
        <w:trPr>
          <w:trHeight w:val="190"/>
        </w:trPr>
        <w:tc>
          <w:tcPr>
            <w:tcW w:w="3980" w:type="dxa"/>
            <w:vAlign w:val="bottom"/>
          </w:tcPr>
          <w:p>
            <w:pPr>
              <w:jc w:val="center"/>
              <w:ind w:left="366"/>
              <w:spacing w:after="0"/>
              <w:rPr>
                <w:sz w:val="20"/>
                <w:szCs w:val="20"/>
                <w:color w:val="auto"/>
              </w:rPr>
            </w:pPr>
            <w:r>
              <w:rPr>
                <w:rFonts w:ascii="Arial" w:cs="Arial" w:eastAsia="Arial" w:hAnsi="Arial"/>
                <w:sz w:val="13"/>
                <w:szCs w:val="13"/>
                <w:b w:val="1"/>
                <w:bCs w:val="1"/>
                <w:color w:val="auto"/>
                <w:w w:val="93"/>
              </w:rPr>
              <w:t>Warrants to purchase Class A Common Stock</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80" w:type="dxa"/>
            <w:vAlign w:val="bottom"/>
            <w:gridSpan w:val="7"/>
          </w:tcPr>
          <w:p>
            <w:pPr>
              <w:ind w:left="80"/>
              <w:spacing w:after="0"/>
              <w:rPr>
                <w:sz w:val="20"/>
                <w:szCs w:val="20"/>
                <w:color w:val="auto"/>
              </w:rPr>
            </w:pPr>
            <w:r>
              <w:rPr>
                <w:rFonts w:ascii="Arial" w:cs="Arial" w:eastAsia="Arial" w:hAnsi="Arial"/>
                <w:sz w:val="13"/>
                <w:szCs w:val="13"/>
                <w:b w:val="1"/>
                <w:bCs w:val="1"/>
                <w:color w:val="auto"/>
              </w:rPr>
              <w:t>VRRMW</w:t>
            </w:r>
          </w:p>
        </w:tc>
        <w:tc>
          <w:tcPr>
            <w:tcW w:w="440" w:type="dxa"/>
            <w:vAlign w:val="bottom"/>
          </w:tcPr>
          <w:p>
            <w:pPr>
              <w:spacing w:after="0"/>
              <w:rPr>
                <w:sz w:val="16"/>
                <w:szCs w:val="16"/>
                <w:color w:val="auto"/>
              </w:rPr>
            </w:pPr>
          </w:p>
        </w:tc>
        <w:tc>
          <w:tcPr>
            <w:tcW w:w="3620" w:type="dxa"/>
            <w:vAlign w:val="bottom"/>
          </w:tcPr>
          <w:p>
            <w:pPr>
              <w:ind w:left="680"/>
              <w:spacing w:after="0"/>
              <w:rPr>
                <w:sz w:val="20"/>
                <w:szCs w:val="20"/>
                <w:color w:val="auto"/>
              </w:rPr>
            </w:pPr>
            <w:r>
              <w:rPr>
                <w:rFonts w:ascii="Arial" w:cs="Arial" w:eastAsia="Arial" w:hAnsi="Arial"/>
                <w:sz w:val="13"/>
                <w:szCs w:val="13"/>
                <w:b w:val="1"/>
                <w:bCs w:val="1"/>
                <w:color w:val="auto"/>
              </w:rPr>
              <w:t>OTC Pink Marketplace</w:t>
            </w:r>
          </w:p>
        </w:tc>
        <w:tc>
          <w:tcPr>
            <w:tcW w:w="0" w:type="dxa"/>
            <w:vAlign w:val="bottom"/>
          </w:tcPr>
          <w:p>
            <w:pPr>
              <w:spacing w:after="0"/>
              <w:rPr>
                <w:sz w:val="1"/>
                <w:szCs w:val="1"/>
                <w:color w:val="auto"/>
              </w:rPr>
            </w:pPr>
          </w:p>
        </w:tc>
      </w:tr>
      <w:tr>
        <w:trPr>
          <w:trHeight w:val="311"/>
        </w:trPr>
        <w:tc>
          <w:tcPr>
            <w:tcW w:w="398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0" w:type="dxa"/>
            <w:vAlign w:val="bottom"/>
            <w:gridSpan w:val="4"/>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gridSpan w:val="2"/>
          </w:tcPr>
          <w:p>
            <w:pPr>
              <w:spacing w:after="0"/>
              <w:rPr>
                <w:sz w:val="5"/>
                <w:szCs w:val="5"/>
                <w:color w:val="auto"/>
              </w:rPr>
            </w:pPr>
          </w:p>
        </w:tc>
        <w:tc>
          <w:tcPr>
            <w:tcW w:w="18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180" w:type="dxa"/>
            <w:vAlign w:val="bottom"/>
            <w:gridSpan w:val="11"/>
          </w:tcPr>
          <w:p>
            <w:pPr>
              <w:spacing w:after="0" w:line="150" w:lineRule="exact"/>
              <w:rPr>
                <w:sz w:val="20"/>
                <w:szCs w:val="20"/>
                <w:color w:val="auto"/>
              </w:rPr>
            </w:pPr>
            <w:r>
              <w:rPr>
                <w:rFonts w:ascii="Arial" w:cs="Arial" w:eastAsia="Arial" w:hAnsi="Arial"/>
                <w:sz w:val="13"/>
                <w:szCs w:val="13"/>
                <w:color w:val="auto"/>
                <w:w w:val="96"/>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6"/>
              </w:rPr>
              <w:t>☐</w:t>
            </w:r>
            <w:r>
              <w:rPr>
                <w:rFonts w:ascii="Arial" w:cs="Arial" w:eastAsia="Arial" w:hAnsi="Arial"/>
                <w:sz w:val="13"/>
                <w:szCs w:val="13"/>
                <w:color w:val="auto"/>
                <w:w w:val="96"/>
              </w:rPr>
              <w:t xml:space="preserve"> No</w:t>
            </w:r>
          </w:p>
        </w:tc>
        <w:tc>
          <w:tcPr>
            <w:tcW w:w="4060" w:type="dxa"/>
            <w:vAlign w:val="bottom"/>
            <w:gridSpan w:val="2"/>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11"/>
        </w:trPr>
        <w:tc>
          <w:tcPr>
            <w:tcW w:w="7180" w:type="dxa"/>
            <w:vAlign w:val="bottom"/>
            <w:gridSpan w:val="11"/>
          </w:tcPr>
          <w:p>
            <w:pPr>
              <w:spacing w:after="0" w:line="150" w:lineRule="exact"/>
              <w:rPr>
                <w:sz w:val="20"/>
                <w:szCs w:val="20"/>
                <w:color w:val="auto"/>
              </w:rPr>
            </w:pPr>
            <w:r>
              <w:rPr>
                <w:rFonts w:ascii="Arial" w:cs="Arial" w:eastAsia="Arial" w:hAnsi="Arial"/>
                <w:sz w:val="13"/>
                <w:szCs w:val="13"/>
                <w:color w:val="auto"/>
                <w:w w:val="96"/>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w w:val="96"/>
              </w:rPr>
              <w:t>☐</w:t>
            </w:r>
            <w:r>
              <w:rPr>
                <w:rFonts w:ascii="Arial" w:cs="Arial" w:eastAsia="Arial" w:hAnsi="Arial"/>
                <w:sz w:val="13"/>
                <w:szCs w:val="13"/>
                <w:color w:val="auto"/>
                <w:w w:val="96"/>
              </w:rPr>
              <w:t xml:space="preserve"> No</w:t>
            </w:r>
          </w:p>
        </w:tc>
        <w:tc>
          <w:tcPr>
            <w:tcW w:w="4060" w:type="dxa"/>
            <w:vAlign w:val="bottom"/>
            <w:gridSpan w:val="2"/>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jc w:val="both"/>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15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8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080"/>
              <w:spacing w:after="0"/>
              <w:rPr>
                <w:sz w:val="20"/>
                <w:szCs w:val="20"/>
                <w:color w:val="auto"/>
              </w:rPr>
            </w:pPr>
            <w:r>
              <w:rPr>
                <w:rFonts w:ascii="Arial" w:cs="Arial" w:eastAsia="Arial" w:hAnsi="Arial"/>
                <w:sz w:val="13"/>
                <w:szCs w:val="13"/>
                <w:color w:val="auto"/>
              </w:rPr>
              <w:t>Accelerated filer</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500" w:type="dxa"/>
            <w:vAlign w:val="bottom"/>
          </w:tcPr>
          <w:p>
            <w:pPr>
              <w:spacing w:after="0"/>
              <w:rPr>
                <w:sz w:val="20"/>
                <w:szCs w:val="20"/>
                <w:color w:val="auto"/>
              </w:rPr>
            </w:pPr>
            <w:r>
              <w:rPr>
                <w:rFonts w:ascii="Arial" w:cs="Arial" w:eastAsia="Arial" w:hAnsi="Arial"/>
                <w:sz w:val="13"/>
                <w:szCs w:val="13"/>
                <w:color w:val="auto"/>
              </w:rPr>
              <w:t>Non-accelerated filer</w:t>
            </w:r>
          </w:p>
        </w:tc>
        <w:tc>
          <w:tcPr>
            <w:tcW w:w="348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080"/>
              <w:spacing w:after="0"/>
              <w:rPr>
                <w:sz w:val="20"/>
                <w:szCs w:val="20"/>
                <w:color w:val="auto"/>
              </w:rPr>
            </w:pPr>
            <w:r>
              <w:rPr>
                <w:rFonts w:ascii="Arial" w:cs="Arial" w:eastAsia="Arial" w:hAnsi="Arial"/>
                <w:sz w:val="13"/>
                <w:szCs w:val="13"/>
                <w:color w:val="auto"/>
              </w:rPr>
              <w:t>Smaller reporting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340" w:type="dxa"/>
            <w:vAlign w:val="bottom"/>
          </w:tcPr>
          <w:p>
            <w:pPr>
              <w:ind w:left="3080"/>
              <w:spacing w:after="0"/>
              <w:rPr>
                <w:sz w:val="20"/>
                <w:szCs w:val="20"/>
                <w:color w:val="auto"/>
              </w:rPr>
            </w:pPr>
            <w:r>
              <w:rPr>
                <w:rFonts w:ascii="Arial" w:cs="Arial" w:eastAsia="Arial" w:hAnsi="Arial"/>
                <w:sz w:val="13"/>
                <w:szCs w:val="13"/>
                <w:color w:val="auto"/>
              </w:rPr>
              <w:t>Emerging growth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1"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50" w:lineRule="exact"/>
        <w:tabs>
          <w:tab w:leader="none" w:pos="5680" w:val="left"/>
          <w:tab w:leader="none" w:pos="62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92" w:lineRule="exact"/>
        <w:rPr>
          <w:sz w:val="24"/>
          <w:szCs w:val="24"/>
          <w:color w:val="auto"/>
        </w:rPr>
      </w:pPr>
    </w:p>
    <w:p>
      <w:pPr>
        <w:jc w:val="both"/>
        <w:ind w:right="20"/>
        <w:spacing w:after="0" w:line="161" w:lineRule="exact"/>
        <w:rPr>
          <w:sz w:val="20"/>
          <w:szCs w:val="20"/>
          <w:color w:val="auto"/>
        </w:rPr>
      </w:pPr>
      <w:r>
        <w:rPr>
          <w:rFonts w:ascii="Arial" w:cs="Arial" w:eastAsia="Arial" w:hAnsi="Arial"/>
          <w:sz w:val="13"/>
          <w:szCs w:val="13"/>
          <w:color w:val="auto"/>
        </w:rPr>
        <w:t>The aggregate market value of the voting and non</w:t>
      </w:r>
      <w:r>
        <w:rPr>
          <w:rFonts w:ascii="MS PGothic" w:cs="MS PGothic" w:eastAsia="MS PGothic" w:hAnsi="MS PGothic"/>
          <w:sz w:val="13"/>
          <w:szCs w:val="13"/>
          <w:color w:val="auto"/>
        </w:rPr>
        <w:t>‑</w:t>
      </w:r>
      <w:r>
        <w:rPr>
          <w:rFonts w:ascii="Arial" w:cs="Arial" w:eastAsia="Arial" w:hAnsi="Arial"/>
          <w:sz w:val="13"/>
          <w:szCs w:val="13"/>
          <w:color w:val="auto"/>
        </w:rPr>
        <w:t>voting common equity held by non</w:t>
      </w:r>
      <w:r>
        <w:rPr>
          <w:rFonts w:ascii="MS PGothic" w:cs="MS PGothic" w:eastAsia="MS PGothic" w:hAnsi="MS PGothic"/>
          <w:sz w:val="13"/>
          <w:szCs w:val="13"/>
          <w:color w:val="auto"/>
        </w:rPr>
        <w:t>‑</w:t>
      </w:r>
      <w:r>
        <w:rPr>
          <w:rFonts w:ascii="Arial" w:cs="Arial" w:eastAsia="Arial" w:hAnsi="Arial"/>
          <w:sz w:val="13"/>
          <w:szCs w:val="13"/>
          <w:color w:val="auto"/>
        </w:rPr>
        <w:t>affiliates of the registrant on June 30, 2020, computed by reference to the closing price reported on the Nasdaq Capital Market on such date was $1,366,421,691 (132,920,398 shares at a closing price per share of $10.28).</w:t>
      </w:r>
    </w:p>
    <w:p>
      <w:pPr>
        <w:spacing w:after="0" w:line="85"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24, 2021, the registrant had 162,268,865 shares of Class A Common Stock, par value $0.0001 per share, issued and outstanding.</w:t>
      </w:r>
    </w:p>
    <w:p>
      <w:pPr>
        <w:spacing w:after="0" w:line="78"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proxy statement to be filed in connection with its annual meeting of stockholders to be held May 25,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231F20"/>
              </w:rPr>
              <w:t>VERRA MOBILITY CORPORATION</w:t>
            </w:r>
          </w:p>
        </w:tc>
        <w:tc>
          <w:tcPr>
            <w:tcW w:w="1440" w:type="dxa"/>
            <w:vAlign w:val="bottom"/>
          </w:tcPr>
          <w:p>
            <w:pPr>
              <w:spacing w:after="0"/>
              <w:rPr>
                <w:sz w:val="20"/>
                <w:szCs w:val="20"/>
                <w:color w:val="auto"/>
              </w:rPr>
            </w:pPr>
          </w:p>
        </w:tc>
      </w:tr>
      <w:tr>
        <w:trPr>
          <w:trHeight w:val="283"/>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auto"/>
              </w:rPr>
              <w:t>FORM 10-K</w:t>
            </w:r>
          </w:p>
        </w:tc>
        <w:tc>
          <w:tcPr>
            <w:tcW w:w="1440" w:type="dxa"/>
            <w:vAlign w:val="bottom"/>
          </w:tcPr>
          <w:p>
            <w:pPr>
              <w:spacing w:after="0"/>
              <w:rPr>
                <w:sz w:val="24"/>
                <w:szCs w:val="24"/>
                <w:color w:val="auto"/>
              </w:rPr>
            </w:pPr>
          </w:p>
        </w:tc>
      </w:tr>
      <w:tr>
        <w:trPr>
          <w:trHeight w:val="297"/>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1440" w:type="dxa"/>
            <w:vAlign w:val="bottom"/>
          </w:tcPr>
          <w:p>
            <w:pPr>
              <w:spacing w:after="0"/>
              <w:rPr>
                <w:sz w:val="24"/>
                <w:szCs w:val="24"/>
                <w:color w:val="auto"/>
              </w:rPr>
            </w:pPr>
          </w:p>
        </w:tc>
      </w:tr>
      <w:tr>
        <w:trPr>
          <w:trHeight w:val="373"/>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auto"/>
              </w:rPr>
              <w:t>INDEX</w:t>
            </w:r>
          </w:p>
        </w:tc>
        <w:tc>
          <w:tcPr>
            <w:tcW w:w="1440" w:type="dxa"/>
            <w:vAlign w:val="bottom"/>
          </w:tcPr>
          <w:p>
            <w:pPr>
              <w:spacing w:after="0"/>
              <w:rPr>
                <w:sz w:val="24"/>
                <w:szCs w:val="24"/>
                <w:color w:val="auto"/>
              </w:rPr>
            </w:pPr>
          </w:p>
        </w:tc>
      </w:tr>
      <w:tr>
        <w:trPr>
          <w:trHeight w:val="234"/>
        </w:trPr>
        <w:tc>
          <w:tcPr>
            <w:tcW w:w="980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Business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1A. Risk Factors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1B. Unresolved Staff Comments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2. Properties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Legal Proceedings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Mine Safety Disclosures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980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II</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5. Market for Registrant’s Common Equity, Related Stockholder Matters and Issuer Purchases of Equity Securities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6. Selected Financial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7. Management’s Discussion and Analysis of Financial Condition and Results of Operations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7A. Quantitative and Qualitative Disclosures About Market Risk</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8. Financial Statements and Supplementary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9. Changes in and Disagreements with Accountants on Accounting and Financial Disclosure</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9A. Controls and Procedures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Item 9B. Other Information</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10"/>
        </w:trPr>
        <w:tc>
          <w:tcPr>
            <w:tcW w:w="9800" w:type="dxa"/>
            <w:vAlign w:val="bottom"/>
          </w:tcPr>
          <w:p>
            <w:pPr>
              <w:spacing w:after="0"/>
              <w:rPr>
                <w:rFonts w:ascii="Arial" w:cs="Arial" w:eastAsia="Arial" w:hAnsi="Arial"/>
                <w:sz w:val="18"/>
                <w:szCs w:val="18"/>
                <w:b w:val="1"/>
                <w:bCs w:val="1"/>
                <w:u w:val="single" w:color="auto"/>
                <w:color w:val="0000EE"/>
              </w:rPr>
            </w:pPr>
            <w:hyperlink w:anchor="page110">
              <w:r>
                <w:rPr>
                  <w:rFonts w:ascii="Arial" w:cs="Arial" w:eastAsia="Arial" w:hAnsi="Arial"/>
                  <w:sz w:val="18"/>
                  <w:szCs w:val="18"/>
                  <w:b w:val="1"/>
                  <w:bCs w:val="1"/>
                  <w:u w:val="single" w:color="auto"/>
                  <w:color w:val="0000EE"/>
                </w:rPr>
                <w:t>PART III</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10. Directors, Executive Officers and Corporate Governance</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11. Executive Compensation</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12. Security Ownership of Certain Beneficial Owners and Management and Related Stockholder Matters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13. Certain Relationships and Related Transactions, and Director Independence</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14. Principal Accountant Fees and Services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0"/>
        </w:trPr>
        <w:tc>
          <w:tcPr>
            <w:tcW w:w="9800" w:type="dxa"/>
            <w:vAlign w:val="bottom"/>
          </w:tcPr>
          <w:p>
            <w:pPr>
              <w:spacing w:after="0"/>
              <w:rPr>
                <w:rFonts w:ascii="Arial" w:cs="Arial" w:eastAsia="Arial" w:hAnsi="Arial"/>
                <w:sz w:val="18"/>
                <w:szCs w:val="18"/>
                <w:b w:val="1"/>
                <w:bCs w:val="1"/>
                <w:u w:val="single" w:color="auto"/>
                <w:color w:val="0000EE"/>
              </w:rPr>
            </w:pPr>
            <w:hyperlink w:anchor="page111">
              <w:r>
                <w:rPr>
                  <w:rFonts w:ascii="Arial" w:cs="Arial" w:eastAsia="Arial" w:hAnsi="Arial"/>
                  <w:sz w:val="18"/>
                  <w:szCs w:val="18"/>
                  <w:b w:val="1"/>
                  <w:bCs w:val="1"/>
                  <w:u w:val="single" w:color="auto"/>
                  <w:color w:val="0000EE"/>
                </w:rPr>
                <w:t>PART IV</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Item 15. Exhibit and Financial Statement Schedules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16. Form 10-K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SIGNATURES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11"/>
        </w:trPr>
        <w:tc>
          <w:tcPr>
            <w:tcW w:w="980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POWER OF ATTORNEY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10"/>
        </w:trPr>
        <w:tc>
          <w:tcPr>
            <w:tcW w:w="980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Appendix A, Schedule II</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743"/>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79"/>
              </w:rPr>
              <w:t>2</w:t>
            </w:r>
          </w:p>
        </w:tc>
        <w:tc>
          <w:tcPr>
            <w:tcW w:w="1440" w:type="dxa"/>
            <w:vAlign w:val="bottom"/>
          </w:tcPr>
          <w:p>
            <w:pPr>
              <w:spacing w:after="0"/>
              <w:rPr>
                <w:sz w:val="24"/>
                <w:szCs w:val="24"/>
                <w:color w:val="auto"/>
              </w:rPr>
            </w:pPr>
          </w:p>
        </w:tc>
      </w:tr>
      <w:tr>
        <w:trPr>
          <w:trHeight w:val="115"/>
        </w:trPr>
        <w:tc>
          <w:tcPr>
            <w:tcW w:w="98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federal securities laws. All statements contained in this Annual Report on Form 10-K other than statements of historical fact, including statements regarding our future operating results and financial position, our business strategy and plans, products, services, and technology offerings, future impacts or disruption to our business as a result of the novel coronavirus (“</w:t>
      </w:r>
      <w:r>
        <w:rPr>
          <w:rFonts w:ascii="Arial" w:cs="Arial" w:eastAsia="Arial" w:hAnsi="Arial"/>
          <w:sz w:val="17"/>
          <w:szCs w:val="17"/>
          <w:b w:val="1"/>
          <w:bCs w:val="1"/>
          <w:i w:val="1"/>
          <w:iCs w:val="1"/>
          <w:color w:val="auto"/>
        </w:rPr>
        <w:t>COVID-19</w:t>
      </w:r>
      <w:r>
        <w:rPr>
          <w:rFonts w:ascii="Arial" w:cs="Arial" w:eastAsia="Arial" w:hAnsi="Arial"/>
          <w:sz w:val="17"/>
          <w:szCs w:val="17"/>
          <w:color w:val="auto"/>
        </w:rPr>
        <w:t>”), market conditions, growth and trends, expected cost reductions, synergies related to our recent or future acquisitions, expansion plans and opportunities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w:t>
      </w:r>
    </w:p>
    <w:p>
      <w:pPr>
        <w:spacing w:after="0" w:line="181"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under Part I, Item 1A, “Risk Factors.”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78"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Annual Report on Form 10-K or to conform these statements to actual results or revised expectations.</w:t>
      </w:r>
    </w:p>
    <w:p>
      <w:pPr>
        <w:spacing w:after="0" w:line="18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Unless the context indicates otherwise, as used in this Annual Report on Form 10-K, the terms “Verra Mobility,” the “Company,” “we,” “us,” and “our” refer to Verra Mobility Corporation, a Delaware corporation, and its subsidiaries taken as a whole.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Verra Mobility Corporation, formerly known as Gores Holdings II, Inc. (“</w:t>
      </w:r>
      <w:r>
        <w:rPr>
          <w:rFonts w:ascii="Arial" w:cs="Arial" w:eastAsia="Arial" w:hAnsi="Arial"/>
          <w:sz w:val="18"/>
          <w:szCs w:val="18"/>
          <w:b w:val="1"/>
          <w:bCs w:val="1"/>
          <w:i w:val="1"/>
          <w:iCs w:val="1"/>
          <w:color w:val="auto"/>
        </w:rPr>
        <w:t>Gores</w:t>
      </w:r>
      <w:r>
        <w:rPr>
          <w:rFonts w:ascii="Arial" w:cs="Arial" w:eastAsia="Arial" w:hAnsi="Arial"/>
          <w:sz w:val="18"/>
          <w:szCs w:val="18"/>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we consummated our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following which our shares began trading on the Nasdaq Capital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w:t>
      </w:r>
    </w:p>
    <w:p>
      <w:pPr>
        <w:spacing w:after="0" w:line="18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On June 21, 2018, Gores, AM Merger Sub I, Inc., a direct, wholly-owned subsidiary of Gores (“</w:t>
      </w:r>
      <w:r>
        <w:rPr>
          <w:rFonts w:ascii="Arial" w:cs="Arial" w:eastAsia="Arial" w:hAnsi="Arial"/>
          <w:sz w:val="17"/>
          <w:szCs w:val="17"/>
          <w:b w:val="1"/>
          <w:bCs w:val="1"/>
          <w:i w:val="1"/>
          <w:iCs w:val="1"/>
          <w:color w:val="auto"/>
        </w:rPr>
        <w:t>First Merger Sub</w:t>
      </w:r>
      <w:r>
        <w:rPr>
          <w:rFonts w:ascii="Arial" w:cs="Arial" w:eastAsia="Arial" w:hAnsi="Arial"/>
          <w:sz w:val="17"/>
          <w:szCs w:val="17"/>
          <w:color w:val="auto"/>
        </w:rPr>
        <w:t>”), AM Merger Sub II, LLC, a direct, wholly-owned subsidiary of Gores (“</w:t>
      </w:r>
      <w:r>
        <w:rPr>
          <w:rFonts w:ascii="Arial" w:cs="Arial" w:eastAsia="Arial" w:hAnsi="Arial"/>
          <w:sz w:val="17"/>
          <w:szCs w:val="17"/>
          <w:b w:val="1"/>
          <w:bCs w:val="1"/>
          <w:i w:val="1"/>
          <w:iCs w:val="1"/>
          <w:color w:val="auto"/>
        </w:rPr>
        <w:t>Second Merger Sub</w:t>
      </w:r>
      <w:r>
        <w:rPr>
          <w:rFonts w:ascii="Arial" w:cs="Arial" w:eastAsia="Arial" w:hAnsi="Arial"/>
          <w:sz w:val="17"/>
          <w:szCs w:val="17"/>
          <w:color w:val="auto"/>
        </w:rPr>
        <w:t>”), Greenlight Holding II Corporation (“</w:t>
      </w:r>
      <w:r>
        <w:rPr>
          <w:rFonts w:ascii="Arial" w:cs="Arial" w:eastAsia="Arial" w:hAnsi="Arial"/>
          <w:sz w:val="17"/>
          <w:szCs w:val="17"/>
          <w:b w:val="1"/>
          <w:bCs w:val="1"/>
          <w:i w:val="1"/>
          <w:iCs w:val="1"/>
          <w:color w:val="auto"/>
        </w:rPr>
        <w:t>Greenlight</w:t>
      </w:r>
      <w:r>
        <w:rPr>
          <w:rFonts w:ascii="Arial" w:cs="Arial" w:eastAsia="Arial" w:hAnsi="Arial"/>
          <w:sz w:val="17"/>
          <w:szCs w:val="17"/>
          <w:color w:val="auto"/>
        </w:rPr>
        <w:t>”), and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entered into an Agreement and Plan of Merger as amended on August 23, 2018 by that certain Amendment No. 1 to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which provided for, among other things, (i) the merger of First Merger Sub with and into Greenlight, with Greenlight continuing as the surviving corporation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and, together with the other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p>
    <w:p>
      <w:pPr>
        <w:spacing w:after="0" w:line="178"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In connection with the closing of the Business Combination on October 17, 2018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Gores changed its name from Gores Holdings II, Inc. to Verra Mobility Corporation, changed its trading symbols on Nasdaq from “GSHT,” and “GSHTW,” to “VRRM” and “VRRMW,” and Second Merger Sub changed its name from AM Merger Sub II, LLC to Verra Mobility Holdings, LLC. As a result of the Business Combination, Verra Mobility Corporation became the owner, directly or indirectly, of all of the equity interests of Verra Mobility Holdings, LLC and its subsidiaries.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We are a leading provider of smart mobility technology solutions and services throughout the United States, Canada and Europe. We provide integrated technology solutions and services which include toll and violations management, title and registration, automated safety solutions, and other data driven solutions to our customers, which include rental car companies (“</w:t>
      </w:r>
      <w:r>
        <w:rPr>
          <w:rFonts w:ascii="Arial" w:cs="Arial" w:eastAsia="Arial" w:hAnsi="Arial"/>
          <w:sz w:val="16"/>
          <w:szCs w:val="16"/>
          <w:b w:val="1"/>
          <w:bCs w:val="1"/>
          <w:i w:val="1"/>
          <w:iCs w:val="1"/>
          <w:color w:val="auto"/>
        </w:rPr>
        <w:t>RACs</w:t>
      </w:r>
      <w:r>
        <w:rPr>
          <w:rFonts w:ascii="Arial" w:cs="Arial" w:eastAsia="Arial" w:hAnsi="Arial"/>
          <w:sz w:val="16"/>
          <w:szCs w:val="16"/>
          <w:color w:val="auto"/>
        </w:rPr>
        <w:t>”), fleet management companies (“</w:t>
      </w:r>
      <w:r>
        <w:rPr>
          <w:rFonts w:ascii="Arial" w:cs="Arial" w:eastAsia="Arial" w:hAnsi="Arial"/>
          <w:sz w:val="16"/>
          <w:szCs w:val="16"/>
          <w:b w:val="1"/>
          <w:bCs w:val="1"/>
          <w:i w:val="1"/>
          <w:iCs w:val="1"/>
          <w:color w:val="auto"/>
        </w:rPr>
        <w:t>FMCs</w:t>
      </w:r>
      <w:r>
        <w:rPr>
          <w:rFonts w:ascii="Arial" w:cs="Arial" w:eastAsia="Arial" w:hAnsi="Arial"/>
          <w:sz w:val="16"/>
          <w:szCs w:val="16"/>
          <w:color w:val="auto"/>
        </w:rPr>
        <w:t>”), other large fleet owners, municipalities, school districts and violation issuing authorities. Our solutions simplify the smart mobility ecosystem by utilizing what we believe are industry leading capabilities, information and technology expertise, and integrated hardware and software to efficiently facilitate the automated processing of tolls and violations for hundreds of agencies and millions of end users annually, while also making cities and roadways safer for everyone.</w:t>
      </w:r>
    </w:p>
    <w:p>
      <w:pPr>
        <w:spacing w:after="0" w:line="164"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Based in Mesa, Arizona, we operate through two primary segments – Commercial Services and Government Solutions. Through our Commercial Services segment, we believe we are the market leading provider of automated toll and violations management and title and registration solutions to RACs, FMCs and other large fleet owners in the United States and Canada. In Europe, we provide violations processing through Euro Parking Collection plc (“</w:t>
      </w:r>
      <w:r>
        <w:rPr>
          <w:rFonts w:ascii="Arial" w:cs="Arial" w:eastAsia="Arial" w:hAnsi="Arial"/>
          <w:sz w:val="17"/>
          <w:szCs w:val="17"/>
          <w:b w:val="1"/>
          <w:bCs w:val="1"/>
          <w:i w:val="1"/>
          <w:iCs w:val="1"/>
          <w:color w:val="auto"/>
        </w:rPr>
        <w:t>EPC</w:t>
      </w:r>
      <w:r>
        <w:rPr>
          <w:rFonts w:ascii="Arial" w:cs="Arial" w:eastAsia="Arial" w:hAnsi="Arial"/>
          <w:sz w:val="17"/>
          <w:szCs w:val="17"/>
          <w:color w:val="auto"/>
        </w:rPr>
        <w:t>”) and consumer tolling services through Pagatelia S.L (“</w:t>
      </w:r>
      <w:r>
        <w:rPr>
          <w:rFonts w:ascii="Arial" w:cs="Arial" w:eastAsia="Arial" w:hAnsi="Arial"/>
          <w:sz w:val="17"/>
          <w:szCs w:val="17"/>
          <w:b w:val="1"/>
          <w:bCs w:val="1"/>
          <w:i w:val="1"/>
          <w:iCs w:val="1"/>
          <w:color w:val="auto"/>
        </w:rPr>
        <w:t>Pagatelia</w:t>
      </w:r>
      <w:r>
        <w:rPr>
          <w:rFonts w:ascii="Arial" w:cs="Arial" w:eastAsia="Arial" w:hAnsi="Arial"/>
          <w:sz w:val="17"/>
          <w:szCs w:val="17"/>
          <w:color w:val="auto"/>
        </w:rPr>
        <w:t>”). Through our Government Solutions segment, we believe we are the market-leading provider of automated safety solutions to municipalities, counties, school districts and law enforcement agencies (which are collectively referred to herein as “</w:t>
      </w:r>
      <w:r>
        <w:rPr>
          <w:rFonts w:ascii="Arial" w:cs="Arial" w:eastAsia="Arial" w:hAnsi="Arial"/>
          <w:sz w:val="17"/>
          <w:szCs w:val="17"/>
          <w:b w:val="1"/>
          <w:bCs w:val="1"/>
          <w:i w:val="1"/>
          <w:iCs w:val="1"/>
          <w:color w:val="auto"/>
        </w:rPr>
        <w:t>local government agencies</w:t>
      </w:r>
      <w:r>
        <w:rPr>
          <w:rFonts w:ascii="Arial" w:cs="Arial" w:eastAsia="Arial" w:hAnsi="Arial"/>
          <w:sz w:val="17"/>
          <w:szCs w:val="17"/>
          <w:color w:val="auto"/>
        </w:rPr>
        <w:t>”), including services and technology that enable photo enforcement via road safety camera programs related to red-light, speed, school bus, and city bus lanes.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Services</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Commercial Services segment generated approximately $180.9 million in revenue for 2020, or approximately 46% of our total revenue. The Commercial Services segment is the market-leading provider of automated toll and violations management and title and registration solutions to RACs, FMCs and other large fleet owners in North America. Through our established relationships with more than 50 individual tolling authorities throughout the United States, we provide an automated and outsourced administrative solution for our customers while also providing a value-added convenience for vehicle drivers and benefits to the tolling and issuing authorities. Without our toll and violations management solutions, our customers would bear the expense and administrative burden of matching tolls or violations to the responsible vehicle and driver, and then either transferring liability or paying the fee or fine directly (for which it may then need to bill the driver) – in either case within specified time periods to avoid the potential imposition of penalties. We mitigate these risks by ensuring timely payment for tolls and violations incurred by our customers’ vehicles or by performing timely transfers of liability on our customers’ behalf, and then billing and collecting from the driver as applicable. We also manage regional toll transponder installation and vehicle association, an especially critical and highly complex component for RAC and FMC customers, to ensure that the transponder (and corresponding toll transactions) are associated with the correct vehicle.</w:t>
      </w:r>
    </w:p>
    <w:p>
      <w:pPr>
        <w:spacing w:after="0" w:line="18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have long-standing relationships with the three largest RACs in the United States – Avis Budget Group, Enterprise Holdings, Inc. and The Hertz Corporation – among others, as well as the six largest FMCs in the United States, which are Element, ARI, Enterprise Fleet Management, Wheels, LeasePlan and Donlen. We provide coverage for more than 95% of all toll roads in the United States and currently one toll road in Canada, processing more than 171 million toll transactions and 1.3 million traffic violations in 2020. Following the acquisition of EPC in April 2018, we extended our customer base to include violation-issuing authorities in Europe and expanded our commercial services to include identification, notification, and collection of unpaid traffic, parking, and public transportation related violations incurred by vehicle drivers not originating in the country where the violation occurred. We expanded our presence in Europe to include electronic toll collection on highways and car parks throughout Spain, Portugal, France and Italy through our acquisition of Pagatelia in October 2019.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Government Solutions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Government Solutions segment generated approximately $212.7 million in revenue for 2020, or approximately 54% of our total revenue. This segment works with local government agencies to help make cities and roadways safer for everyone through automated safety solutions. We provide local government agencies with road safety cameras to detect and process traffic violations for red-light, speed, school bus, and city bus lanes. Our proprietary hardware and software technologies provide local government agencies the information, data, and automated end-to-end administrative capabilities to enforce traffic violations through photo enforcement. On behalf of our customers, we install, maintain, and manage automated safety solution hardware and software that processes event data, applies customer specific rules and connects a traffic violation to the responsible driver or vehicle owner. Additionally, upon law enforcement’s determination that a violation has occurred, we manage the citation mailing, billing, and other administrative tasks on behalf of many of our customers.</w:t>
      </w:r>
    </w:p>
    <w:p>
      <w:pPr>
        <w:spacing w:after="0" w:line="192"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We are a critical partner to local government agencies across the United States, helping to facilitate and increase public safety, improve public transportation, enhance law enforcement officer safety and act as a police force multiplier by allowing law enforcement to focus on serious crimes rather than routine traffic violations. We currently have more than 5,800 red-light, speed, school bus and city bus lane road safety cameras installed across nearly 160 jurisdictions and school districts in 17 states and the District of Columbia. On an annual basis, we process approximately 10.9 million violations on behalf of our municipality and school district customers, including New York City, Seattle, Washington D.C., Austin Independent School District, Philadelphia, Orlando and Atlanta Public Schools. In January 2021, we entered into an agreement to acquire 100% of outstanding equity of Redflex Holdings Limited (“</w:t>
      </w:r>
      <w:r>
        <w:rPr>
          <w:rFonts w:ascii="Arial" w:cs="Arial" w:eastAsia="Arial" w:hAnsi="Arial"/>
          <w:sz w:val="16"/>
          <w:szCs w:val="16"/>
          <w:b w:val="1"/>
          <w:bCs w:val="1"/>
          <w:i w:val="1"/>
          <w:iCs w:val="1"/>
          <w:color w:val="auto"/>
        </w:rPr>
        <w:t>Redflex</w:t>
      </w:r>
      <w:r>
        <w:rPr>
          <w:rFonts w:ascii="Arial" w:cs="Arial" w:eastAsia="Arial" w:hAnsi="Arial"/>
          <w:sz w:val="16"/>
          <w:szCs w:val="16"/>
          <w:color w:val="auto"/>
        </w:rPr>
        <w:t>”), which, if completed, would expand our presence in the United States, Europe and Australia.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Industries in Which We Operate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Tolling</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Tolling is an important feature of the United States transportation landscape, with United States tolling authorities collecting nearly $21 billion in toll revenues in 2018. As a result, tolling is one of the most effective and equitable ways to pay for highway infrastructure. In addition to the overall growth in tolling reflected in the U.S. Department of Transportation Federal Highway Administration’s tracking of total toll bridge, tunnel and road mileage, there is also a growing movement towards cashless and all-electronic tolling, which allows for more convenient, accurate and reliable processing and collection of toll incurrence fees and mitigates congestion on toll roads. The tolling industry is highly fragmented and complex as it is comprised of more than 50 tolling authorities, each operating as independent organizations with specific coverage regions and disparate technology platforms.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Fleet</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Commercial Services customers consist of RACs, FMCs and other large fleet owners. RAC industry revenue in the United States fell 27% in 2020 compared to 2019, due in large part to the COVID-19 pandemic. The nearly $23 billion United States RAC industry is highly consolidated, with three companies accounting for a significant majority of United States RAC revenues in 2020. In addition to the larger nationwide RACs, smaller independent companies operate regionally throughout the United States. The RAC industry is driven by increases in the average number of days a vehicle is rented. While the COVID-19 pandemic negatively affected RAC industry trends in fiscal 2020, the length of rentals returned to previous seasonality patterns beginning in the second half of 2020. The industry is also being impacted by the growth in usage cases for rental cars in urban areas and partnerships with rideshare providers to rent vehicles to their independent drivers, leading to additional rental transactions. Management believes the European RAC market, while more fragmented than the U.S. market, is large in size. According to Automotive Fleet Magazine, there are nearly 6.4 million fleet vehicles in the United States, approximately 3.1 million of which are under management by FMCs. The fleet industry in North America is primarily centered on vocational vehicles utilized for transporting people along with the tools, parts and equipment required to perform their jobs, largely insulating the industry from disruptions caused by today’s rideshare and carshare services. In Europe, the FMC market is estimated to be more than 6 million vehicles, with over half under management by the top five European FMCs.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Automated Safety</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As the number of vehicle miles traveled continues to increase and cities and municipalities struggle to deal with the challenges of managing traffic enforcement, photo-enforcement solutions continue to play a prominent role in comprehensive safety initiatives. According to the National Highway Traffic Safety Administration, speeding and red-light running cause around 10,000 fatalities each year. In 2020, the Congressional Research Service found cameras to be an effective tool for law enforcement and other agencies to reduce the number of traffic-related violations, collisions, injuries and fatalities, and the American Association of State Highway and Transportation Officials has called on states to support greater use of automated speed enforcement. A 2019 Accident Analysis &amp; Prevention article reported that that red-light cameras reduce total crashes by as much as 12%. A 2019 research article published in PLOS ONE noted that speed cameras reduce traffic collisions by as much as 15% on average for the treated sites. Additionally, programs like Vision Zero, a collaborative campaign helping communities reach their goals of eliminating all traffic fatalities and severe injuries, across most major U.S. cities, are driving capital investment to make meaningful strides in traffic safety.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Strong Industry Tailwinds</w:t>
      </w:r>
    </w:p>
    <w:p>
      <w:pPr>
        <w:spacing w:after="0" w:line="11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We believe there is significant opportunity in both Commercial Services and Government Solutions as states, counties, and municipalities seek creative solutions to address reduced tax revenues and budgets for roads and other transportation infrastructure.</w:t>
      </w:r>
    </w:p>
    <w:p>
      <w:pPr>
        <w:spacing w:after="0" w:line="170"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In Commercial Services, we believe that as state and local governments fund a growing list of infrastructure, maintenance and construction projects, there will be an increase in the number of toll roads, including new express and high occupancy lanes in urban areas. We expect this trend will also increase utilization of dynamic tolling, which allows toll rates to fluctuate based on traffic trends and real-time congestion. In addition, nearly half of the toll roads in the United States have transitioned to cashless or all-electronic payment. These trends create significant opportunities for us to expand our market presence while developing relationships with both new and existing RACs, FMCs, consumers and tolling authorities.</w:t>
      </w:r>
    </w:p>
    <w:p>
      <w:pPr>
        <w:spacing w:after="0" w:line="176"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In Government Solutions, public attention given to traffic safety issues for drivers, pedestrians, children, bicyclists and law enforcement is intensifying and state and local governments are facing shortfalls in transportation revenue. In this context, smart technology solutions have emerged as an effective and revenue-positive method to address traffic safety issues. We believe that as public focus intensifies, the demand for our Government Solutions offerings will grow as well, and that we are positioned to take advantage of these opportunities.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Platform with New Products and New and Growing End Markets</w:t>
      </w:r>
    </w:p>
    <w:p>
      <w:pPr>
        <w:spacing w:after="0" w:line="117"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We are an industry leader in the deployment of products and services that meet the increasingly complex and continuously evolving requirements of both existing and new customers. We are continuously looking toward the future, ensuring the development of relevant solutions today that will work tomorrow. We seek to understand developing customer, consumer, and government trends that will shape tomorrow’s smart mobility experiences both in the United States and internationally, all in an effort to ensure more people around the world reach their destination safely and easily.</w:t>
      </w:r>
    </w:p>
    <w:p>
      <w:pPr>
        <w:spacing w:after="0" w:line="198"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We believe leveraging our differentiated capabilities into new and growing end markets, such as ridesharing, carsharing and autonomous vehicles, provides attractive growth opportunities. The ridesharing and carsharing market, which includes vehicles leased to individual drivers, gives us a low-risk opportunity to grow Commercial Services revenues while at the same time insulating us from any market shift between ridesharing, carsharing and RACs. Further, this growth prospect comes at little additional investment as we are able to leverage the same technologies and solutions we have already developed for our RAC and FMC customers. As an already established leader, we believe we are well-positioned to be a first mover and to become a provider of choice in these new end markets.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 w:name="page8"/>
    <w:bookmarkEnd w:id="7"/>
    <w:p>
      <w:pPr>
        <w:ind w:left="600"/>
        <w:spacing w:after="0"/>
        <w:rPr>
          <w:sz w:val="20"/>
          <w:szCs w:val="20"/>
          <w:color w:val="auto"/>
        </w:rPr>
      </w:pPr>
      <w:r>
        <w:rPr>
          <w:rFonts w:ascii="Arial" w:cs="Arial" w:eastAsia="Arial" w:hAnsi="Arial"/>
          <w:sz w:val="16"/>
          <w:szCs w:val="16"/>
          <w:color w:val="auto"/>
        </w:rPr>
        <w:t>Urban enforcement, curb management and citation processing solutions in the smart city movement also present significant opportunities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existing technologies and solutions could be adopted to take advantage of this market, providing an additional avenue for growth.</w:t>
      </w:r>
    </w:p>
    <w:p>
      <w:pPr>
        <w:spacing w:after="0" w:line="211"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As state and local governments seek solutions to increase mobility and safety solutions in a challenging revenue environment, our Government Solutions business unit represents an opportunity to leverage our long-standing relationships with state and local governments in order to provide other smart mobility technology solutions, such as automatic license plate recognition, and new developing technologies, such as connected vehicle technology.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Global Footprint</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believe there is significant opportunity to expand into attractive markets across Europe and beyond, and to that end, we have established a location in the Netherlands to serve as our European headquarters from which we are launching our RAC and FMC business in Europe. In September 2019, we entered into a partnership with APRR, Europe’s fourth-largest motorway operator, which enables us to provide our toll management services to French customers. In January 2021, we signed an agreement with Rent A Car France to expand electronic toll collection throughout France after a successful pilot program. Also in January 2021, we entered into an agreement to acquire 100% of outstanding equity of Redflex, which, if completed, would expand our presence in the United States, Europe and Australia.</w:t>
      </w:r>
    </w:p>
    <w:p>
      <w:pPr>
        <w:spacing w:after="0" w:line="19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also intend to leverage our recent acquisitions of EPC and Pagatelia and the anticipated acquisition of Redflex to further bolster our growth into new and existing markets globally.</w:t>
      </w:r>
    </w:p>
    <w:p>
      <w:pPr>
        <w:spacing w:after="0" w:line="170"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Through EPC we now have the capability to provide services in more than 18 languages and more than 10 currencies and to leverage existing connections with approximately 30 vehicle licensing authorities and over 450 toll and ticket-issuing authorities for whom we bill violators in more than 130 countries. Additionally, Pagatelia has established relationships with tolling authorities throughout Spain, Portugal, France and Italy, through which it offers interoperable electronic tolling both directly to consumers and through white-label partners. Through these recent acquisitions we have an opportunity to provide existing and new RAC and FMC customers with a convenient and effective solution similar to our current offering in the United States.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Accretive Acquisitions</w:t>
      </w:r>
    </w:p>
    <w:p>
      <w:pPr>
        <w:spacing w:after="0" w:line="11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In addition to organic growth initiatives, we have significant opportunities to increase our competitive positioning and strengthen our portfolio of products and solutions through strategic acquisitions. We have demonstrated the ability to identify and execute strategic acquisitions, as we did with Highway Toll Administration LLC and Canada Highway Toll Administration (collectively, “</w:t>
      </w:r>
      <w:r>
        <w:rPr>
          <w:rFonts w:ascii="Arial" w:cs="Arial" w:eastAsia="Arial" w:hAnsi="Arial"/>
          <w:sz w:val="16"/>
          <w:szCs w:val="16"/>
          <w:b w:val="1"/>
          <w:bCs w:val="1"/>
          <w:i w:val="1"/>
          <w:iCs w:val="1"/>
          <w:color w:val="auto"/>
        </w:rPr>
        <w:t>HTA</w:t>
      </w:r>
      <w:r>
        <w:rPr>
          <w:rFonts w:ascii="Arial" w:cs="Arial" w:eastAsia="Arial" w:hAnsi="Arial"/>
          <w:sz w:val="16"/>
          <w:szCs w:val="16"/>
          <w:color w:val="auto"/>
        </w:rPr>
        <w:t>”) and EPC in 2018 and Pagatelia in 2019, as well as our recent agreement to acquire Redflex in 2021. We constantly monitor the market for potential acquisition targets, which are evaluated based on their potential strategic impact, including growth potential, synergies, end-market development, customer relationships, technology, and cash flow. Our management team has a strong track record of integrating acquisitions and driving synergies, and has identified a strong pipeline for future acquisitions.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Toll management solutions.</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provide fully outsourced toll management solutions for our RAC and FMC customers while also providing a value-added convenience for vehicle drivers via our established relationships and integrations with more than 50 individual tolling authorities throughout the United States. This comprehensive network allows RAC and FMC drivers the convenience of using cashless and all-electronic tolls. Additionally, this service helps prevent the liability and business disruption of costly toll violations incurred by vehicles owned by RAC and FMC customers and eliminates their need to manage a nationwide program internally. Our proprietary software technology and hardware allow us to effectively match a toll to the specific RAC or FMC vehicle and driver so that the toll can accurately and reliably be billed and collected on behalf of, or directly from, the RAC or FMC. Toll management solutions accounted for approximately 36% of our 2020 revenues.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Violations management solutions.</w:t>
      </w:r>
    </w:p>
    <w:p>
      <w:pPr>
        <w:spacing w:after="0" w:line="117"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Our violations management solutions process violations incurred by the drivers of RAC and FMC vehicles by working with more than 8,000 domestic violation issuing authorities (more than 400 of which we are directly integrated with) to either pay the fine on behalf of the vehicle owner (for which we are able to bill the driver) or to transfer liability directly to the vehicle driver. Vehicle-issued violations include parking and photo enforcement violations. In Europe, we specialize in the identification, notification, and collection of unpaid traffic, parking and public transport related fees, charges, and penalties issued to foreign registered vehicles or persons on behalf of issuing authorities in more than 17 European countries. Violation management solutions accounted for approximately 7% of our 2020 revenues.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 and registration solutions.</w:t>
      </w:r>
    </w:p>
    <w:p>
      <w:pPr>
        <w:spacing w:after="0" w:line="117"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Our title and registration solutions provide RAC and FMC customers with an integrated, end-to-end solution for managing vehicle titles and registrations and annual renewals. We provide automated title and registration solutions by leveraging connections with individual departments of motor vehicles for electronic title and registration processing in 20 states. Title and registration solutions accounted for approximately 3% of our 2020 revenues.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Solutions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serve as a value-add partner to local government agencies by providing road safety cameras that promote traffic safety and reduce traffic violations. We work with our customers to identify problematic traffic areas and install, maintain, and manage the technology platform needed to capture images or videos of drivers committing traffic violations. Red-light cameras are placed at intersections to capture vehicles running red lights. Similarly, speed safety cameras are used to capture vehicles exceeding speed limits, either on a fixed basis or in a mobile platform, and often in school zones. School bus cameras are fixed to the side of buses to capture vehicles passing school buses with extended stop arms. Finally, bus lane cameras are designed to capture vehicles illegally driving in restricted bus lanes.</w:t>
      </w:r>
    </w:p>
    <w:p>
      <w:pPr>
        <w:spacing w:after="0" w:line="19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Applying rules specified by each customer, we automatically send the captured event to the designated enforcement agency of the customer, where an authorized individual determines if a violation occurred. Direct service revenue from red-light cameras, speed cameras, school bus cameras, and city bus lane cameras for red-light, speed, school bus and city bus lane solutions accounted for approximately 36% of our 2020 revenues. Other segment service revenue consists primarily of ancillary revenue streams, including product revenues and other ancillary services, which comprise 3% of total revenue. Product sales to customers are not recurring and are dependent on our customers’ needs, and account for 15% of total revenue.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We have a diverse customer base across the United States, Canada, and Europe. We are a top provider of toll management solutions, violations management solutions, and title and registration solutions for nearly every major RAC and FMC provider nationwide, including Avis Budget Group, Enterprise Holdings, Inc., Fox Rent a Car, Sixt Rent A Car, Element, ARI, Donlen, Wheels and The Hertz Corporation. In addition, we provide automated safety solutions to local government agencies including New York City, Seattle, Washington D.C., Austin Independent School District, Philadelphia, Orlando and Atlanta Public Schools. For many of our customers, we provide more than one product or service offering, addressing the diverse and varied needs of our clients.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There is no single competitor that provides a similarly broad suite of solutions. However, in our Government Solutions segment, we face competition in certain automated safety solutions from other vendors in the areas of red-light, school bus and speed photo enforcement. In our Commercial Services segment, we face competition from both our own customers, as they may choose to invest in their own internal solutions, and vendors offering or seeking to offer new technologies or financial models, and we must continue to innovate for our offerings to remain competitive.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We rely on a combination of patents, trademarks, trade secrets, copyrights and confidentiality agreements to protect our intellectual property. We take steps to protect new intellectual property to safeguard our ongoing technological innovations and strengthen our brand, and believe we take appropriate action against infringement or misappropriation of our intellectual property rights by others. We review third-party intellectual property rights to help avoid infringement, and to identify strategic opportunities.</w:t>
      </w:r>
    </w:p>
    <w:p>
      <w:pPr>
        <w:spacing w:after="0" w:line="18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Our general policy is to seek patent protection for those inventions likely to be incorporated into our products and services or where obtaining such proprietary rights will improve our competitive position. We own approximately 61 U.S. and foreign-issued patents and pending patent applications, including patents and rights to patent applications acquired through strategic transactions, which relate to various aspects of our products and technology. Our patent portfolio evolves as new patents are awarded to us and as older patents expire. Patents expire at various dates, generally 20 years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95"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Our business relies on both internally developed and externally licensed software to operate and provide our systems and deliver our services. We claim copyright on all internally developed software. We generally rely on common law protection for our copyrighted works. In addition, we rely on maintaining source code confidentiality to assure our market competitiveness. With respect to externally sourced software, we rely on contracts to retain our continued access for our business usage.</w:t>
      </w:r>
    </w:p>
    <w:p>
      <w:pPr>
        <w:spacing w:after="0" w:line="18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have approximately 120 registrations and pending applications in the United States and foreign jurisdictions for trademarks and service marks, reflecting our many products and services. These registrations and applications include our historic brands, as well as Verra Mobility. These marks may have a perpetual life, subject to periodic renewal and may be subject to cancellation or invalidation based on certain use requirements and third-party challenges, or on other grounds. We vigorously enforce and protect our marks.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are subject to various local, state and federal laws, regulations and administrative practices regulating matters such as data privacy, photo enforcement, consumer protection, procurement, licensing requirements, anti-kickback, equal employment, minimum wages and the environment, among others. Our operations are subject to regulation by various U.S. federal agencies, including the U.S. Department of Transportation, (“</w:t>
      </w:r>
      <w:r>
        <w:rPr>
          <w:rFonts w:ascii="Arial" w:cs="Arial" w:eastAsia="Arial" w:hAnsi="Arial"/>
          <w:sz w:val="17"/>
          <w:szCs w:val="17"/>
          <w:b w:val="1"/>
          <w:bCs w:val="1"/>
          <w:i w:val="1"/>
          <w:iCs w:val="1"/>
          <w:color w:val="auto"/>
        </w:rPr>
        <w:t>USDOT</w:t>
      </w:r>
      <w:r>
        <w:rPr>
          <w:rFonts w:ascii="Arial" w:cs="Arial" w:eastAsia="Arial" w:hAnsi="Arial"/>
          <w:sz w:val="17"/>
          <w:szCs w:val="17"/>
          <w:color w:val="auto"/>
        </w:rPr>
        <w:t>”), the Federal Trade Commission, (“</w:t>
      </w:r>
      <w:r>
        <w:rPr>
          <w:rFonts w:ascii="Arial" w:cs="Arial" w:eastAsia="Arial" w:hAnsi="Arial"/>
          <w:sz w:val="17"/>
          <w:szCs w:val="17"/>
          <w:b w:val="1"/>
          <w:bCs w:val="1"/>
          <w:i w:val="1"/>
          <w:iCs w:val="1"/>
          <w:color w:val="auto"/>
        </w:rPr>
        <w:t>FTC</w:t>
      </w:r>
      <w:r>
        <w:rPr>
          <w:rFonts w:ascii="Arial" w:cs="Arial" w:eastAsia="Arial" w:hAnsi="Arial"/>
          <w:sz w:val="17"/>
          <w:szCs w:val="17"/>
          <w:color w:val="auto"/>
        </w:rPr>
        <w:t>”), the Federal Communications Commission, the Consumer Product Safety Commission and the Environmental Protection Agency, as well as comparable state and local agencies, including the departments of transportation, departments of motor vehicles, and offices of inspector general. Following the acquisition of EPC and Pagatelia, and in connection with our European expansion efforts, we are now subject to laws, regulations and administrative practices addressing many of these same matters in Europe, including those specifically relating to accessing and use of information obtained from vehicle licensing authorities, as well as European regulations to traffic enforcement and collections and other financial and banking regulations.</w:t>
      </w:r>
    </w:p>
    <w:p>
      <w:pPr>
        <w:spacing w:after="0" w:line="181" w:lineRule="exact"/>
        <w:rPr>
          <w:sz w:val="20"/>
          <w:szCs w:val="20"/>
          <w:color w:val="auto"/>
        </w:rPr>
      </w:pPr>
    </w:p>
    <w:p>
      <w:pPr>
        <w:ind w:right="80" w:firstLine="589"/>
        <w:spacing w:after="0" w:line="287" w:lineRule="auto"/>
        <w:rPr>
          <w:sz w:val="20"/>
          <w:szCs w:val="20"/>
          <w:color w:val="auto"/>
        </w:rPr>
      </w:pPr>
      <w:r>
        <w:rPr>
          <w:rFonts w:ascii="Arial" w:cs="Arial" w:eastAsia="Arial" w:hAnsi="Arial"/>
          <w:sz w:val="16"/>
          <w:szCs w:val="16"/>
          <w:color w:val="auto"/>
        </w:rPr>
        <w:t>As part of our business, we collect, process, use and disclose personal information directly or for our customers and, therefore, are subject to various laws protecting privacy and security of personal information, including the U.S. Driver Privacy Protection Act, the General Data Protection Regulation (the “</w:t>
      </w:r>
      <w:r>
        <w:rPr>
          <w:rFonts w:ascii="Arial" w:cs="Arial" w:eastAsia="Arial" w:hAnsi="Arial"/>
          <w:sz w:val="16"/>
          <w:szCs w:val="16"/>
          <w:b w:val="1"/>
          <w:bCs w:val="1"/>
          <w:i w:val="1"/>
          <w:iCs w:val="1"/>
          <w:color w:val="auto"/>
        </w:rPr>
        <w:t>GDPR</w:t>
      </w:r>
      <w:r>
        <w:rPr>
          <w:rFonts w:ascii="Arial" w:cs="Arial" w:eastAsia="Arial" w:hAnsi="Arial"/>
          <w:sz w:val="16"/>
          <w:szCs w:val="16"/>
          <w:color w:val="auto"/>
        </w:rPr>
        <w:t>”) in the European Union (the “</w:t>
      </w:r>
      <w:r>
        <w:rPr>
          <w:rFonts w:ascii="Arial" w:cs="Arial" w:eastAsia="Arial" w:hAnsi="Arial"/>
          <w:sz w:val="16"/>
          <w:szCs w:val="16"/>
          <w:b w:val="1"/>
          <w:bCs w:val="1"/>
          <w:i w:val="1"/>
          <w:iCs w:val="1"/>
          <w:color w:val="auto"/>
        </w:rPr>
        <w:t>E.U.</w:t>
      </w:r>
      <w:r>
        <w:rPr>
          <w:rFonts w:ascii="Arial" w:cs="Arial" w:eastAsia="Arial" w:hAnsi="Arial"/>
          <w:sz w:val="16"/>
          <w:szCs w:val="16"/>
          <w:color w:val="auto"/>
        </w:rPr>
        <w:t>”), the Data Protection Act of 2018 in the United Kingdom (the “</w:t>
      </w:r>
      <w:r>
        <w:rPr>
          <w:rFonts w:ascii="Arial" w:cs="Arial" w:eastAsia="Arial" w:hAnsi="Arial"/>
          <w:sz w:val="16"/>
          <w:szCs w:val="16"/>
          <w:b w:val="1"/>
          <w:bCs w:val="1"/>
          <w:i w:val="1"/>
          <w:iCs w:val="1"/>
          <w:color w:val="auto"/>
        </w:rPr>
        <w:t>UK Data Protection Act</w:t>
      </w:r>
      <w:r>
        <w:rPr>
          <w:rFonts w:ascii="Arial" w:cs="Arial" w:eastAsia="Arial" w:hAnsi="Arial"/>
          <w:sz w:val="16"/>
          <w:szCs w:val="16"/>
          <w:color w:val="auto"/>
        </w:rPr>
        <w:t>”), the California Consumer Privacy Act (the “</w:t>
      </w:r>
      <w:r>
        <w:rPr>
          <w:rFonts w:ascii="Arial" w:cs="Arial" w:eastAsia="Arial" w:hAnsi="Arial"/>
          <w:sz w:val="16"/>
          <w:szCs w:val="16"/>
          <w:b w:val="1"/>
          <w:bCs w:val="1"/>
          <w:i w:val="1"/>
          <w:iCs w:val="1"/>
          <w:color w:val="auto"/>
        </w:rPr>
        <w:t>CCPA</w:t>
      </w:r>
      <w:r>
        <w:rPr>
          <w:rFonts w:ascii="Arial" w:cs="Arial" w:eastAsia="Arial" w:hAnsi="Arial"/>
          <w:sz w:val="16"/>
          <w:szCs w:val="16"/>
          <w:color w:val="auto"/>
        </w:rPr>
        <w:t>”) and other state privacy laws in the United States. We are also subject to similar restrictions and audit requirements pursuant to our contracts with the organizations from which we gain access to personal information, such as departments of motor vehicles and the National Law Enforcement Telecommunications System. Privacy laws and regulations are constantly evolving and changing, are subject to differing interpretations and may be inconsistent among countries and state and local jurisdictions, or conflict with other rules. As we expand our operations in foreign countries, or as U.S. federal or state law changes, our liability exposure and the complexity and cost of compliance with data and privacy requirements, including the GDPR, the UK Data Protection Act, the CCPA and other US state privacy laws, will increase. Laws and practices regarding handling and use of personal and other information by companies have also come under increased public scrutiny, and governmental authorities, consumer agencies and consumer advocacy groups have called for increased regulation and changes in industry practices.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20" w:firstLine="589"/>
        <w:spacing w:after="0" w:line="270" w:lineRule="auto"/>
        <w:rPr>
          <w:sz w:val="20"/>
          <w:szCs w:val="20"/>
          <w:color w:val="auto"/>
        </w:rPr>
      </w:pPr>
      <w:r>
        <w:rPr>
          <w:rFonts w:ascii="Arial" w:cs="Arial" w:eastAsia="Arial" w:hAnsi="Arial"/>
          <w:sz w:val="17"/>
          <w:szCs w:val="17"/>
          <w:color w:val="auto"/>
        </w:rPr>
        <w:t>Automated photo enforcement camera programs in the United States are typically regulated at the state and local level, not the federal level. Since 2010, there have been over 1,500 pieces of legislation introduced nationwide related to the photo enforcement industry. In general, photo enforcement is administrated by local government agencies, under either state enabling legislation or under home rule authority established under the relevant state constitution. Where enabling legislation is not required, local ordinances impose further restrictions within a given jurisdiction. Whether in a state requiring enabling legislation or in home-rule states where municipalities pass ordinances permitting photo enforcement, if the legislation or ordinance is subsequently repealed, not renewed if required, or if the authority for a local ordinance is revoked, photo enforcement activities would stop. At times, state Attorneys General have issued opinions interpreting photo enforcement laws and the permissibility of certain practices or other requirements of practice that further restrict private activities. For example, the Attorneys General of Arizona, Tennessee and Virginia have each issued opinions in recent years that impacted photo enforcement activities.</w:t>
      </w:r>
    </w:p>
    <w:p>
      <w:pPr>
        <w:spacing w:after="0" w:line="18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State and local regulation affect our Commercial Services segment as well, particularly with respect to tolling. Over the past few years, bills have been introduced in multiple states to limit whether and how much RACs can charge their customers for the use of a toll transponder, limit the administrative penalties and fees that can be assessed for processing tolls, and/or impose increased disclosure requirements on RACs with respect to tolling charges. In addition, there has been an increase in interest and greater focus on RAC tolling programs from state Attorneys General related to tolling issues from a consumer protection perspective.</w:t>
      </w:r>
    </w:p>
    <w:p>
      <w:pPr>
        <w:spacing w:after="0" w:line="18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Government Solutions customers are typically local government agencies, and our operations within this segment are therefore subject to state and local procurement laws pertaining to gifts and entertainment, payments of commissions and contingency fees, conflicts of interest, licensing and permitting requirements and other matters. These laws are overseen by different government agencies, depending on the jurisdiction, including departments of procurements services, contracting offices and offices of inspector general. In large municipalities, many of which have their own offices of the inspector general, these laws and regulations tend to be much more detailed and impose greater restrictions.</w:t>
      </w:r>
    </w:p>
    <w:p>
      <w:pPr>
        <w:spacing w:after="0" w:line="176"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To successfully navigate this regulatory landscape, we have a dedicated government relations team that works with state legislators and local authorities, often with the help of lobbyists and consultants, to track and help support favorable camera-enforcement safety and toll-related legislation. Through this network, we have a presence in every state in which our Government Solutions segment does business. These lobbying activities are subject to state and local lobbying regulations and registration requirements.</w:t>
      </w:r>
    </w:p>
    <w:p>
      <w:pPr>
        <w:spacing w:after="0" w:line="18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In connection with the installation of photo enforcement systems, we or our customers routinely obtain permits from various state and local permitting authorities, and we monitor our compliance with the rules and regulations of the USDOT and state departments of transportation relating to matters such as training, policies and procedures. As a government contractor providing photo enforcement services directly or through subcontractors (including design, engineering, construction, installation, and maintenance) in various locations throughout the country, we are at times required to obtain licenses regarding general contracting, performance of engineering services, performance of electrical work, performance of private investigative work and processing license plate and related personal information, and periodically receive notices from regulatory authorities regarding these matters and inquiring as to our compliance with the applicable state and local laws and regulations.</w:t>
      </w:r>
    </w:p>
    <w:p>
      <w:pPr>
        <w:spacing w:after="0" w:line="177" w:lineRule="exact"/>
        <w:rPr>
          <w:sz w:val="20"/>
          <w:szCs w:val="20"/>
          <w:color w:val="auto"/>
        </w:rPr>
      </w:pPr>
    </w:p>
    <w:p>
      <w:pPr>
        <w:jc w:val="both"/>
        <w:ind w:right="60" w:firstLine="589"/>
        <w:spacing w:after="0" w:line="311" w:lineRule="auto"/>
        <w:rPr>
          <w:sz w:val="20"/>
          <w:szCs w:val="20"/>
          <w:color w:val="auto"/>
        </w:rPr>
      </w:pPr>
      <w:r>
        <w:rPr>
          <w:rFonts w:ascii="Arial" w:cs="Arial" w:eastAsia="Arial" w:hAnsi="Arial"/>
          <w:sz w:val="16"/>
          <w:szCs w:val="16"/>
          <w:color w:val="auto"/>
        </w:rPr>
        <w:t>We believe we are in substantial compliance with the laws and regulations that regulate our business. There are, however, significant uncertainties involving the application of various legal requirements, the violation of which could result in, among other things, fines, penalties, revocation of permits or licenses, cessation of operations in a given jurisdiction and other adverse consequences. See “Risk Factors” for a discussion of our regulatory risks.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Verra Mobility is a leading provider of smart mobility technology solutions and services throughout the United States, Canada, and Europe, and our employees are critical to our success. To continue producing and delivering high-quality solutions and services to our customers, and to compete and succeed in our highly competitive and rapidly evolving market, it is critical that we continue to attract, retain and develop a diverse group of talented individuals at all levels of our organization.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200" w:firstLine="589"/>
        <w:spacing w:after="0" w:line="311" w:lineRule="auto"/>
        <w:rPr>
          <w:sz w:val="20"/>
          <w:szCs w:val="20"/>
          <w:color w:val="auto"/>
        </w:rPr>
      </w:pPr>
      <w:r>
        <w:rPr>
          <w:rFonts w:ascii="Arial" w:cs="Arial" w:eastAsia="Arial" w:hAnsi="Arial"/>
          <w:sz w:val="16"/>
          <w:szCs w:val="16"/>
          <w:color w:val="auto"/>
        </w:rPr>
        <w:t>As of December 31, 2020, we had 640 employees. Of our full-time employees, 585 were located in the United States and 55 were located internationally. None of our employees are represented by a labor union or covered by a collective bargaining agreement, except for our 24 employees in Staten Island, New York. We believe our relations with our employees are good, and we have not experienced a strike or other significant work stoppage.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and Development</w:t>
      </w:r>
    </w:p>
    <w:p>
      <w:pPr>
        <w:spacing w:after="0" w:line="22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Our success depends upon attracting, retaining and developing a diverse group of talented individuals who possess the skills necessary to support our business objectives, assist in the achievement of our strategic goals, contribute their own unique perspective and skill set and create long-term value for our stockholders. We have implemented purposeful hiring strategies that include opportunities for internal mobility and promotion and an employee referral program, both of which we believe will further strengthen our growing employee base and promote retention at our Company. Of the 140 positions filled in fiscal 2020, 55 were internal candidates or referred by current Verra Mobility employees. We have a multifaceted talent development framework that includes functional training, management training and targeted development problems, such as our Six Sigma training that aims to further enhance operational skills in our Government Solutions business unit. We also develop our employees through an annual performance review and assessment process that incorporates a dual-performance rating system and provides each employee with concrete, actionable feedback that will enable them to succeed at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225"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Our compensation programs are designed to align the compensation of our employees with the Company’s and individual performance, and to provide a compensation package that will attract, retain, motivate and reward employees to achieve superior results. The structure of our compensation programs balances incentives for both short-term and long-term performance. In addition to cash compensation, we offer employees benefits such as life insurance, health (medical, dental and vision) insurance, health savings accounts, flexible spending accounts, accident insurance, paid time off, paid parental leave and a company-sponsored 401(k) plan. For key leadership positions, we also provide compensation packages that include annual incentive bonuses and long-term equity awards.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225"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We seek employees who collaborate and value differences, think and act globally, foster an engaging climate, and recognize and develop others. We engage and survey our employee population to gather insight, feedback, and data about employees’ engagement, workplace experiences, and manager effectiveness. Survey results inform and support corporate, business unit, department, and team action plans, with the goal of enhancing workplace satisfaction and overall employee well-being and effectiveness.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We were originally incorporated in Delaware on August 15, 2016 under the name “Gores Holdings II, Inc.” as a special purpose acquisition company, formed for the purpose of effecting a merger, capital stock exchange, asset acquisition, stock purchase, reorganization, or other similar business combination with one or more target businesses. On January 19, 2017, we consummated our IPO, following which our shares began trading on Nasdaq. On October 17, 2018, we consummated the Business Combination and changed our name to “Verra Mobility Corporation” and we became the owner, directly or indirectly, of all the equity interests of Verra Mobility Holdings, LLC and its subsidiaries.</w:t>
      </w:r>
    </w:p>
    <w:p>
      <w:pPr>
        <w:spacing w:after="0" w:line="176"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Our principal executive office is located at 1150 North Alma School Road, Mesa, AZ 85201. Our telephone number is (480) 443-7000. Our website address is www.verramobility.com. The information on, or accessible through, our website does not constitute part of, and is not incorporated into, this Annual Report on Form 10-K.</w:t>
      </w:r>
    </w:p>
    <w:p>
      <w:pPr>
        <w:spacing w:after="0" w:line="18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trade names, trademarks, and service marks appearing in this Annual Report on Form 10-K include registered marks and marks in which we claim common law rights, such as Verra Mobility and the Verra Mobility logo, all of which are our intellectual property. This Annual Report on Form 10-K contains additional trade names,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60"/>
        <w:spacing w:after="0" w:line="263" w:lineRule="auto"/>
        <w:rPr>
          <w:sz w:val="20"/>
          <w:szCs w:val="20"/>
          <w:color w:val="auto"/>
        </w:rPr>
      </w:pPr>
      <w:r>
        <w:rPr>
          <w:rFonts w:ascii="Arial" w:cs="Arial" w:eastAsia="Arial" w:hAnsi="Arial"/>
          <w:sz w:val="18"/>
          <w:szCs w:val="18"/>
          <w:color w:val="auto"/>
        </w:rPr>
        <w:t>trademarks, and service marks of other companies that are the property of their respective owners. We do not intend our use or display of other companies’ trade names, trademarks, or service marks to imply a relationship with, or endorsement or sponsorship of us, by these companies. We have omitted the ® and ™ designations, as applicable, for the trademarks used in this Annual Report on Form 10-K.</w:t>
      </w:r>
    </w:p>
    <w:p>
      <w:pPr>
        <w:spacing w:after="0" w:line="184"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reports filed pursuant to Sections 13(a) and 15(d)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are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We are subject to the informational requirements of the Exchange Act, and we file or furnish reports, proxy statements and other information with the SEC. Such reports and other information we file with the SEC are available free of charge at http://ir.verramobility.com/financial-information/sec-filings when such reports are available on the SEC’s website. The SEC maintains a website that contains reports, proxy and information statements, and other information regarding issuers that file electronically with the SEC at www.sec.gov. We periodically provide other information for investors on our corporate website, www.verramobility.com, and our investor relations website, ir.verramobility.com. This includes press releases and other information about financial performance, information on corporate governance and details related to our annual meeting of stockholders. The information contained on the websites referenced in this Annual Report on Form 10-K is not incorporated by reference into this filing. Further, our references to website URLs are intended to be inactive textual references only.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94" w:lineRule="exact"/>
        <w:rPr>
          <w:sz w:val="20"/>
          <w:szCs w:val="20"/>
          <w:color w:val="auto"/>
        </w:rPr>
      </w:pPr>
    </w:p>
    <w:p>
      <w:pPr>
        <w:ind w:right="180" w:firstLine="589"/>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and our consolidated financial statements and related notes. Our business, operating results, financial condition, financial performance or prospects could be materially and adversely affected by any of these risks and uncertainties, as well as by risks and uncertainties not currently known to us or that we currently do not believe are material. If any of these risks occurs, the trading price of our common stock could decline, and you might lose all or part of your investment. Our business, operating results, financial performance, or prospects could also be harmed. These risks and uncertainties include, but are not limited to, the following: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94" w:lineRule="exact"/>
        <w:rPr>
          <w:sz w:val="20"/>
          <w:szCs w:val="20"/>
          <w:color w:val="auto"/>
        </w:rPr>
      </w:pPr>
    </w:p>
    <w:p>
      <w:pPr>
        <w:ind w:left="1300" w:hanging="44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results of operations may be adversely affected by the COVID-19 pandemic.</w:t>
      </w:r>
    </w:p>
    <w:p>
      <w:pPr>
        <w:spacing w:after="0" w:line="9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color w:val="auto"/>
        </w:rPr>
        <w:t>Risks Related to Our Customers, Industry and Competition</w:t>
      </w:r>
    </w:p>
    <w:p>
      <w:pPr>
        <w:spacing w:after="0" w:line="107" w:lineRule="exact"/>
        <w:rPr>
          <w:rFonts w:ascii="Arial" w:cs="Arial" w:eastAsia="Arial" w:hAnsi="Arial"/>
          <w:sz w:val="18"/>
          <w:szCs w:val="18"/>
          <w:color w:val="auto"/>
        </w:rPr>
      </w:pPr>
    </w:p>
    <w:p>
      <w:pPr>
        <w:ind w:left="1300" w:right="120" w:hanging="442"/>
        <w:spacing w:after="0" w:line="311"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New York City Law Department recently advised us that the City of New York is investigating certain aspects of our installation work for our largest customer, the City of New York Department of Transportation (“</w:t>
      </w:r>
      <w:r>
        <w:rPr>
          <w:rFonts w:ascii="Arial" w:cs="Arial" w:eastAsia="Arial" w:hAnsi="Arial"/>
          <w:sz w:val="16"/>
          <w:szCs w:val="16"/>
          <w:b w:val="1"/>
          <w:bCs w:val="1"/>
          <w:i w:val="1"/>
          <w:iCs w:val="1"/>
          <w:color w:val="auto"/>
        </w:rPr>
        <w:t>NYCDOT</w:t>
      </w:r>
      <w:r>
        <w:rPr>
          <w:rFonts w:ascii="Arial" w:cs="Arial" w:eastAsia="Arial" w:hAnsi="Arial"/>
          <w:sz w:val="16"/>
          <w:szCs w:val="16"/>
          <w:color w:val="auto"/>
        </w:rPr>
        <w:t>”), and the failure to resolve the situation in a timely and effective manner could have a material adverse effect on our business, financial condition and results of operations.</w:t>
      </w:r>
    </w:p>
    <w:p>
      <w:pPr>
        <w:spacing w:after="0" w:line="27" w:lineRule="exact"/>
        <w:rPr>
          <w:rFonts w:ascii="Arial" w:cs="Arial" w:eastAsia="Arial" w:hAnsi="Arial"/>
          <w:sz w:val="16"/>
          <w:szCs w:val="16"/>
          <w:color w:val="auto"/>
        </w:rPr>
      </w:pPr>
    </w:p>
    <w:p>
      <w:pPr>
        <w:ind w:left="1300" w:right="40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 Services and Government Solutions segments both have customer concentration that could have a material adverse effect on our business.</w:t>
      </w:r>
    </w:p>
    <w:p>
      <w:pPr>
        <w:spacing w:after="0" w:line="48" w:lineRule="exact"/>
        <w:rPr>
          <w:rFonts w:ascii="Arial" w:cs="Arial" w:eastAsia="Arial" w:hAnsi="Arial"/>
          <w:sz w:val="18"/>
          <w:szCs w:val="18"/>
          <w:color w:val="auto"/>
        </w:rPr>
      </w:pPr>
    </w:p>
    <w:p>
      <w:pPr>
        <w:ind w:left="1300" w:right="30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adversely affected our revenues from key customers in both our Commercial Services segment and our Government Solutions segment.</w:t>
      </w:r>
    </w:p>
    <w:p>
      <w:pPr>
        <w:spacing w:after="0" w:line="48" w:lineRule="exact"/>
        <w:rPr>
          <w:rFonts w:ascii="Arial" w:cs="Arial" w:eastAsia="Arial" w:hAnsi="Arial"/>
          <w:sz w:val="18"/>
          <w:szCs w:val="18"/>
          <w:color w:val="auto"/>
        </w:rPr>
      </w:pPr>
    </w:p>
    <w:p>
      <w:pPr>
        <w:ind w:left="1300" w:right="54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government contracts are subject to unique risks and uncertainties, including termination rights, delays in payment, audits and investigations, any of which could have a material adverse effect on our business.</w:t>
      </w:r>
    </w:p>
    <w:p>
      <w:pPr>
        <w:spacing w:after="0" w:line="48" w:lineRule="exact"/>
        <w:rPr>
          <w:rFonts w:ascii="Arial" w:cs="Arial" w:eastAsia="Arial" w:hAnsi="Arial"/>
          <w:sz w:val="18"/>
          <w:szCs w:val="18"/>
          <w:color w:val="auto"/>
        </w:rPr>
      </w:pPr>
    </w:p>
    <w:p>
      <w:pPr>
        <w:ind w:left="1300" w:right="6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decreases in the prevalence of automated and other similar methods of photo enforcement or the use of tolling could have a material adverse effect on our business.</w:t>
      </w:r>
    </w:p>
    <w:p>
      <w:pPr>
        <w:spacing w:after="0" w:line="48"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and any failure to keep up with technological developments and changing customer preferences could have a material adverse effect on our business.</w:t>
      </w:r>
    </w:p>
    <w:p>
      <w:pPr>
        <w:spacing w:after="0" w:line="48" w:lineRule="exact"/>
        <w:rPr>
          <w:rFonts w:ascii="Arial" w:cs="Arial" w:eastAsia="Arial" w:hAnsi="Arial"/>
          <w:sz w:val="18"/>
          <w:szCs w:val="18"/>
          <w:color w:val="auto"/>
        </w:rPr>
      </w:pPr>
    </w:p>
    <w:p>
      <w:pPr>
        <w:ind w:left="1300" w:hanging="44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new products and services and changes to existing products and services may not succeed.</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b w:val="1"/>
          <w:bCs w:val="1"/>
          <w:color w:val="auto"/>
        </w:rPr>
        <w:t>Risks Related to Our Acquisitions</w:t>
      </w:r>
    </w:p>
    <w:p>
      <w:pPr>
        <w:spacing w:after="0" w:line="108" w:lineRule="exact"/>
        <w:rPr>
          <w:sz w:val="20"/>
          <w:szCs w:val="20"/>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successfully implement our acquisition strategy could have a material adverse effect on our business.</w:t>
      </w:r>
    </w:p>
    <w:p>
      <w:pPr>
        <w:spacing w:after="0" w:line="9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color w:val="auto"/>
        </w:rPr>
        <w:t>Risks Related to Data Privacy and Cybersecurity</w:t>
      </w:r>
    </w:p>
    <w:p>
      <w:pPr>
        <w:spacing w:after="0" w:line="94" w:lineRule="exact"/>
        <w:rPr>
          <w:rFonts w:ascii="Arial" w:cs="Arial" w:eastAsia="Arial" w:hAnsi="Arial"/>
          <w:sz w:val="18"/>
          <w:szCs w:val="18"/>
          <w:color w:val="auto"/>
        </w:rPr>
      </w:pPr>
    </w:p>
    <w:p>
      <w:pPr>
        <w:ind w:left="1300" w:right="4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failure in or breach of our networks or systems, including as a result of cyber-attacks, could have a material adverse effect on our business.</w:t>
      </w:r>
    </w:p>
    <w:p>
      <w:pPr>
        <w:spacing w:after="0" w:line="48" w:lineRule="exact"/>
        <w:rPr>
          <w:rFonts w:ascii="Arial" w:cs="Arial" w:eastAsia="Arial" w:hAnsi="Arial"/>
          <w:sz w:val="18"/>
          <w:szCs w:val="18"/>
          <w:color w:val="auto"/>
        </w:rPr>
      </w:pPr>
    </w:p>
    <w:p>
      <w:pPr>
        <w:ind w:left="1300" w:right="60" w:hanging="442"/>
        <w:spacing w:after="0" w:line="26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laws of the United States and foreign jurisdictions relating to privacy, data retention and individually identifiable information, and failure to comply with these laws, whether or not inadvertent, and changes to these laws, could have a material adverse effect on our business.</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Human Capital Management</w:t>
      </w:r>
    </w:p>
    <w:p>
      <w:pPr>
        <w:spacing w:after="0" w:line="108" w:lineRule="exact"/>
        <w:rPr>
          <w:sz w:val="20"/>
          <w:szCs w:val="20"/>
          <w:color w:val="auto"/>
        </w:rPr>
      </w:pPr>
    </w:p>
    <w:p>
      <w:pPr>
        <w:ind w:left="1300" w:right="360" w:hanging="44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the services of key executives and any inability to attract and retain key management personnel could have a material adverse effect on our business.</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08" w:lineRule="exact"/>
        <w:rPr>
          <w:sz w:val="20"/>
          <w:szCs w:val="20"/>
          <w:color w:val="auto"/>
        </w:rPr>
      </w:pPr>
    </w:p>
    <w:p>
      <w:pPr>
        <w:ind w:left="1300" w:right="240" w:hanging="44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operations in international markets exposes us to additional risks, and failure to manage those risks could have a material adverse effect on our business.</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ind w:left="1300" w:right="16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acquire necessary intellectual property or adequately protect our intellectual property could have a material adverse effect on our business.</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Indebtedness</w:t>
      </w:r>
    </w:p>
    <w:p>
      <w:pPr>
        <w:spacing w:after="0" w:line="108" w:lineRule="exact"/>
        <w:rPr>
          <w:sz w:val="20"/>
          <w:szCs w:val="20"/>
          <w:color w:val="auto"/>
        </w:rPr>
      </w:pPr>
    </w:p>
    <w:p>
      <w:pPr>
        <w:ind w:left="1300" w:hanging="442"/>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substantial level of indebtedness could cause our business to suffer and incurring additional debt could intensify debt-related risks.</w:t>
      </w:r>
    </w:p>
    <w:p>
      <w:pPr>
        <w:spacing w:after="0" w:line="12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Risks Related to Our Class A Common Stock, Warrants, Related Party Transactions and Organizational Documents</w:t>
      </w:r>
    </w:p>
    <w:p>
      <w:pPr>
        <w:spacing w:after="0" w:line="107" w:lineRule="exact"/>
        <w:rPr>
          <w:rFonts w:ascii="Arial" w:cs="Arial" w:eastAsia="Arial" w:hAnsi="Arial"/>
          <w:sz w:val="16"/>
          <w:szCs w:val="16"/>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Platinum Equity has significant influence over us.</w:t>
      </w:r>
    </w:p>
    <w:p>
      <w:pPr>
        <w:spacing w:after="0" w:line="103"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Vendors</w:t>
      </w:r>
    </w:p>
    <w:p>
      <w:pPr>
        <w:spacing w:after="0" w:line="94" w:lineRule="exact"/>
        <w:rPr>
          <w:sz w:val="20"/>
          <w:szCs w:val="20"/>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third-party providers could have a material adverse effect on our business.</w:t>
      </w:r>
    </w:p>
    <w:p>
      <w:pPr>
        <w:spacing w:after="0" w:line="9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color w:val="auto"/>
        </w:rPr>
        <w:t>General Risk Factors</w:t>
      </w:r>
    </w:p>
    <w:p>
      <w:pPr>
        <w:spacing w:after="0" w:line="107"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controls, we may not be able to accurately report our financial results.</w:t>
      </w:r>
    </w:p>
    <w:p>
      <w:pPr>
        <w:spacing w:after="0" w:line="103"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and other disputes and regulatory investigations could have a material adverse effect on our business.</w:t>
      </w:r>
    </w:p>
    <w:p>
      <w:pPr>
        <w:spacing w:after="0" w:line="10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Due to the risk factors discussed below, as well as other factors affecting our business, operating results, financial condition, financial performance or prospects, our past financial performance should not be considered to be a reliable indicator of our future performance, and investors should not use historical trends to anticipate results or trends in future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results of operations may be adversely affected by the COVID-19 pandemic.</w:t>
      </w:r>
    </w:p>
    <w:p>
      <w:pPr>
        <w:spacing w:after="0" w:line="104" w:lineRule="exact"/>
        <w:rPr>
          <w:sz w:val="20"/>
          <w:szCs w:val="20"/>
          <w:color w:val="auto"/>
        </w:rPr>
      </w:pPr>
    </w:p>
    <w:p>
      <w:pPr>
        <w:ind w:right="320" w:firstLine="540"/>
        <w:spacing w:after="0" w:line="301" w:lineRule="auto"/>
        <w:rPr>
          <w:sz w:val="20"/>
          <w:szCs w:val="20"/>
          <w:color w:val="auto"/>
        </w:rPr>
      </w:pPr>
      <w:r>
        <w:rPr>
          <w:rFonts w:ascii="Arial" w:cs="Arial" w:eastAsia="Arial" w:hAnsi="Arial"/>
          <w:sz w:val="16"/>
          <w:szCs w:val="16"/>
          <w:color w:val="auto"/>
        </w:rPr>
        <w:t>The COVID-19 outbreak and related government actions taken to reduce the spread of the virus have caused severe disruption to the global economy. In order to comply with certain government restrictions and safeguard our employees, we have temporarily shifted most of our workforce to remote operations and have implemented changes in our physical locations to ensure social distancing. While we have not experienced any significant disruptions in our operations to date, these measures may result in decreases in productivity, an increased risk of information</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4" w:name="page15"/>
    <w:bookmarkEnd w:id="14"/>
    <w:p>
      <w:pPr>
        <w:ind w:right="60"/>
        <w:spacing w:after="0" w:line="296" w:lineRule="auto"/>
        <w:rPr>
          <w:sz w:val="20"/>
          <w:szCs w:val="20"/>
          <w:color w:val="auto"/>
        </w:rPr>
      </w:pPr>
      <w:r>
        <w:rPr>
          <w:rFonts w:ascii="Arial" w:cs="Arial" w:eastAsia="Arial" w:hAnsi="Arial"/>
          <w:sz w:val="16"/>
          <w:szCs w:val="16"/>
          <w:color w:val="auto"/>
        </w:rPr>
        <w:t>security breaches and delays in responses to our customers, which could harm customer relations and adversely impact our business. COVID-19 may also cause us to temporarily suspend or ultimately forego strategic acquisitions, business initiatives or expansions into new markets. Also, our existing customers may seek to terminate or renegotiate their contracts with us or seek pricing concessions as a result of changes in their business needs or financial condition. The measures implemented to contain COVID-19 have had, and we expect will continue to have, a significant negative effect on our business, financial condition, results of operations, cash flows and liquidity position, both in the near term and on a year-over-year basis.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Historical data regarding our business, results of operations, financial condition and liquidity may not reflect the impact of the COVID-19 pandemic and related containment measures and therefore does not purport to be representative of our future performance.</w:t>
      </w:r>
    </w:p>
    <w:p>
      <w:pPr>
        <w:spacing w:after="0" w:line="119"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information included in this Annual Report on Form 10-K and our other reports filed with the SEC include information regarding our business, properties, results of operations, financial condition and liquidity as of dates and for periods before the impact of COVID-19 and related containment measures (including quarantines, governmental orders requiring the closure of certain businesses, limiting travel, requiring that individuals stay at home or shelter in place and closing borders, and vaccines). This historical information therefore may not reflect the adverse impacts of COVID-19 and the related containment measures. Accordingly, investors are cautioned not to unduly rely on historical information regarding our business, results of operations, financial condition or liquidity, as that data does not reflect the adverse impact of COVID-19 and therefore does not purport to be representative of the future results of operations, financial condition, liquidity or other financial or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Customers, Industry and Competition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New York City Law Department recently advised us that the City of New York is investigating certain aspects of our installation work for our largest customer, NYCDOT. While we are cooperating with the investigation, including remediating issues identified to us, we cannot predict when this matter will be resolved, how much it may cost to do so, any liabilities, fines or penalties that may be assessed against us in connection with this matter, or the timing of receivables to be paid to us.</w:t>
      </w:r>
    </w:p>
    <w:p>
      <w:pPr>
        <w:spacing w:after="0" w:line="187" w:lineRule="exact"/>
        <w:rPr>
          <w:sz w:val="20"/>
          <w:szCs w:val="20"/>
          <w:color w:val="auto"/>
        </w:rPr>
      </w:pPr>
    </w:p>
    <w:p>
      <w:pPr>
        <w:jc w:val="both"/>
        <w:ind w:firstLine="604"/>
        <w:spacing w:after="0" w:line="276" w:lineRule="auto"/>
        <w:rPr>
          <w:sz w:val="20"/>
          <w:szCs w:val="20"/>
          <w:color w:val="auto"/>
        </w:rPr>
      </w:pPr>
      <w:r>
        <w:rPr>
          <w:rFonts w:ascii="Arial" w:cs="Arial" w:eastAsia="Arial" w:hAnsi="Arial"/>
          <w:sz w:val="17"/>
          <w:szCs w:val="17"/>
          <w:color w:val="auto"/>
        </w:rPr>
        <w:t>We provide photo enforcement and school zone enforcement services to NYCDOT, which was our largest customer by revenue in 2020 (31.3% of total revenue for the year ended December 31, 2020), under two primary contracts: a legacy contract relating to red light, bus lane, mobile speed and fixed speed photo enforcement cameras that were installed prior to fiscal year 2020 (the “</w:t>
      </w:r>
      <w:r>
        <w:rPr>
          <w:rFonts w:ascii="Arial" w:cs="Arial" w:eastAsia="Arial" w:hAnsi="Arial"/>
          <w:sz w:val="17"/>
          <w:szCs w:val="17"/>
          <w:b w:val="1"/>
          <w:bCs w:val="1"/>
          <w:i w:val="1"/>
          <w:iCs w:val="1"/>
          <w:color w:val="auto"/>
        </w:rPr>
        <w:t>Legacy Contract</w:t>
      </w:r>
      <w:r>
        <w:rPr>
          <w:rFonts w:ascii="Arial" w:cs="Arial" w:eastAsia="Arial" w:hAnsi="Arial"/>
          <w:sz w:val="17"/>
          <w:szCs w:val="17"/>
          <w:color w:val="auto"/>
        </w:rPr>
        <w:t>”), and an emergency contract for the purchase, installation, maintenance and operation of an expanded fixed speed camera program beginning in 2020 (the “</w:t>
      </w:r>
      <w:r>
        <w:rPr>
          <w:rFonts w:ascii="Arial" w:cs="Arial" w:eastAsia="Arial" w:hAnsi="Arial"/>
          <w:sz w:val="17"/>
          <w:szCs w:val="17"/>
          <w:b w:val="1"/>
          <w:bCs w:val="1"/>
          <w:i w:val="1"/>
          <w:iCs w:val="1"/>
          <w:color w:val="auto"/>
        </w:rPr>
        <w:t>Emergency Contract</w:t>
      </w:r>
      <w:r>
        <w:rPr>
          <w:rFonts w:ascii="Arial" w:cs="Arial" w:eastAsia="Arial" w:hAnsi="Arial"/>
          <w:sz w:val="17"/>
          <w:szCs w:val="17"/>
          <w:color w:val="auto"/>
        </w:rPr>
        <w:t>”). In late 2019, we concluded that some of our system installations under the Legacy Contract did not meet New York City’s requirements related to the depth of buried electrical conduit and the color of grounding wire. We disclosed these issues to NYCDOT and in the fourth quarter of 2020 agreed to remediate the affected sites. Since that time, we have been actively remediating the affected installations and, as of December 31, 2020, we incurred costs of $0.9 million and accrued an additional $2.1 million to complete the remediation.</w:t>
      </w:r>
    </w:p>
    <w:p>
      <w:pPr>
        <w:spacing w:after="0" w:line="173" w:lineRule="exact"/>
        <w:rPr>
          <w:sz w:val="20"/>
          <w:szCs w:val="20"/>
          <w:color w:val="auto"/>
        </w:rPr>
      </w:pPr>
    </w:p>
    <w:p>
      <w:pPr>
        <w:jc w:val="both"/>
        <w:ind w:firstLine="604"/>
        <w:spacing w:after="0" w:line="257" w:lineRule="auto"/>
        <w:rPr>
          <w:sz w:val="20"/>
          <w:szCs w:val="20"/>
          <w:color w:val="auto"/>
        </w:rPr>
      </w:pPr>
      <w:r>
        <w:rPr>
          <w:rFonts w:ascii="Arial" w:cs="Arial" w:eastAsia="Arial" w:hAnsi="Arial"/>
          <w:sz w:val="18"/>
          <w:szCs w:val="18"/>
          <w:color w:val="auto"/>
        </w:rPr>
        <w:t>In addition, during 2020 we worked with NYCDOT to address various administrative hurdles that we understood at the time to be delaying payments on our invoices under the Legacy Contract and the registration of the Emergency Contract, which is a condition to payment under that contract. In late January 2021, we were separately informed that the City of New York’s Law Department is investigating matters related to the Company’s previously disclosed conduit depth issue as well as whether the Company unnecessarily installed new poles where existing infrastructure could have been used. We are fully cooperating with the investigation.</w:t>
      </w:r>
    </w:p>
    <w:p>
      <w:pPr>
        <w:spacing w:after="0" w:line="188" w:lineRule="exact"/>
        <w:rPr>
          <w:sz w:val="20"/>
          <w:szCs w:val="20"/>
          <w:color w:val="auto"/>
        </w:rPr>
      </w:pPr>
    </w:p>
    <w:p>
      <w:pPr>
        <w:jc w:val="both"/>
        <w:ind w:firstLine="604"/>
        <w:spacing w:after="0" w:line="263" w:lineRule="auto"/>
        <w:rPr>
          <w:sz w:val="20"/>
          <w:szCs w:val="20"/>
          <w:color w:val="auto"/>
        </w:rPr>
      </w:pPr>
      <w:r>
        <w:rPr>
          <w:rFonts w:ascii="Arial" w:cs="Arial" w:eastAsia="Arial" w:hAnsi="Arial"/>
          <w:sz w:val="18"/>
          <w:szCs w:val="18"/>
          <w:color w:val="auto"/>
        </w:rPr>
        <w:t>The installation issues described in this risk factor did not have any impact on the camera operations or the overall effectiveness of the photo enforcement programs. We will continue to perform work for NYCDOT under the Legacy Contract and the Emergency Contract, and are finalizing operating and compliance procedures that govern the remaining remediation and future work for NYCDOT.</w:t>
      </w:r>
    </w:p>
    <w:p>
      <w:pPr>
        <w:spacing w:after="0" w:line="184" w:lineRule="exact"/>
        <w:rPr>
          <w:sz w:val="20"/>
          <w:szCs w:val="20"/>
          <w:color w:val="auto"/>
        </w:rPr>
      </w:pPr>
    </w:p>
    <w:p>
      <w:pPr>
        <w:jc w:val="both"/>
        <w:ind w:firstLine="604"/>
        <w:spacing w:after="0" w:line="311" w:lineRule="auto"/>
        <w:rPr>
          <w:sz w:val="20"/>
          <w:szCs w:val="20"/>
          <w:color w:val="auto"/>
        </w:rPr>
      </w:pPr>
      <w:r>
        <w:rPr>
          <w:rFonts w:ascii="Arial" w:cs="Arial" w:eastAsia="Arial" w:hAnsi="Arial"/>
          <w:sz w:val="16"/>
          <w:szCs w:val="16"/>
          <w:color w:val="auto"/>
        </w:rPr>
        <w:t>At December 31, 2020, NYCDOT had an open receivables balance on these contracts of $98.9 million, of which $80.4 million had aged beyond NYCDOT’s 45-day payment terms. This $98.9 million balance is up from the $10.0 million owed at December 31, 2019. We expect the NYCDOT open receivables balance to increase by approximately $7.3 million per month until it is paid. Largely as a result of NYCDOT’s non-payment of receivables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and a slowing in our business generally due to COVID-19, our net cash provided by operating activities declined from $133.8 million in 2019 to $46.9 million in 2020. Further, because of their overdue nature, our NYCDOT receivables are not eligible for inclusion in our borrowing base calculation under our revolving credit facility. Availability under that facility was $48.8 million, net of $6.3 million of outstanding letters of credit, at December 31, 2020, as compared to $63.5 million, net of $0.1 million of outstanding letters of credit, at December 31, 2019.</w:t>
      </w:r>
    </w:p>
    <w:p>
      <w:pPr>
        <w:spacing w:after="0" w:line="187" w:lineRule="exact"/>
        <w:rPr>
          <w:sz w:val="20"/>
          <w:szCs w:val="20"/>
          <w:color w:val="auto"/>
        </w:rPr>
      </w:pPr>
    </w:p>
    <w:p>
      <w:pPr>
        <w:jc w:val="both"/>
        <w:ind w:right="160" w:firstLine="604"/>
        <w:spacing w:after="0" w:line="263" w:lineRule="auto"/>
        <w:rPr>
          <w:sz w:val="20"/>
          <w:szCs w:val="20"/>
          <w:color w:val="auto"/>
        </w:rPr>
      </w:pPr>
      <w:r>
        <w:rPr>
          <w:rFonts w:ascii="Arial" w:cs="Arial" w:eastAsia="Arial" w:hAnsi="Arial"/>
          <w:sz w:val="18"/>
          <w:szCs w:val="18"/>
          <w:color w:val="auto"/>
        </w:rPr>
        <w:t>We cannot predict when this matter will be resolved or how much it may cost, any liabilities, fines or penalties that may be assessed against us or the timing of payments on the outstanding receivables. The failure to resolve the matter with the City of New York in a timely and effective manner could have a material adverse effect on our business, financial condition and results of operations.</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Commercial Services and Government Solutions segments both have customer concentration that could have a material adverse effect on our business.</w:t>
      </w:r>
    </w:p>
    <w:p>
      <w:pPr>
        <w:spacing w:after="0" w:line="49" w:lineRule="exact"/>
        <w:rPr>
          <w:sz w:val="20"/>
          <w:szCs w:val="20"/>
          <w:color w:val="auto"/>
        </w:rPr>
      </w:pPr>
    </w:p>
    <w:p>
      <w:pPr>
        <w:ind w:right="160" w:firstLine="540"/>
        <w:spacing w:after="0" w:line="273" w:lineRule="auto"/>
        <w:rPr>
          <w:sz w:val="20"/>
          <w:szCs w:val="20"/>
          <w:color w:val="auto"/>
        </w:rPr>
      </w:pPr>
      <w:r>
        <w:rPr>
          <w:rFonts w:ascii="Arial" w:cs="Arial" w:eastAsia="Arial" w:hAnsi="Arial"/>
          <w:sz w:val="17"/>
          <w:szCs w:val="17"/>
          <w:color w:val="auto"/>
        </w:rPr>
        <w:t>Our business experiences customer concentration from time to time. For example, our Commercial Services segment is dependent on certain key customers, including those in the RAC industry, such as Avis Budget Group, Inc., Enterprise Holdings, Inc. and The Hertz Corporation. The health of the RAC industry is impacted by a variety of factors, including seasonality, increases in energy prices, general international, national and local economic conditions and cycles, as well as other factors affecting travel levels, such as military conflicts, terrorist incidents, natural disasters and epidemic diseases. For example, as described elsewhere in these risk factors, the COVID-19 pandemic continues to adversely affect our key customers in the RAC industry and, correspondingly, revenues in our Commercial Services segment.</w:t>
      </w:r>
    </w:p>
    <w:p>
      <w:pPr>
        <w:spacing w:after="0" w:line="43" w:lineRule="exact"/>
        <w:rPr>
          <w:sz w:val="20"/>
          <w:szCs w:val="20"/>
          <w:color w:val="auto"/>
        </w:rPr>
      </w:pPr>
    </w:p>
    <w:p>
      <w:pPr>
        <w:ind w:right="360" w:firstLine="540"/>
        <w:spacing w:after="0" w:line="255" w:lineRule="auto"/>
        <w:rPr>
          <w:sz w:val="20"/>
          <w:szCs w:val="20"/>
          <w:color w:val="auto"/>
        </w:rPr>
      </w:pPr>
      <w:r>
        <w:rPr>
          <w:rFonts w:ascii="Arial" w:cs="Arial" w:eastAsia="Arial" w:hAnsi="Arial"/>
          <w:sz w:val="18"/>
          <w:szCs w:val="18"/>
          <w:color w:val="auto"/>
        </w:rPr>
        <w:t>We also experience customer concentration in our Government Solutions segment. As discussed above, NYCDOT represented approximately 31.3% of our total revenues during fiscal 2020, and our contract with NYCDOT, like many other contracts, is subject to unique risks and uncertainties, including termination rights, delays in payment and audits and investigations, any of which could have a material adverse effect on our business. In the future, a small number of customers in our Government Solutions segment may continue to represent a significant portion of our total revenues in any given period. The loss of any of our top Government Solutions customers could have a material adverse effect on our business, financial condition and results of operations.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affected our revenues from key customers in both our Commercial Services segment and our Government Solutions segment.</w:t>
      </w:r>
    </w:p>
    <w:p>
      <w:pPr>
        <w:spacing w:after="0" w:line="130"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The COVID-19 pandemic continues to have a significant negative impact on the RAC industry, including key customers in our Commercial Services segment. Reduced airline travel and widespread travel restrictions resulted in declining customer demand and many RACs have responded by reducing fleet sizes. In May 2020, The Hertz Corporation, one of our key Commercial Services customers, filed for bankruptcy protection under Chapter 11 of the U.S. Bankruptcy Code, as amended, in the United States Bankruptcy Court for the District of Delaware. Because revenue from agreements with our RAC customers is largely based on a margin-share model, any changes to our RAC customers’ pricing or pricing model for tolling, such as changing from charging their customers per rental day to per toll usage day, could have a material impact on the revenue we realize under those agreements. Further, although we have long-term agreements with many of our RAC customers, most provide the customer with a termination right in certain situations, including if we commit an uncured material breach of the agreement. The full extent and duration of COVID-19’s impact on the RAC industry and the financial health of our key RAC customers cannot be predicted at this time. If our RAC customers continue to experience adversity in their businesses or file for bankruptcy, they may delay or default on their payment commitments to us or request to modify or renegotiate pre-existing contractual commitments on terms that are less favorable to us, any of which could have a material adverse effect on our business, financial condition and results of operations.</w:t>
      </w:r>
    </w:p>
    <w:p>
      <w:pPr>
        <w:spacing w:after="0" w:line="57" w:lineRule="exact"/>
        <w:rPr>
          <w:sz w:val="20"/>
          <w:szCs w:val="20"/>
          <w:color w:val="auto"/>
        </w:rPr>
      </w:pPr>
    </w:p>
    <w:p>
      <w:pPr>
        <w:ind w:right="20" w:firstLine="540"/>
        <w:spacing w:after="0" w:line="218" w:lineRule="exact"/>
        <w:rPr>
          <w:sz w:val="20"/>
          <w:szCs w:val="20"/>
          <w:color w:val="auto"/>
        </w:rPr>
      </w:pPr>
      <w:r>
        <w:rPr>
          <w:rFonts w:ascii="Arial" w:cs="Arial" w:eastAsia="Arial" w:hAnsi="Arial"/>
          <w:sz w:val="16"/>
          <w:szCs w:val="16"/>
          <w:color w:val="auto"/>
        </w:rPr>
        <w:t>Revenue from our customers in our Government Solutions segment also continues to be impacted by COVID</w:t>
      </w:r>
      <w:r>
        <w:rPr>
          <w:rFonts w:ascii="MS PGothic" w:cs="MS PGothic" w:eastAsia="MS PGothic" w:hAnsi="MS PGothic"/>
          <w:sz w:val="16"/>
          <w:szCs w:val="16"/>
          <w:color w:val="auto"/>
        </w:rPr>
        <w:t>‑</w:t>
      </w:r>
      <w:r>
        <w:rPr>
          <w:rFonts w:ascii="Arial" w:cs="Arial" w:eastAsia="Arial" w:hAnsi="Arial"/>
          <w:sz w:val="16"/>
          <w:szCs w:val="16"/>
          <w:color w:val="auto"/>
        </w:rPr>
        <w:t>19. Stay at home orders, the switch to remote operations for large amounts of the population, and the related containment measures have additionally resulted in reductions in vehicle traffic, which in turn resulted in some of our Government Solutions customers temporarily taking enforcement camera systems offline. Additionally, school closures resulting from COVID-19 have resulted in limited operations of our school bus stop arm solutions. Continued or additional measures or changes in laws or regulations, whether in the United States or abroad, that further impair the ability or desire of individuals to gather or travel due to the risk of the spreading of COVID-19, including laws or regulations banning travel or requiring the closure of schools, could have a material adverse effect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on our Government Solutions segment, as well as our business, financial condition and results of operations.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government contracts are subject to unique risks and uncertainties, including termination rights, delays in payment, audits and investigations, any of which could have a material adverse effect on our business.</w:t>
      </w:r>
    </w:p>
    <w:p>
      <w:pPr>
        <w:spacing w:after="0" w:line="35" w:lineRule="exact"/>
        <w:rPr>
          <w:sz w:val="20"/>
          <w:szCs w:val="20"/>
          <w:color w:val="auto"/>
        </w:rPr>
      </w:pPr>
    </w:p>
    <w:p>
      <w:pPr>
        <w:ind w:right="80" w:firstLine="540"/>
        <w:spacing w:after="0" w:line="219" w:lineRule="exact"/>
        <w:rPr>
          <w:sz w:val="20"/>
          <w:szCs w:val="20"/>
          <w:color w:val="auto"/>
        </w:rPr>
      </w:pPr>
      <w:r>
        <w:rPr>
          <w:rFonts w:ascii="Arial" w:cs="Arial" w:eastAsia="Arial" w:hAnsi="Arial"/>
          <w:sz w:val="18"/>
          <w:szCs w:val="18"/>
          <w:color w:val="auto"/>
        </w:rPr>
        <w:t>We enter into government contracts from time to time with customers in our Government Solutions segment that are subject to various uncertainties, restrictions and regulations, which could result in withholding or delay of payments to us. For example, as of December 31, 2020, NYCDOT had an open receivable balance of $99.4 million, which represented 58.9% of our accounts receivable, net, of which $80.9 million had aged beyond NYCDOT’s 45</w:t>
      </w:r>
      <w:r>
        <w:rPr>
          <w:rFonts w:ascii="MS PGothic" w:cs="MS PGothic" w:eastAsia="MS PGothic" w:hAnsi="MS PGothic"/>
          <w:sz w:val="18"/>
          <w:szCs w:val="18"/>
          <w:color w:val="auto"/>
        </w:rPr>
        <w:t>‑</w:t>
      </w:r>
      <w:r>
        <w:rPr>
          <w:rFonts w:ascii="Arial" w:cs="Arial" w:eastAsia="Arial" w:hAnsi="Arial"/>
          <w:sz w:val="18"/>
          <w:szCs w:val="18"/>
          <w:color w:val="auto"/>
        </w:rPr>
        <w:t>day payment terms. For additional information on the risks and uncertainties relating to our contracts with NYCDOT, please see the risk factor entitled “</w:t>
      </w:r>
      <w:r>
        <w:rPr>
          <w:rFonts w:ascii="Arial" w:cs="Arial" w:eastAsia="Arial" w:hAnsi="Arial"/>
          <w:sz w:val="18"/>
          <w:szCs w:val="18"/>
          <w:i w:val="1"/>
          <w:iCs w:val="1"/>
          <w:color w:val="auto"/>
        </w:rPr>
        <w:t>The New York City Law Department recently advised us that the City of New York is investigating certain aspects of our installation work</w:t>
      </w:r>
      <w:r>
        <w:rPr>
          <w:rFonts w:ascii="Arial" w:cs="Arial" w:eastAsia="Arial" w:hAnsi="Arial"/>
          <w:sz w:val="18"/>
          <w:szCs w:val="18"/>
          <w:color w:val="auto"/>
        </w:rPr>
        <w:t xml:space="preserve"> </w:t>
      </w:r>
      <w:r>
        <w:rPr>
          <w:rFonts w:ascii="Arial" w:cs="Arial" w:eastAsia="Arial" w:hAnsi="Arial"/>
          <w:sz w:val="18"/>
          <w:szCs w:val="18"/>
          <w:i w:val="1"/>
          <w:iCs w:val="1"/>
          <w:color w:val="auto"/>
        </w:rPr>
        <w:t>for our largest customer, NYCDOT</w:t>
      </w:r>
      <w:r>
        <w:rPr>
          <w:rFonts w:ascii="Arial" w:cs="Arial" w:eastAsia="Arial" w:hAnsi="Arial"/>
          <w:sz w:val="18"/>
          <w:szCs w:val="18"/>
          <w:color w:val="auto"/>
        </w:rPr>
        <w:t>” above</w:t>
      </w:r>
      <w:r>
        <w:rPr>
          <w:rFonts w:ascii="Arial" w:cs="Arial" w:eastAsia="Arial" w:hAnsi="Arial"/>
          <w:sz w:val="18"/>
          <w:szCs w:val="18"/>
          <w:i w:val="1"/>
          <w:iCs w:val="1"/>
          <w:color w:val="auto"/>
        </w:rPr>
        <w:t>.</w:t>
      </w:r>
    </w:p>
    <w:p>
      <w:pPr>
        <w:spacing w:after="0" w:line="81" w:lineRule="exact"/>
        <w:rPr>
          <w:sz w:val="20"/>
          <w:szCs w:val="20"/>
          <w:color w:val="auto"/>
        </w:rPr>
      </w:pPr>
    </w:p>
    <w:p>
      <w:pPr>
        <w:ind w:right="80" w:firstLine="540"/>
        <w:spacing w:after="0" w:line="257" w:lineRule="auto"/>
        <w:rPr>
          <w:sz w:val="20"/>
          <w:szCs w:val="20"/>
          <w:color w:val="auto"/>
        </w:rPr>
      </w:pPr>
      <w:r>
        <w:rPr>
          <w:rFonts w:ascii="Arial" w:cs="Arial" w:eastAsia="Arial" w:hAnsi="Arial"/>
          <w:sz w:val="18"/>
          <w:szCs w:val="18"/>
          <w:color w:val="auto"/>
        </w:rPr>
        <w:t>Government entities typically finance projects through appropriated funds. While these projects are often planned and executed as multi-year projects, government entities usually reserve the right to change the scope of or terminate these projects for lack of approved funding or at their convenience. Changes in government or political developments, including administrative hurdles, budget deficits, shortfalls or uncertainties, government spending reductions or other debt or funding constraints, could result in our government contracts being reduced in price or scope or terminated altogether, as well as limit our ability to win new government work in the future.</w:t>
      </w:r>
    </w:p>
    <w:p>
      <w:pPr>
        <w:spacing w:after="0" w:line="66" w:lineRule="exact"/>
        <w:rPr>
          <w:sz w:val="20"/>
          <w:szCs w:val="20"/>
          <w:color w:val="auto"/>
        </w:rPr>
      </w:pPr>
    </w:p>
    <w:p>
      <w:pPr>
        <w:ind w:right="20" w:firstLine="540"/>
        <w:spacing w:after="0" w:line="301" w:lineRule="auto"/>
        <w:rPr>
          <w:sz w:val="20"/>
          <w:szCs w:val="20"/>
          <w:color w:val="auto"/>
        </w:rPr>
      </w:pPr>
      <w:r>
        <w:rPr>
          <w:rFonts w:ascii="Arial" w:cs="Arial" w:eastAsia="Arial" w:hAnsi="Arial"/>
          <w:sz w:val="16"/>
          <w:szCs w:val="16"/>
          <w:color w:val="auto"/>
        </w:rPr>
        <w:t>Moreover, if a government customer does not follow the requisite procurement or ordinance-specific administrative procedures, the contract may be subject to protest or voidable regardless of whether we bear any responsibility for the error. Our government contracts often include other one-sided, customer-friendly provisions and certifications, including broad indemnification provisions and uncapped exposure or liquidated damages for certain liabilities, which can impose obligations, requirements, and liabilities on us that are beyond those associated with a typical commercial arrangement.</w:t>
      </w:r>
    </w:p>
    <w:p>
      <w:pPr>
        <w:spacing w:after="0" w:line="22" w:lineRule="exact"/>
        <w:rPr>
          <w:sz w:val="20"/>
          <w:szCs w:val="20"/>
          <w:color w:val="auto"/>
        </w:rPr>
      </w:pPr>
    </w:p>
    <w:p>
      <w:pPr>
        <w:ind w:right="60" w:firstLine="540"/>
        <w:spacing w:after="0" w:line="290" w:lineRule="auto"/>
        <w:rPr>
          <w:sz w:val="20"/>
          <w:szCs w:val="20"/>
          <w:color w:val="auto"/>
        </w:rPr>
      </w:pPr>
      <w:r>
        <w:rPr>
          <w:rFonts w:ascii="Arial" w:cs="Arial" w:eastAsia="Arial" w:hAnsi="Arial"/>
          <w:sz w:val="16"/>
          <w:szCs w:val="16"/>
          <w:color w:val="auto"/>
        </w:rPr>
        <w:t>In addition, government contracts are generally subject to audits and investigations by government agencies or higher-tier government contractors. If improper or illegal activities or contractual non-compliance are identified, including improper billing or vendor non-compliance, we may be subject to various civil and criminal penalties and administrative sanctions, which may include termination of contracts, forfeiture of profits, suspension of payments, the imposition of fines, penalties and sanctions, and suspensions or debarment from doing business for or on behalf of the government in the future. If penalties or other restrictions are imposed in one jurisdiction, it could also implicate similar provisions of contracts with other government customers in other jurisdictions. Further, the negative publicity related to these penalties, sanctions or findings in government audits or investigations could harm our reputation and hinder our ability to compete for new contracts with government customers and in the private sector. Any of the foregoing or any other reduction in revenue from government customers could have a material adverse effect on our business, financial condition and results of operations.</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decreases in the prevalence of automated and other similar methods of photo enforcement or the use of tolling could have a material adverse effect on our business.</w:t>
      </w:r>
    </w:p>
    <w:p>
      <w:pPr>
        <w:spacing w:after="0" w:line="35"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provide automated safety solutions to local government agencies, generating revenues through automated photo enforcement of red-light, school bus, speed limit and bus lane laws. In 2020, revenues from this segment represented approximately 54.1% of our revenues. Therefore, we depend on federal, state and local governments authorizing the use of automated photo enforcement and not otherwise materially restricting its use. In states that have enabling legislation, if that legislation is not renewed or is otherwise repealed, use of automated enforcement technology can be suspended until new legislation is passed. For example, in June 2019, the state of Texas passed a law prohibiting red-light photo enforcement programs across the state, with certain carve-outs for some existing programs. The passage of this law resulted in a loss of revenue in the years ended December 31, 2019 and 2020 and a related impairment of assets in the year ended December 31, 2019.</w:t>
      </w:r>
    </w:p>
    <w:p>
      <w:pPr>
        <w:spacing w:after="0" w:line="56"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Ballot initiatives, referendums, opinions of attorneys general, and legal challenges can also be used to restrict the use of automated enforcement or to impose additional licensing requirements on its use. For example, the Attorneys General in the states of Arizona, Tennessee and Virginia have issued opinions that had the effect of limiting the use of these enforcement technologies or impacting the manner in which photo enforcement programs operate. Usage may also be affected if there is an unfavorable shift in political support for or public sentiment towards automated enforcement, or as a result of one or more scandals related to its use.</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Similarly, our Commercial Services business may be materially impacted if there is an unfavorable shift 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right="220"/>
        <w:spacing w:after="0" w:line="259" w:lineRule="auto"/>
        <w:rPr>
          <w:sz w:val="20"/>
          <w:szCs w:val="20"/>
          <w:color w:val="auto"/>
        </w:rPr>
      </w:pPr>
      <w:r>
        <w:rPr>
          <w:rFonts w:ascii="Arial" w:cs="Arial" w:eastAsia="Arial" w:hAnsi="Arial"/>
          <w:sz w:val="18"/>
          <w:szCs w:val="18"/>
          <w:color w:val="auto"/>
        </w:rPr>
        <w:t>political support for or public sentiment towards tolling or its use is materially restricted or limited, including through the imposition of limits on the fees RAC companies can charge their customers for tolling services. Any material restriction or limitation on the use of automated enforcement or material reduction in its use in the markets we serve, or any similar changes with respect to tolling, could have a material adverse effect on our business, financial condition and results of operations.</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any failure to keep up with technological developments and changing customer preferences could have a material adverse effect on our business.</w:t>
      </w:r>
    </w:p>
    <w:p>
      <w:pPr>
        <w:spacing w:after="0" w:line="49"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The markets for our solutions are increasingly competitive, rapidly evolving and fragmented, and are subject to changing technology and shifting customer needs. A number of vendors develop and market products and services that compete to varying extents with our offerings, and we expect this competition to continue to intensify. The rapid rate of technological change in our industry could increase the chances that we will face competition from new products or services designed by companies that we do not currently compete with. Moreover, we face competition from our own customers as they may choose to invest in developing their own internal solutions.</w:t>
      </w:r>
    </w:p>
    <w:p>
      <w:pPr>
        <w:spacing w:after="0" w:line="66" w:lineRule="exact"/>
        <w:rPr>
          <w:sz w:val="20"/>
          <w:szCs w:val="20"/>
          <w:color w:val="auto"/>
        </w:rPr>
      </w:pPr>
    </w:p>
    <w:p>
      <w:pPr>
        <w:jc w:val="both"/>
        <w:ind w:right="200" w:firstLine="589"/>
        <w:spacing w:after="0" w:line="263" w:lineRule="auto"/>
        <w:rPr>
          <w:sz w:val="20"/>
          <w:szCs w:val="20"/>
          <w:color w:val="auto"/>
        </w:rPr>
      </w:pPr>
      <w:r>
        <w:rPr>
          <w:rFonts w:ascii="Arial" w:cs="Arial" w:eastAsia="Arial" w:hAnsi="Arial"/>
          <w:sz w:val="18"/>
          <w:szCs w:val="18"/>
          <w:color w:val="auto"/>
        </w:rPr>
        <w:t>Competition in our markets is primarily based on (a) the quality, reliability and efficacy of the solution; (b) customer awareness of offerings; (c) pricing; (d) functionality and features, including ease of use and broad application; (e) the customer experience; (f) the breadth and depth of products and services offered; (g) reputation and track record; (h) technical expertise; and (i) security.</w:t>
      </w:r>
    </w:p>
    <w:p>
      <w:pPr>
        <w:spacing w:after="0" w:line="4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Currently, we compete with several other companies, ranging from small, regional or specialized firms to large, diversified companies. Some of our existing competitors and potential new competitors have longer operating histories, greater name recognition, less debt, more established customer bases and significantly greater financial, technical, research and development, marketing and other resources than we do. As a result, our competitors may be able to respond more quickly and effectively than we can to new or changing opportunities, technologies, standards or customer requirements. In some cases, our competitors may be better positioned to initiate or withstand substantial price competition, and we may have to reduce our pricing to retain existing business or obtain new business. If we are not able to maintain favorable pricing for our solutions, our profit margin and profitability could suffer. In addition, if a prospective customer is currently using a competing solution, the customer may be unwilling to switch to our solution without setup support services or other incentives. Certain existing and new competitors may be better positioned to acquire competitive solutions, effectively negotiate third-party licenses and other strategic relationships, and take advantage of acquisition or other similar expansion opportunities. Industry consolidation could further increase competition, and competitors may also establish relationships or form alliances. Any failure to achieve our target pricing levels, maintain existing customer relationships, generate additional customer wins or otherwise successfully compete would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products and services and changes to existing products and services may not succeed.</w:t>
      </w:r>
    </w:p>
    <w:p>
      <w:pPr>
        <w:spacing w:after="0" w:line="90"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ability to retain, increase, and engage our customer base and to increase our revenue depends, in large part, on our ability to continue to evolve existing solutions and to create successful new solutions. We may introduce significant changes to our existing solutions or acquire or introduce new and unproven products and services, including using technologies or entering markets or industries in which we have little or no experience. For example, in September 2018, we launched Peasy, our cloud-based, pay-as-you-go tolling solution targeting consumers, a market segment that we had not previously targeted directly. Consumer adoption of Peasy was slower than anticipated, and the product did not generate meaningful revenue during the year ended December 31, 2020, and we therefore ceased marketing and further investment in Peasy. We have only indirect exposure to the consumer segment through our business with the RAC industry, but in those instances, our customer controls the pricing, marketing, consumer disclosures and other aspects of the consumer relationship. As such, the consumers’ view of us and their willingness to try our solutions may be impacted by their experience with our tolling services delivered by our RAC customers. Additionally, our rollout of RAC tolling has been slower than anticipated. The failure of any new or enhanced solution to achieve customer adoption or our failure to otherwise successfully monetize our development efforts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b w:val="1"/>
          <w:bCs w:val="1"/>
          <w:i w:val="1"/>
          <w:iCs w:val="1"/>
          <w:color w:val="auto"/>
        </w:rPr>
        <w:t>We regularly pursue contracts and contract renewals, particularly in our Government Solutions segment, that require competitive bidding, which can involve substantial costs and could have a material adverse effect on our business.</w:t>
      </w:r>
    </w:p>
    <w:p>
      <w:pPr>
        <w:spacing w:after="0" w:line="49"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Many of the government contracts and renewals for which we bid, particularly those for certain larger government customers, are extremely complex and require the investment of significant resources in order to prepare accurate bids and proposals. Further, a significant percentage of new customer growth opportunities in our Government Solutions and EPC businesses are only accessible through competitive bidding. Competitive bidding imposes substantial costs and presents several risks, including significant time and effort and the commitment of resources, regardless of whether the job is ultimately won. We may also be unable to meet the requirements of a solicitation or may have to incur substantial costs to be able to do so. These and other unanticipated costs related to the competitive bidding process, including advancing or defending bid protests, and any failure to win renewals or new customer accounts through the competitive bidding process, could have a material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recover capital and other investments in connection with our contracts could have a material adverse effect on our business.</w:t>
      </w:r>
    </w:p>
    <w:p>
      <w:pPr>
        <w:spacing w:after="0" w:line="12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sometimes make significant capital and other investments to attract and retain certain contracts, such as the cost of purchasing information technology equipment, constructing and installing photo enforcement systems and developing and implementing software and labor resources. The net book value of certain assets recorded, including a portion of our intangible assets, could be impaired in the event of the early termination of some or all of a contract or a reduction in volume and services under the contract for any number of reasons, including the failure or deterioration of the customer’s business, a customer’s exercise of contract termination or program cancellation rights or a change in law or interpretation thereof that suspends or terminates photo enforcement activities. Any failure to recover our investments underlying customer agreements could have a material adverse effect on our business, financial condition and results of operations. For example, in June 2019, the state of Texas passed a law prohibiting red-light photo enforcement programs across the state, with certain carve-outs for some existing programs. The passage of this law resulted in a loss of revenue in the years ended December 31, 2019 and 2020 and a related impairment of assets for the year ended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successfully implement our acquisition strategy could have a material adverse effect on our business.</w:t>
      </w:r>
    </w:p>
    <w:p>
      <w:pPr>
        <w:spacing w:after="0" w:line="9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have grown in large part as a result of our recent acquisitions, including the acquisitions of HTA, EPC and Pagatelia, and we recently signed an agreement to acquire Redflex, and we anticipate continuing to grow in this manner. Although we expect to regularly consider additional strategic transactions in the future, we may not identify suitable opportunities or, if we do identify prospects, it may not be possible to consummate a transaction on acceptable terms. Antitrust or other competition laws may also limit our ability to acquire or work collaboratively with certain businesses or to fully realize the benefits of a prospective acquisition. Furthermore, a significant change in our business or the economy, an unexpected decrease in our cash flows or any restrictions imposed by our indebtedness may limit our ability to obtain the necessary capital or otherwise impede our ability to complete a transaction. Regularly considering strategic transactions can also divert management’s attention and lead to significant due diligence and other expenses regardless of whether we pursue or consummate any transaction. Failure to identify suitable transaction partners and to consummate transactions on acceptable terms, as well as the commitment of time and resources in connection with such transactions,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successfully integrate our recent or future acquisitions could have a material adverse effect on our business.</w:t>
      </w:r>
    </w:p>
    <w:p>
      <w:pPr>
        <w:spacing w:after="0" w:line="185" w:lineRule="exact"/>
        <w:rPr>
          <w:sz w:val="20"/>
          <w:szCs w:val="20"/>
          <w:color w:val="auto"/>
        </w:rPr>
      </w:pPr>
    </w:p>
    <w:p>
      <w:pPr>
        <w:jc w:val="both"/>
        <w:ind w:right="80" w:firstLine="589"/>
        <w:spacing w:after="0" w:line="259" w:lineRule="auto"/>
        <w:rPr>
          <w:sz w:val="20"/>
          <w:szCs w:val="20"/>
          <w:color w:val="auto"/>
        </w:rPr>
      </w:pPr>
      <w:r>
        <w:rPr>
          <w:rFonts w:ascii="Arial" w:cs="Arial" w:eastAsia="Arial" w:hAnsi="Arial"/>
          <w:sz w:val="18"/>
          <w:szCs w:val="18"/>
          <w:color w:val="auto"/>
        </w:rPr>
        <w:t>In January 2021 we entered into an agreement to acquire Redflex, and we recently acquired HTA, EPC and Pagatelia. The integration of acquired businesses requires significant time and exposes us to significant risks and additional costs. Integrating these and other acquired businesses may strain our resources. Further, we may have difficulty integrating the operations, systems, controls, procedures or products of acquired businesses and may not be able to do so in a timely, efficient and cost-effective manner.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600"/>
        <w:spacing w:after="0"/>
        <w:rPr>
          <w:sz w:val="20"/>
          <w:szCs w:val="20"/>
          <w:color w:val="auto"/>
        </w:rPr>
      </w:pPr>
      <w:r>
        <w:rPr>
          <w:rFonts w:ascii="Arial" w:cs="Arial" w:eastAsia="Arial" w:hAnsi="Arial"/>
          <w:sz w:val="18"/>
          <w:szCs w:val="18"/>
          <w:color w:val="auto"/>
        </w:rPr>
        <w:t>These difficulties could include:</w:t>
      </w:r>
    </w:p>
    <w:p>
      <w:pPr>
        <w:spacing w:after="0" w:line="293" w:lineRule="exact"/>
        <w:rPr>
          <w:sz w:val="20"/>
          <w:szCs w:val="20"/>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combining management teams, strategies and philosophies;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merging or linking different accounting and financial reporting systems and systems of internal controls;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assimilating personnel, human resources and other administrative departments and potentially contrasting corporate cultures;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merging computer, technology and other information networks and systems;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disrupting our relationship with or losing key customers, suppliers or personnel;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interference with, or loss of momentum in, our ongoing business or that of the acquired company.</w:t>
      </w:r>
    </w:p>
    <w:p>
      <w:pPr>
        <w:spacing w:after="0" w:line="225"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We have not fully integrated HTA, EPC or Pagatelia and may encounter one or more of the issues discussed above, or others of which we are not yet aware. We have determined not to fully integrate HTA’s operating systems onto our legacy information technology systems, which could lead to separate risks and inefficiencies. Any of these acquisition or other integration-related issues could cause significant disruption to our business, divert the attention of management and lead to substantial additional costs and delays. Our inability to successfully integrate acquired businesses could have a material adverse effect on our business, financial condition and results of operations.</w:t>
      </w: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failure to realize the anticipated benefits of an acquisition, including unanticipated expenses and liabilities related to acquisitions, could have a material adverse effect on our business.</w:t>
      </w:r>
    </w:p>
    <w:p>
      <w:pPr>
        <w:spacing w:after="0" w:line="49" w:lineRule="exact"/>
        <w:rPr>
          <w:sz w:val="20"/>
          <w:szCs w:val="20"/>
          <w:color w:val="auto"/>
        </w:rPr>
      </w:pPr>
    </w:p>
    <w:p>
      <w:pPr>
        <w:ind w:right="40" w:firstLine="540"/>
        <w:spacing w:after="0" w:line="286" w:lineRule="auto"/>
        <w:rPr>
          <w:sz w:val="20"/>
          <w:szCs w:val="20"/>
          <w:color w:val="auto"/>
        </w:rPr>
      </w:pPr>
      <w:r>
        <w:rPr>
          <w:rFonts w:ascii="Arial" w:cs="Arial" w:eastAsia="Arial" w:hAnsi="Arial"/>
          <w:sz w:val="16"/>
          <w:szCs w:val="16"/>
          <w:color w:val="auto"/>
        </w:rPr>
        <w:t>We pursue each acquisition with the expectation that the transaction will result in various benefits, including growth opportunities and synergies from increased efficiencies. However, even if we are able to successfully integrate an acquired business, we may not realize some or all of the anticipated benefits within the anticipated timeframes or at all. Furthermore, we may experience increased competition that limits our ability to expand our business, we may not be able to capitalize on expected business opportunities, and general industry and business conditions may deteriorate. Acquisitions also expose us to significant risks and costs, and business and operational overlaps may lead to hidden costs. These costs can include unforeseen pre-acquisition liabilities or the impairment of customer relationships or acquired assets, such as goodwill. We may also incur costs and inefficiencies to the extent an acquisition expands the industries, markets or geographies in which we operate due to our limited exposure to and experience in a given industry, market or region. For example, our January 2021 agreement to acquire Redflex exposes us to currency fluctuations and conversion risks because the purchase price is in Australian dollars, which presents the risk of loss from the conversion of U.S. dollars to Australian dollars at the time of closing. Significant acquisitions may also require us to incur additional debt to finance the transactions, which could limit our flexibility in using our cash flow from operations for other purposes. Acquisitions often involve post-transaction disputes with the counterparty regarding a number of matters, including disagreements over the amount of a purchase price or other working capital adjustment or disputes regarding whether certain liabilities are covered by the indemnification provisions of the transaction agreement. We may underestimate the level of certain costs or the exposure we may face as a result of acquired liabilities. If any of these or other factors limit our ability to achieve the anticipated benefits of a transaction, or we encounter other unexpected transaction-related costs and liabilities, our business, financial condition and results of operations could be materially and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in or breach of our networks or systems, including as a result of cyber-attacks, could have a material adverse effect on our business.</w:t>
      </w:r>
    </w:p>
    <w:p>
      <w:pPr>
        <w:spacing w:after="0" w:line="113" w:lineRule="exact"/>
        <w:rPr>
          <w:sz w:val="20"/>
          <w:szCs w:val="20"/>
          <w:color w:val="auto"/>
        </w:rPr>
      </w:pPr>
    </w:p>
    <w:p>
      <w:pPr>
        <w:ind w:right="40" w:firstLine="540"/>
        <w:spacing w:after="0" w:line="291" w:lineRule="auto"/>
        <w:rPr>
          <w:sz w:val="20"/>
          <w:szCs w:val="20"/>
          <w:color w:val="auto"/>
        </w:rPr>
      </w:pPr>
      <w:r>
        <w:rPr>
          <w:rFonts w:ascii="Arial" w:cs="Arial" w:eastAsia="Arial" w:hAnsi="Arial"/>
          <w:sz w:val="16"/>
          <w:szCs w:val="16"/>
          <w:color w:val="auto"/>
        </w:rPr>
        <w:t>We act as a trusted business partner in both front office and back office platforms, interacting with our customers and other third parties. Our customers include large, multinational corporations and government agencies who depend upon our operational efficiency, non-interruption of service, and accuracy and security of information. We receive, process, transmit and store substantial volumes of information relating to identifiable individuals, both in our role as a back-end or direct-to-consumer service provider and as an employer, and receive, process and implement financial transactions, and disburse funds, which requires us to receive debit and credit card information. We also use third-party providers such as subcontractors, software vendors, utility providers and network providers, upon whom we rely to offer our products, services and solutions. As a result of these and other aspects of our business, the integrity, security and accuracy of our systems and information technology, and that of the third parties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with which we interact, including our customers and other government agencies with which we work, are extremely important.</w:t>
      </w:r>
    </w:p>
    <w:p>
      <w:pPr>
        <w:spacing w:after="0" w:line="104" w:lineRule="exact"/>
        <w:rPr>
          <w:sz w:val="20"/>
          <w:szCs w:val="20"/>
          <w:color w:val="auto"/>
        </w:rPr>
      </w:pPr>
    </w:p>
    <w:p>
      <w:pPr>
        <w:ind w:right="60" w:firstLine="540"/>
        <w:spacing w:after="0" w:line="272" w:lineRule="auto"/>
        <w:rPr>
          <w:sz w:val="20"/>
          <w:szCs w:val="20"/>
          <w:color w:val="auto"/>
        </w:rPr>
      </w:pPr>
      <w:r>
        <w:rPr>
          <w:rFonts w:ascii="Arial" w:cs="Arial" w:eastAsia="Arial" w:hAnsi="Arial"/>
          <w:sz w:val="17"/>
          <w:szCs w:val="17"/>
          <w:color w:val="auto"/>
        </w:rPr>
        <w:t>Our cybersecurity and processing systems, as well as those of the third parties with which we interact, may be damaged, disrupted or otherwise breached for a number of reasons, including power outages, computer and telecommunication failures, computer viruses, malware or other destructive software, internal design, manual or usage errors, cyber-attacks, terrorism, workplace violence or wrongdoing, catastrophic events, natural disasters, severe weather conditions, and remote work arrangements instituted in response to COVID-19. Our visibility and role as a processor of transactions containing personally identifiable information may also put us at a greater risk of being targeted by hackers. In the normal course of our business, we have been the target of malicious cyber-attack attempts. The perception that the COVID-19 pandemic has made companies’ information technology systems more vulnerable has additionally increased the already significant volume of such attempts.</w:t>
      </w:r>
    </w:p>
    <w:p>
      <w:pPr>
        <w:spacing w:after="0" w:line="42" w:lineRule="exact"/>
        <w:rPr>
          <w:sz w:val="20"/>
          <w:szCs w:val="20"/>
          <w:color w:val="auto"/>
        </w:rPr>
      </w:pPr>
    </w:p>
    <w:p>
      <w:pPr>
        <w:ind w:right="20" w:firstLine="540"/>
        <w:spacing w:after="0" w:line="254" w:lineRule="auto"/>
        <w:rPr>
          <w:sz w:val="20"/>
          <w:szCs w:val="20"/>
          <w:color w:val="auto"/>
        </w:rPr>
      </w:pPr>
      <w:r>
        <w:rPr>
          <w:rFonts w:ascii="Arial" w:cs="Arial" w:eastAsia="Arial" w:hAnsi="Arial"/>
          <w:sz w:val="18"/>
          <w:szCs w:val="18"/>
          <w:color w:val="auto"/>
        </w:rPr>
        <w:t>In addition, numerous and evolving cybersecurity threats, including advanced and persistent cyber-attacks, phishing and social engineering schemes could compromise the confidentiality, availability and integrity of data in our systems as well as those of the third parties with which we interact. The security measures and procedures we and the third parties with which we interact have in place to protect sensitive consumer data and other information may not be successful or sufficient to counter all data breaches, cyber-attacks, or system failures. Further, employee error or malfeasance, faulty password management or other irregularities may result in a defeat of security measures or a system breach. Although we devote significant resources to our cybersecurity programs and have implemented security measures to protect our systems and data, and to prevent, detect and respond to data security incidents, in each case that we believe are reasonable and appropriate, these efforts, and the efforts of third parties with which we interact, may not prevent these or other threats.</w:t>
      </w:r>
    </w:p>
    <w:p>
      <w:pPr>
        <w:spacing w:after="0" w:line="70" w:lineRule="exact"/>
        <w:rPr>
          <w:sz w:val="20"/>
          <w:szCs w:val="20"/>
          <w:color w:val="auto"/>
        </w:rPr>
      </w:pPr>
    </w:p>
    <w:p>
      <w:pPr>
        <w:ind w:right="20" w:firstLine="540"/>
        <w:spacing w:after="0" w:line="301" w:lineRule="auto"/>
        <w:rPr>
          <w:sz w:val="20"/>
          <w:szCs w:val="20"/>
          <w:color w:val="auto"/>
        </w:rPr>
      </w:pPr>
      <w:r>
        <w:rPr>
          <w:rFonts w:ascii="Arial" w:cs="Arial" w:eastAsia="Arial" w:hAnsi="Arial"/>
          <w:sz w:val="16"/>
          <w:szCs w:val="16"/>
          <w:color w:val="auto"/>
        </w:rPr>
        <w:t>Moreover, because the techniques used to obtain unauthorized access, or to disable or degrade systems change frequently, have become increasingly more complex and sophisticated, and may be difficult to detect for periods of time, we and the third parties with which we interact may not anticipate these acts or respond adequately or timely. As these threats continue to evolve and increase, we may be required to devote significant additional resources in order to modify and enhance our security controls and to identify and remediate any security vulnerabilities or diligencing those of third parties.</w:t>
      </w:r>
    </w:p>
    <w:p>
      <w:pPr>
        <w:spacing w:after="0" w:line="36" w:lineRule="exact"/>
        <w:rPr>
          <w:sz w:val="20"/>
          <w:szCs w:val="20"/>
          <w:color w:val="auto"/>
        </w:rPr>
      </w:pPr>
    </w:p>
    <w:p>
      <w:pPr>
        <w:ind w:right="60" w:firstLine="540"/>
        <w:spacing w:after="0" w:line="254" w:lineRule="auto"/>
        <w:rPr>
          <w:sz w:val="20"/>
          <w:szCs w:val="20"/>
          <w:color w:val="auto"/>
        </w:rPr>
      </w:pPr>
      <w:r>
        <w:rPr>
          <w:rFonts w:ascii="Arial" w:cs="Arial" w:eastAsia="Arial" w:hAnsi="Arial"/>
          <w:sz w:val="18"/>
          <w:szCs w:val="18"/>
          <w:color w:val="auto"/>
        </w:rPr>
        <w:t>If we are sued in connection with any data security breach or system failure, we could be involved in protracted litigation. In addition, a breach could lead to unfavorable publicity and significant damage to our brand, the loss of existing and potential customers, allegations by customers that we have not performed or breached our contractual obligations, or decreased use and acceptance of our solutions. A breach or failure may also subject us to additional regulations or governmental or regulatory scrutiny, which could result in significant compliance costs, fines or enforcement actions, or potential restrictions imposed by regulators on our ability to operate our business. A security breach would also likely require us to devote significant management and other resources to address the problems created by the security breach. Any of the foregoing could have a material adverse effect on our business, financial condition and results of operations.</w:t>
      </w:r>
    </w:p>
    <w:p>
      <w:pPr>
        <w:spacing w:after="0" w:line="6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are subject to laws of the United States and foreign jurisdictions relating to privacy, data retention and individually identifiable information, and failure to comply with these laws, whether or not inadvertent, and changes to these laws, could have a material adverse effect on our business.</w:t>
      </w:r>
    </w:p>
    <w:p>
      <w:pPr>
        <w:spacing w:after="0" w:line="2" w:lineRule="exact"/>
        <w:rPr>
          <w:sz w:val="20"/>
          <w:szCs w:val="20"/>
          <w:color w:val="auto"/>
        </w:rPr>
      </w:pPr>
    </w:p>
    <w:p>
      <w:pPr>
        <w:ind w:right="60" w:firstLine="540"/>
        <w:spacing w:after="0" w:line="269" w:lineRule="auto"/>
        <w:rPr>
          <w:sz w:val="20"/>
          <w:szCs w:val="20"/>
          <w:color w:val="auto"/>
        </w:rPr>
      </w:pPr>
      <w:r>
        <w:rPr>
          <w:rFonts w:ascii="Arial" w:cs="Arial" w:eastAsia="Arial" w:hAnsi="Arial"/>
          <w:sz w:val="17"/>
          <w:szCs w:val="17"/>
          <w:color w:val="auto"/>
        </w:rPr>
        <w:t>We receive, process, transmit and store information relating to identifiable individuals, both in our role as a service provider and as an employer. In addition, we receive, process, transmit and store other sensitive data, such as photographs taken and video recorded, as part of our Government Solutions programs. As a result, we are subject to various laws and regulations regarding privacy and data retention, including regulations by government agencies, such as the FTC, and state, local and foreign agencies. Our data handling also is subject to contractual obligations and industry standards. In the United States, various laws and regulations apply to the collection, processing, disclosure, and security of certain types of data,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 A number of foreign countries and governmental bodies, including the European Union (“</w:t>
      </w:r>
      <w:r>
        <w:rPr>
          <w:rFonts w:ascii="Arial" w:cs="Arial" w:eastAsia="Arial" w:hAnsi="Arial"/>
          <w:sz w:val="17"/>
          <w:szCs w:val="17"/>
          <w:b w:val="1"/>
          <w:bCs w:val="1"/>
          <w:i w:val="1"/>
          <w:iCs w:val="1"/>
          <w:color w:val="auto"/>
        </w:rPr>
        <w:t>EU</w:t>
      </w:r>
      <w:r>
        <w:rPr>
          <w:rFonts w:ascii="Arial" w:cs="Arial" w:eastAsia="Arial" w:hAnsi="Arial"/>
          <w:sz w:val="17"/>
          <w:szCs w:val="17"/>
          <w:color w:val="auto"/>
        </w:rPr>
        <w:t>”), have laws and regulations dealing with the handling and processing of personal information obtained from their residents, which in certain cases are more restrictive than those in the United States. These laws often include obligations on companies to notify individuals of security breaches involving particular personal information, which could result from breaches experienced by us or our third-party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service providers.</w:t>
      </w:r>
    </w:p>
    <w:p>
      <w:pPr>
        <w:spacing w:after="0" w:line="104" w:lineRule="exact"/>
        <w:rPr>
          <w:sz w:val="20"/>
          <w:szCs w:val="20"/>
          <w:color w:val="auto"/>
        </w:rPr>
      </w:pPr>
    </w:p>
    <w:p>
      <w:pPr>
        <w:ind w:right="80" w:firstLine="540"/>
        <w:spacing w:after="0" w:line="290" w:lineRule="auto"/>
        <w:rPr>
          <w:sz w:val="20"/>
          <w:szCs w:val="20"/>
          <w:color w:val="auto"/>
        </w:rPr>
      </w:pPr>
      <w:r>
        <w:rPr>
          <w:rFonts w:ascii="Arial" w:cs="Arial" w:eastAsia="Arial" w:hAnsi="Arial"/>
          <w:sz w:val="16"/>
          <w:szCs w:val="16"/>
          <w:color w:val="auto"/>
        </w:rPr>
        <w:t>These and other laws, regulations and standards relating to privacy are evolving, can be subject to significant change and may result in ever-increasing regulatory and public scrutiny and escalating levels of enforcement and sanctions. The laws and regulations may also be subject to new or different interpretations. For example, in May 2018, the GDPR replaced prior EU regulations, effectively extending the scope of EU data protection law to all non-EU companies processing data of EU residents when certain conditions are satisfied. The GDPR contains numerous, more stringent requirements and changes from prior EU law, including more robust obligations on data processors, greater rights for data subjects, and heavier documentation requirements for data protection compliance programs. The GDPR also provides for increased fines of the greater of up to €20 million or up to 4% of the annual global revenue of the noncompliant company. Further, certain of our U.S. customers, through contractual requirements, could require us to conform all aspects of our business to these more stringent regulations, regardless of whether all of our operations are actually subject to the GDPR.</w:t>
      </w:r>
    </w:p>
    <w:p>
      <w:pPr>
        <w:spacing w:after="0" w:line="30" w:lineRule="exact"/>
        <w:rPr>
          <w:sz w:val="20"/>
          <w:szCs w:val="20"/>
          <w:color w:val="auto"/>
        </w:rPr>
      </w:pPr>
    </w:p>
    <w:p>
      <w:pPr>
        <w:ind w:firstLine="540"/>
        <w:spacing w:after="0" w:line="291" w:lineRule="auto"/>
        <w:rPr>
          <w:sz w:val="20"/>
          <w:szCs w:val="20"/>
          <w:color w:val="auto"/>
        </w:rPr>
      </w:pPr>
      <w:r>
        <w:rPr>
          <w:rFonts w:ascii="Arial" w:cs="Arial" w:eastAsia="Arial" w:hAnsi="Arial"/>
          <w:sz w:val="16"/>
          <w:szCs w:val="16"/>
          <w:color w:val="auto"/>
        </w:rPr>
        <w:t>In June 2018, California enacted the CCPA, which took effect in January 2020. The CCPA gives California residents expanded rights to access and delete their personal information, opt out of certain personal information sharing and receive detailed information about how their personal data is used. The law also provides for civil penalties against companies that fail to comply and creates a private right of action for data breaches. Significant regulations to implement portions of the CCPA were finalized in August of 2020, but a newly proposed set of rule changes was proposed in December 2020. Moreover, a ballot initiative for new privacy laws, including the creation of a new privacy regulatory enforcement agency, will create further changes to the California Privacy Laws through January 2023, when the new laws are scheduled to take effect. Additionally, other state legislatures have proposed bills which will be taken up in 2021, and Congress is considering several privacy bills at the federal level.</w:t>
      </w:r>
    </w:p>
    <w:p>
      <w:pPr>
        <w:spacing w:after="0" w:line="45" w:lineRule="exact"/>
        <w:rPr>
          <w:sz w:val="20"/>
          <w:szCs w:val="20"/>
          <w:color w:val="auto"/>
        </w:rPr>
      </w:pPr>
    </w:p>
    <w:p>
      <w:pPr>
        <w:ind w:right="20" w:firstLine="540"/>
        <w:spacing w:after="0" w:line="254" w:lineRule="auto"/>
        <w:rPr>
          <w:sz w:val="20"/>
          <w:szCs w:val="20"/>
          <w:color w:val="auto"/>
        </w:rPr>
      </w:pPr>
      <w:r>
        <w:rPr>
          <w:rFonts w:ascii="Arial" w:cs="Arial" w:eastAsia="Arial" w:hAnsi="Arial"/>
          <w:sz w:val="18"/>
          <w:szCs w:val="18"/>
          <w:color w:val="auto"/>
        </w:rPr>
        <w:t>The costs of compliance with these privacy-related laws, regulations and industry standards may limit the use or adoption of our solutions, reduce overall demand for our solutions or slow the pace at which we generate revenues. Moreover, if our policies, procedures, or measures relating to these issues fail to comply with the applicable laws, regulations, or industry standards, we may be subject to governmental enforcement actions, litigation, regulatory investigations, fines, penalties and negative publicity, and our application providers, customers and partners may lose trust in or stop doing business with us entirely. We expect that there will continue to be new proposed laws, regulations and industry standards concerning privacy, data protection and information security in the United States, the EU and other jurisdictions, and we cannot yet determine the impact such future laws, regulations and standards may have on our business. Any of the foregoing could have a material adverse effect on our business, financial condition and results of operations.</w:t>
      </w:r>
    </w:p>
    <w:p>
      <w:pPr>
        <w:spacing w:after="0" w:line="70"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color w:val="auto"/>
        </w:rPr>
        <w:t>We publicly post our privacy policies and practices concerning our processing, use and disclosure of the personally identifiable information provided to us by our website visitors and mobile app users. Our publication of our privacy policies and other statements we publish that provide promises and assurances about privacy and security can subject us to potential liability if they are found to be insufficient, defective, deceptive or misrepresentative of our practices.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subject to domestic and foreign laws relating to processing certain financial transactions, including debit or credit card transactions, and failure to comply with those laws, even if inadvertent, could have a material adverse effect on our business.</w:t>
      </w:r>
    </w:p>
    <w:p>
      <w:pPr>
        <w:spacing w:after="0" w:line="49" w:lineRule="exact"/>
        <w:rPr>
          <w:sz w:val="20"/>
          <w:szCs w:val="20"/>
          <w:color w:val="auto"/>
        </w:rPr>
      </w:pPr>
    </w:p>
    <w:p>
      <w:pPr>
        <w:ind w:right="20" w:firstLine="540"/>
        <w:spacing w:after="0" w:line="296" w:lineRule="auto"/>
        <w:rPr>
          <w:sz w:val="20"/>
          <w:szCs w:val="20"/>
          <w:color w:val="auto"/>
        </w:rPr>
      </w:pPr>
      <w:r>
        <w:rPr>
          <w:rFonts w:ascii="Arial" w:cs="Arial" w:eastAsia="Arial" w:hAnsi="Arial"/>
          <w:sz w:val="16"/>
          <w:szCs w:val="16"/>
          <w:color w:val="auto"/>
        </w:rPr>
        <w:t>We process, support and execute financial transactions as part of our business and disburse funds on behalf of certain of our customers. This activity includes receiving debit and credit card information, processing payments for and due to our customers and disbursing funds on payment or debit cards to payees of our customers. As a result, we may be subject to numerous U.S. federal and state and foreign jurisdiction laws and regulations, including the Electronic Fund Transfer Act, the Currency and Foreign Transactions Reporting Act of 1970 (commonly known as the Bank Secrecy Act) and the Uniting and Strengthening America by Providing Appropriate Tools Required to Intercept and Obstruct Terrorism Act of 2001 (the “</w:t>
      </w:r>
      <w:r>
        <w:rPr>
          <w:rFonts w:ascii="Arial" w:cs="Arial" w:eastAsia="Arial" w:hAnsi="Arial"/>
          <w:sz w:val="16"/>
          <w:szCs w:val="16"/>
          <w:b w:val="1"/>
          <w:bCs w:val="1"/>
          <w:i w:val="1"/>
          <w:iCs w:val="1"/>
          <w:color w:val="auto"/>
        </w:rPr>
        <w:t>Patriot Act</w:t>
      </w:r>
      <w:r>
        <w:rPr>
          <w:rFonts w:ascii="Arial" w:cs="Arial" w:eastAsia="Arial" w:hAnsi="Arial"/>
          <w:sz w:val="16"/>
          <w:szCs w:val="16"/>
          <w:color w:val="auto"/>
        </w:rPr>
        <w:t>”).</w:t>
      </w:r>
    </w:p>
    <w:p>
      <w:pPr>
        <w:spacing w:after="0" w:line="26" w:lineRule="exact"/>
        <w:rPr>
          <w:sz w:val="20"/>
          <w:szCs w:val="20"/>
          <w:color w:val="auto"/>
        </w:rPr>
      </w:pPr>
    </w:p>
    <w:p>
      <w:pPr>
        <w:ind w:right="320" w:firstLine="540"/>
        <w:spacing w:after="0" w:line="259" w:lineRule="auto"/>
        <w:rPr>
          <w:sz w:val="20"/>
          <w:szCs w:val="20"/>
          <w:color w:val="auto"/>
        </w:rPr>
      </w:pPr>
      <w:r>
        <w:rPr>
          <w:rFonts w:ascii="Arial" w:cs="Arial" w:eastAsia="Arial" w:hAnsi="Arial"/>
          <w:sz w:val="18"/>
          <w:szCs w:val="18"/>
          <w:color w:val="auto"/>
        </w:rPr>
        <w:t>We are also subject to or voluntarily comply with a number of other laws and regulations relating to privacy and information security, electronic fund transfers, payment services and convenience fees. If we were found to be in violation of applicable laws and regulations, we could be subject to additional liability, including governmental fines or other sanctions, and we could be forced to otherwise change our business practices in certain jurisdictions, or be required to obtain additional licenses or regulatory approvals.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right="80" w:firstLine="540"/>
        <w:spacing w:after="0" w:line="254" w:lineRule="auto"/>
        <w:rPr>
          <w:sz w:val="20"/>
          <w:szCs w:val="20"/>
          <w:color w:val="auto"/>
        </w:rPr>
      </w:pPr>
      <w:r>
        <w:rPr>
          <w:rFonts w:ascii="Arial" w:cs="Arial" w:eastAsia="Arial" w:hAnsi="Arial"/>
          <w:sz w:val="18"/>
          <w:szCs w:val="18"/>
          <w:color w:val="auto"/>
        </w:rPr>
        <w:t>We have implemented policies and procedures to preserve and protect credit card and other payment data against loss, corruption, misappropriation caused by systems failures, unauthorized access or misuse. Notwithstanding these policies and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or collect and store credit card information, which could disrupt our business. Failure to comply with these laws may subject us to, among other things, additional costs or changes to our business practices, liability for monetary damages, fines or criminal prosecution, unfavorable publicity, restrictions on our ability to process and support financial transactions and allegations by customers that we have not performed our contractual obligations, any of which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Human Capital Management</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the services of key executives and any inability to attract and retain key management personnel could have a material adverse effect on our business.</w:t>
      </w:r>
    </w:p>
    <w:p>
      <w:pPr>
        <w:spacing w:after="0" w:line="49" w:lineRule="exact"/>
        <w:rPr>
          <w:sz w:val="20"/>
          <w:szCs w:val="20"/>
          <w:color w:val="auto"/>
        </w:rPr>
      </w:pPr>
    </w:p>
    <w:p>
      <w:pPr>
        <w:ind w:firstLine="540"/>
        <w:spacing w:after="0" w:line="288" w:lineRule="auto"/>
        <w:rPr>
          <w:sz w:val="20"/>
          <w:szCs w:val="20"/>
          <w:color w:val="auto"/>
        </w:rPr>
      </w:pPr>
      <w:r>
        <w:rPr>
          <w:rFonts w:ascii="Arial" w:cs="Arial" w:eastAsia="Arial" w:hAnsi="Arial"/>
          <w:sz w:val="16"/>
          <w:szCs w:val="16"/>
          <w:color w:val="auto"/>
        </w:rPr>
        <w:t>Our future success depends upon the continued services of our executive officers, including our Chief Executive Officer and Chief Financial Officer, who have critical experience and relationships that we rely on to implement our business plan and growth strategy. 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should any members of the management team leave or be terminated is dependent on a number of factors, including the competitive nature of the employment market and our industry. Any failure to retain key management personnel or to attract additional or suitable replacement personnel could cause uncertainty among investors, employees, customers and others concerning our future direction and performance and could have a material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to attract and retain necessary skilled personnel and qualified subcontractors could have a material adverse effect on our business.</w:t>
      </w:r>
    </w:p>
    <w:p>
      <w:pPr>
        <w:spacing w:after="0" w:line="127" w:lineRule="exact"/>
        <w:rPr>
          <w:sz w:val="20"/>
          <w:szCs w:val="20"/>
          <w:color w:val="auto"/>
        </w:rPr>
      </w:pPr>
    </w:p>
    <w:p>
      <w:pPr>
        <w:ind w:right="100" w:firstLine="589"/>
        <w:spacing w:after="0" w:line="268" w:lineRule="auto"/>
        <w:rPr>
          <w:sz w:val="20"/>
          <w:szCs w:val="20"/>
          <w:color w:val="auto"/>
        </w:rPr>
      </w:pPr>
      <w:r>
        <w:rPr>
          <w:rFonts w:ascii="Arial" w:cs="Arial" w:eastAsia="Arial" w:hAnsi="Arial"/>
          <w:sz w:val="17"/>
          <w:szCs w:val="17"/>
          <w:color w:val="auto"/>
        </w:rPr>
        <w:t>Our business depends on highly skilled technical, managerial, engineering, sales, marketing and customer support personnel and qualified and competent subcontractors. Competition for these personnel is intense, especially during times of low unemployment or economic recovery or growth. Any failure to attract, hire, assimilate in a timely manner and retain and motivate key qualified personnel, particularly software development, product development, analytics and other technical personnel, or inability to contract with qualified, competent subcontractors, could impair our success. Additionally, certain portions of our Government Solutions operations are dependent on employees who are subject to a collective bargaining agreement. When the collective bargaining agreement becomes subject to renegotiation or if we face union organizing drives, any disagreement between us and the union on important issues may lead to a strike, work slowdown or other job actions in one or more locations we serve. A strike, work slowdown or other job action could disrupt our services, resulting in reduced revenues or contract cancellations. State or local law in some jurisdictions requires that subcontractors for our Government Solutions segment are certified by the jurisdiction, and the failure on the part of our subcontractors to obtain and maintain such certification could impact their ability to perform services for us. Further, our acquisition activity could increase the challenge of retaining our key employees and subcontractors and those of the acquired businesses. The loss of any key technical employee or the termination of a key subcontractor relationship, and any inability to identify suitable replacements or offer reasonable terms to these candidates, could have a material and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in international markets expose us to additional risks, and failure to manage those risks could have a material adverse effect on our business.</w:t>
      </w:r>
    </w:p>
    <w:p>
      <w:pPr>
        <w:spacing w:after="0" w:line="4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have subsidiaries in the United Kingdom (“</w:t>
      </w:r>
      <w:r>
        <w:rPr>
          <w:rFonts w:ascii="Arial" w:cs="Arial" w:eastAsia="Arial" w:hAnsi="Arial"/>
          <w:sz w:val="18"/>
          <w:szCs w:val="18"/>
          <w:b w:val="1"/>
          <w:bCs w:val="1"/>
          <w:i w:val="1"/>
          <w:iCs w:val="1"/>
          <w:color w:val="auto"/>
        </w:rPr>
        <w:t>UK</w:t>
      </w:r>
      <w:r>
        <w:rPr>
          <w:rFonts w:ascii="Arial" w:cs="Arial" w:eastAsia="Arial" w:hAnsi="Arial"/>
          <w:sz w:val="18"/>
          <w:szCs w:val="18"/>
          <w:color w:val="auto"/>
        </w:rPr>
        <w:t>”), the Netherlands, France, Ireland, Spain and Hungary. The success of our business depends, in part, on our ability to successfully manage these foreign operations.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280"/>
        <w:spacing w:after="0" w:line="277" w:lineRule="auto"/>
        <w:rPr>
          <w:sz w:val="20"/>
          <w:szCs w:val="20"/>
          <w:color w:val="auto"/>
        </w:rPr>
      </w:pPr>
      <w:r>
        <w:rPr>
          <w:rFonts w:ascii="Arial" w:cs="Arial" w:eastAsia="Arial" w:hAnsi="Arial"/>
          <w:sz w:val="18"/>
          <w:szCs w:val="18"/>
          <w:color w:val="auto"/>
        </w:rPr>
        <w:t>international operations subject us to risks that could increase expenses, restrict our ability to operate, result in lost revenues or otherwise materially and adversely affect our business, including:</w:t>
      </w:r>
    </w:p>
    <w:p>
      <w:pPr>
        <w:spacing w:after="0" w:line="49" w:lineRule="exact"/>
        <w:rPr>
          <w:sz w:val="20"/>
          <w:szCs w:val="20"/>
          <w:color w:val="auto"/>
        </w:rPr>
      </w:pPr>
    </w:p>
    <w:p>
      <w:pPr>
        <w:ind w:left="1160" w:right="100" w:hanging="572"/>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the on-going impact of the UK’s exit from the EU and European sovereign debt issues and tightening of government budgets;</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wars, civil unrest, acts of terrorism and other conflicts;</w:t>
      </w:r>
    </w:p>
    <w:p>
      <w:pPr>
        <w:spacing w:after="0" w:line="103"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complexity and costs of managing or overseeing foreign operations, including adapting and localizing our services to specific regions and countries and relying on different third-party service providers;</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business and cultural factors and customs that may differ from our normal standards and practices;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complying with tariffs, trade restrictions, and trade agreements and any changes thereto;</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exchange and other restrictions and limitations on the transfer or repatriation of funds;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03" w:lineRule="exact"/>
        <w:rPr>
          <w:rFonts w:ascii="Arial" w:cs="Arial" w:eastAsia="Arial" w:hAnsi="Arial"/>
          <w:sz w:val="18"/>
          <w:szCs w:val="18"/>
          <w:color w:val="auto"/>
        </w:rPr>
      </w:pPr>
    </w:p>
    <w:p>
      <w:pPr>
        <w:ind w:left="1160" w:right="240" w:hanging="572"/>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complying with varying legal and regulatory environments in multiple foreign jurisdictions, including with respect to data and consumer privacy and payment processing, labor matters and VAT, and unexpected changes in these laws, regulatory requirements, and the enforcement thereof;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 as compared to the laws of the United States.</w:t>
      </w:r>
    </w:p>
    <w:p>
      <w:pPr>
        <w:spacing w:after="0" w:line="104"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The UK formally exited the EU on January 31, 2020 and the transition period, during which EU rules and regulations continued to apply, ended on December 31, 2020. The EU-UK Trade and Cooperation Agreement (“</w:t>
      </w:r>
      <w:r>
        <w:rPr>
          <w:rFonts w:ascii="Arial" w:cs="Arial" w:eastAsia="Arial" w:hAnsi="Arial"/>
          <w:sz w:val="17"/>
          <w:szCs w:val="17"/>
          <w:b w:val="1"/>
          <w:bCs w:val="1"/>
          <w:i w:val="1"/>
          <w:iCs w:val="1"/>
          <w:color w:val="auto"/>
        </w:rPr>
        <w:t>TCA</w:t>
      </w:r>
      <w:r>
        <w:rPr>
          <w:rFonts w:ascii="Arial" w:cs="Arial" w:eastAsia="Arial" w:hAnsi="Arial"/>
          <w:sz w:val="17"/>
          <w:szCs w:val="17"/>
          <w:color w:val="auto"/>
        </w:rPr>
        <w:t>”), finally agreed to between the EU and UK on December 24, 2020, came into force on January 1, 2021, and is expected to be formally approved by the EU legislature in March 2021. The TCA goes some way to liberalizing trade in goods between the UK and EU. However, in terms of trade in services, cooperation between national authorities, and business travel, the TCA introduces rules that are far more restrictive than those offered by membership in the EU’s Single Market, and the overall impact on the movement of goods, services, people and capital between the U.K. and the EU, as well as customer behavior, economic conditions, interest rates, currency exchange rates, availability of capital or other matters remains to be seen. Economists predict that Brexit will lead to some short-term disruption in the UK and a longer-term reduction in GDP. The impact of more restrictive rules, including additional inspections and documentation checks, on cross-border services may have an impact on our wholly owned subsidiary, EPC, as their effects become clearer. Also, the inability for the UK and EU vehicle licensing authorities to transfer certain data using current methods may have an impact on EPC’s ability to obtain information that is necessary to its operations in certain parts of the EU. These restrictions may have an impact on EPC’s ability to obtain information that is necessary to its operations in certain parts of the EU. In addition, EPC’s ability to obtain information from its customers outside the UK may also be adversely impacted. The EU has agreed under the TCA to allow EU personal data to be transferred to the UK for up to six additional months on current terms, pending an expected ‘adequacy’ decision in June 2021, which will allow permanent free flow of personal data.</w:t>
      </w:r>
    </w:p>
    <w:p>
      <w:pPr>
        <w:spacing w:after="0" w:line="49"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We have limited or no control over these and other factors related to international operations and our strategies to address these risks may not correctly anticipate any problems that arise or be successful in expanding our solutions from the United States into new European markets. Any failure to successfully manage these and other similar risks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is dependent on successfully implementing our international expansion strategy.</w:t>
      </w:r>
    </w:p>
    <w:p>
      <w:pPr>
        <w:spacing w:after="0" w:line="90"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Our growth strategy includes expanding our global footprint, which may involve moving into regions and countries beyond those in which we currently operate. In order to achieve widespread acceptance in new markets we may enter, we may need to develop new products and services or tailor our existing products and services to that market’s unique customs, cultures and standards. We have an office in the Netherlands to serve as the headquarters for our European business, as well as EPC offices in London and Budapest and a Pagatelia office in Madrid. Additionally, we have subsidiaries in France and Ireland. Management of these and future European subsidiaries may divert our resources and require significant attention from management. In addition to the risks inherent 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conducting international business, expanding into Europe with new and existing customers poses additional risks, including:</w:t>
      </w:r>
    </w:p>
    <w:p>
      <w:pPr>
        <w:spacing w:after="0" w:line="104"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acceptance of our products and services;</w:t>
      </w:r>
    </w:p>
    <w:p>
      <w:pPr>
        <w:spacing w:after="0" w:line="103"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issues, including administration of value-added tax, restrictions on repatriating earnings, and with respect to our corporate operating structure and intercompany arrangements;</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historical sale experience to RACs outside the United States;</w:t>
      </w:r>
    </w:p>
    <w:p>
      <w:pPr>
        <w:spacing w:after="0" w:line="103"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experience dealing with toll charging authorities outside the United States, many of which have differing requirements relating to payment options, penalty and late fee protocols and operating rules;</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adapt our marketing and selling efforts to different cultures and customers;</w:t>
      </w:r>
    </w:p>
    <w:p>
      <w:pPr>
        <w:spacing w:after="0" w:line="103" w:lineRule="exact"/>
        <w:rPr>
          <w:rFonts w:ascii="Arial" w:cs="Arial" w:eastAsia="Arial" w:hAnsi="Arial"/>
          <w:sz w:val="18"/>
          <w:szCs w:val="18"/>
          <w:color w:val="auto"/>
        </w:rPr>
      </w:pPr>
    </w:p>
    <w:p>
      <w:pPr>
        <w:ind w:left="1160" w:right="160" w:hanging="572"/>
        <w:spacing w:after="0" w:line="342"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different competitive environment, including a number of smaller competitors and a more fragmented business model that allows RACs and FMCs to perform some of the services we offer for themselves, as well as competition from other market participants; and</w:t>
      </w:r>
    </w:p>
    <w:p>
      <w:pPr>
        <w:spacing w:after="0" w:line="2" w:lineRule="exact"/>
        <w:rPr>
          <w:rFonts w:ascii="Arial" w:cs="Arial" w:eastAsia="Arial" w:hAnsi="Arial"/>
          <w:sz w:val="16"/>
          <w:szCs w:val="16"/>
          <w:color w:val="auto"/>
        </w:rPr>
      </w:pPr>
    </w:p>
    <w:p>
      <w:pPr>
        <w:ind w:left="1160" w:right="6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unfamiliar regulatory environment, including different local, national and EU-wide regulations relating to payment processing, payment services, debt collection, privacy, consumer credit and consumer protection.</w:t>
      </w:r>
    </w:p>
    <w:p>
      <w:pPr>
        <w:spacing w:after="0" w:line="49"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If we are unable to effectively manage these risks, our relationships with our existing and prospective customers, strategic partners and employees and our operations outside the United States may be adversely affected.</w:t>
      </w:r>
    </w:p>
    <w:p>
      <w:pPr>
        <w:spacing w:after="0" w:line="3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many cases, we will have limited or no experience in a particular region or country where we intend to launch operations. Moreover, learning the customs and cultures, particularly with respect to consumer preferences, differing technology standards and language barriers, is a difficult task. Our failure to do so effectively could slow our growth in those regions or countries. In many of these markets, long-standing relationships between potential customers and their local partners and protective regulations, including local content requirements and approvals, and disparate networks and systems used by each country, will create barriers to entry. Difficulties in foreign financial markets and economies and of foreign financial institutions, particularly in emerging markets, could also adversely affect demand in the affected areas. For this strategy to be successful, we must generate sufficient revenues and margins from the new markets to offset the expense of the expansion. Moreover, as the scale of our international operations increases, we will be more susceptible to the general risks related to our existing international operations discussed above. If we are unable to further expand internationally or if we are unable to effectively and efficiently manage the complexity of our expanded operations and compete in these new regions and countries, our business, financial condition and results of operations could be adversely affected.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comply with anticorruption and anti-money laundering laws, including the U.S. Foreign Corrupt Practices Act and similar laws associated with our activities outside of the United States, could have a material adverse effect on our business.</w:t>
      </w:r>
    </w:p>
    <w:p>
      <w:pPr>
        <w:spacing w:after="0" w:line="35"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Our operations subject us to anticorruption and other similar laws and regulations of multiple jurisdictions, both within the United States and internationally, which are often evolving, including the Foreign Corrupt Practices Act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the U.S. domestic bribery statute contained in 18 U.S.C. § 201, the U.S. Travel Act, the Patriot Act, and comparable foreign anti-bribery and anti-money laundering laws and regulations, including the United Kingdom Bribery Act of 2010. Our domestic activities, particularly those related to our Government Solutions business, are also subject to a number of federal, state and local laws and regulations regarding similar matters. These laws and regulations prohibit companies and their employees and third-party intermediaries from authorizing, offering or providing, directly or indirectly, improper payments or other benefits to government officials, political parties and private-sector recipients for the purpose of obtaining or retaining business, directing business to any person or securing any advantage.</w:t>
      </w:r>
    </w:p>
    <w:p>
      <w:pPr>
        <w:spacing w:after="0" w:line="45"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We use various third parties to conduct our business, both domestically and abroad, and we can be held liable for the corrupt or other illegal activities of our employees, representatives, contractors or subcontractors, partners, and agents, those of the third parties with which we do business or those of any businesses we acquire, even if we do not explicitly authorize such activities or they occurred prior to our acquisition of the relevant business. Safeguards we implement to discourage these practices may prove to be ineffective and any internal investigations may not uncover any such practices that may exist. Violations of the FCPA or other applicable anti-bribery, anti-corruption, and anti-money laundering laws by us or any of these third parties can result in severe criminal or civil sanctions, or other liabilities or proceedings against us, including class action lawsuits, whistleblower complaints, enforcement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ind w:right="140"/>
        <w:spacing w:after="0" w:line="263" w:lineRule="auto"/>
        <w:rPr>
          <w:sz w:val="20"/>
          <w:szCs w:val="20"/>
          <w:color w:val="auto"/>
        </w:rPr>
      </w:pPr>
      <w:r>
        <w:rPr>
          <w:rFonts w:ascii="Arial" w:cs="Arial" w:eastAsia="Arial" w:hAnsi="Arial"/>
          <w:sz w:val="18"/>
          <w:szCs w:val="18"/>
          <w:color w:val="auto"/>
        </w:rPr>
        <w:t>actions by the SEC, Department of Justice, and U.S. state and local and foreign regulators, adverse media coverage, non-responsibility determinations by procuring agencies, and suspension or debarment from government contracts, any of which could have a material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acquire necessary intellectual property or adequately protect our intellectual property could have a material adverse effect on our business.</w:t>
      </w:r>
    </w:p>
    <w:p>
      <w:pPr>
        <w:spacing w:after="0" w:line="138"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Our success depends, in part, on our ability to protect and defend our intellectual property against infringement, misappropriation and dilution. To protect our intellectual property rights, we rely on a combination of patent, trademark, copyright, trade secret and unfair competition laws of the United States and other countries, as well as contract provisions. We have registered certain patents and trademarks and have applications pending in the United States and foreign jurisdictions for some inventions and trademarks, including the Verra Mobility word mark and logo, for which some registrations have been granted and some applications are pending. However, not all of the trademarks and inventions we currently use have been registered in all of the countries in which we do business, and they may never be registered in all of those countries, and the applications we submit for these protections may not be granted. While we make efforts to acquire rights to intellectual property necessary for our operations, these measures may not adequately protect our rights in any given case, particularly in those countries where the laws do not protect proprietary rights as fully as in the United States.</w:t>
      </w:r>
    </w:p>
    <w:p>
      <w:pPr>
        <w:spacing w:after="0" w:line="30"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If we fail to acquire necessary intellectual property rights or adequately protect or assert our intellectual property rights, competitors may manufacture and market similar products and services, or dilute our brands, which could adversely affect our market share. It may be possible for third parties to reverse engineer, otherwise obtain, copy, and use software or information that we regard as proprietary. In addition, our competitors may avoid application of our existing or future intellectual property rights. Further, patent rights, copyrights and contractual provisions may not prevent our competitors from developing, using or selling products or services that are similar to or address the same market as our products and services. Failure to obtain registrations for the Verra Mobility word mark or logo may have a significant adverse impact on our brand. Moreover, some of our trademarks and services are descriptive or include descriptive elements, which may make it difficult to enforce our rights or prevent others from adopting and using similar marks. Competitive products and services could reduce the market value of our brands, products and services, inhibit attracting new customers or maintaining existing customers, lower our profits, and could have a material adverse effect on our business, financial condition and results of operations.</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measures to monitor and protect our intellectual property may not be adequate to maintain or enforce our patents, trademarks or other intellectual property rights.</w:t>
      </w:r>
    </w:p>
    <w:p>
      <w:pPr>
        <w:spacing w:after="0" w:line="35" w:lineRule="exact"/>
        <w:rPr>
          <w:sz w:val="20"/>
          <w:szCs w:val="20"/>
          <w:color w:val="auto"/>
        </w:rPr>
      </w:pPr>
    </w:p>
    <w:p>
      <w:pPr>
        <w:ind w:right="220" w:firstLine="589"/>
        <w:spacing w:after="0" w:line="288" w:lineRule="auto"/>
        <w:rPr>
          <w:sz w:val="20"/>
          <w:szCs w:val="20"/>
          <w:color w:val="auto"/>
        </w:rPr>
      </w:pPr>
      <w:r>
        <w:rPr>
          <w:rFonts w:ascii="Arial" w:cs="Arial" w:eastAsia="Arial" w:hAnsi="Arial"/>
          <w:sz w:val="16"/>
          <w:szCs w:val="16"/>
          <w:color w:val="auto"/>
        </w:rPr>
        <w:t>Despite our efforts to monitor and protect our intellectual property, we may not be able to maintain or enforce our patents, trademarks or other intellectual property rights. Unauthorized third parties may use our trademarks and service marks, or marks that are similar thereto, to impinge on our goodwill, cause consumer confusion or dilute our rights in the marks. We are aware of products, software and marks similar to our intellectual property being used by other persons. Although we believe that such uses will not adversely affect us, further or currently unknown unauthorized uses or other infringement of our trademarks or service marks could diminish the value of our intellectual property and may adversely affect our business. Even where we have effectively secured protection for our intellectual property, our competitors may challenge, infringe, misappropriate or dilute our intellectual property and our employees, consultants, contractors, customers and suppliers may breach their contractual obligations not to reveal our confidential information, including trade secrets. Additionally, defending or enforcing our intellectual property rights and agreements, and seeking an injunction or compensation for infringements or misappropriations, could result in expending significant resources and diverting management attention, which in turn may have a material adverse effect on our business, financial condition and results of operations.</w:t>
      </w:r>
    </w:p>
    <w:p>
      <w:pPr>
        <w:spacing w:after="0" w:line="1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been and may become subject to third-party infringement claims or challenges to the validity of our intellectual property that could have a material adverse effect on our business.</w:t>
      </w:r>
    </w:p>
    <w:p>
      <w:pPr>
        <w:spacing w:after="0" w:line="35"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have faced, and may in the future face, claims for infringement, misappropriation or other violations of intellectual property rights from intellectual property owners in areas where we operate or intend to operate, including in foreign jurisdictions. Such claims may or may not be unfounded. Regardless of whether such claims have merit, our image, brands, competitive position and ability to expand our operations into other jurisdictions may be harmed and we may incur significant costs related to defense or settlement. If such claims were decided against us or a third party we indemnify pursuant to license terms, we could be required to pay damages, develop or adopt non-infringing products or services, or acquire a license to the intellectual property that is the subject of the asserted claim, which license may not be available on acceptable terms or 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right="300" w:firstLine="589"/>
        <w:spacing w:after="0" w:line="342" w:lineRule="auto"/>
        <w:rPr>
          <w:sz w:val="20"/>
          <w:szCs w:val="20"/>
          <w:color w:val="auto"/>
        </w:rPr>
      </w:pPr>
      <w:r>
        <w:rPr>
          <w:rFonts w:ascii="Arial" w:cs="Arial" w:eastAsia="Arial" w:hAnsi="Arial"/>
          <w:sz w:val="16"/>
          <w:szCs w:val="16"/>
          <w:color w:val="auto"/>
        </w:rPr>
        <w:t>Defending or settling claims would require the expenditure of additional capital, and negative publicity could arise, even if the matter was ultimately decided in our favor. Any of the foregoing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into new territories and technologies may be hindered or blocked by pre-existing third-party rights.</w:t>
      </w:r>
    </w:p>
    <w:p>
      <w:pPr>
        <w:spacing w:after="0" w:line="104"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We act to obtain and protect intellectual property rights to operate successfully in those territories where we operate and intend to expand. Certain intellectual property rights including rights in trademarks and patents are national in character, and are obtained on a country-by-country basis by the first person to obtain protection through use or registration in that country in connection with specified products and services. As our business grows, we continuously evaluate the potential for expansion into new territories and new products and services. There is a risk with each expansion, including for pending applications, that growth will be limited or unavailable due to pre-existing third-party intellectual property rights.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substantial level of indebtedness could cause our business to suffer and incurring additional debt could intensify debt-related risks.</w:t>
      </w:r>
    </w:p>
    <w:p>
      <w:pPr>
        <w:spacing w:after="0" w:line="115"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We have a substantial amount of debt, including approximately $865.6 million outstanding under our first lien term loan facility as of December 31, 2020. We may also incur substantial additional debt in the future to, among other things, finance our acquisition strategy. Depending on borrowing availability, we have the ability to draw up to $75.0 million of commitments under our revolving credit facility, which includes an option for an uncommitted accordion to increase commitments by up to $50.0 million, all of which will be secured. Our borrowing availability at December 31, 2020 was $48.8 million due to the large ineligible accounts receivable balance with NYCDOT. We also have the ability to draw upon the uncommitted accordion provided under the first lien term loan facility of up to $200.0 million, plus the sum of all voluntary prepayments of the first lien term loan facility and certain permitted indebtedness, plus an unlimited amount subject to the satisfaction of a maximum total net leverage ratio or minimum fixed charge coverage ratio, in each case, on a pro forma basis, all of which will be secured. Our substantial debt could have important consequences, any of which could be intensified if new debt is added to our current debt levels. For example, it could:</w:t>
      </w:r>
    </w:p>
    <w:p>
      <w:pPr>
        <w:spacing w:after="0" w:line="46"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103"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future working capital, capital expenditures, strategic acquisitions and other general corporate requirements;</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expose us to interest rate fluctuations because the interest rate on certain of our debt is variable;</w:t>
      </w:r>
    </w:p>
    <w:p>
      <w:pPr>
        <w:spacing w:after="0" w:line="103"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debt, thereby reducing the availability of our cash flow for operations and other purposes;</w:t>
      </w:r>
    </w:p>
    <w:p>
      <w:pPr>
        <w:spacing w:after="0" w:line="48"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it more difficult for us to satisfy our general business obligations, including our obligations to our lenders, resulting in possible defaults on and acceleration of such indebtedness;</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refinance indebtedness or increase the associated costs;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sell assets to reduce debt or influence our decision about whether to do so;</w:t>
      </w:r>
    </w:p>
    <w:p>
      <w:pPr>
        <w:spacing w:after="0" w:line="103"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spacing w:after="0" w:line="24" w:lineRule="exact"/>
        <w:rPr>
          <w:rFonts w:ascii="Arial" w:cs="Arial" w:eastAsia="Arial" w:hAnsi="Arial"/>
          <w:sz w:val="17"/>
          <w:szCs w:val="17"/>
          <w:color w:val="auto"/>
        </w:rPr>
      </w:pPr>
    </w:p>
    <w:p>
      <w:pPr>
        <w:ind w:left="1160" w:right="8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any competitors that have less debt or comparable debt at more favorable interest rates and that, as a result, may be better positioned to withstand economic downturns.</w:t>
      </w:r>
    </w:p>
    <w:p>
      <w:pPr>
        <w:spacing w:after="0" w:line="49"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In addition, the agreements governing our indebtedness contain restrictive covenants that will limit our and our subsidiaries’ ability to engage in activities that may be in our and their long-term best interests.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could restrict our operating flexibility.</w:t>
      </w:r>
    </w:p>
    <w:p>
      <w:pPr>
        <w:spacing w:after="0" w:line="90"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The agreements governing our indebtedness limit our ability to take certain actions. These restrictions may limit our ability to operate our businesses, prohibit or limit our ability to enhance our operations or take advantage of potential business opportunities as they arise and cause us to take actions that are not favorable to stockholders.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ind w:right="460" w:firstLine="589"/>
        <w:spacing w:after="0" w:line="277" w:lineRule="auto"/>
        <w:rPr>
          <w:sz w:val="20"/>
          <w:szCs w:val="20"/>
          <w:color w:val="auto"/>
        </w:rPr>
      </w:pPr>
      <w:r>
        <w:rPr>
          <w:rFonts w:ascii="Arial" w:cs="Arial" w:eastAsia="Arial" w:hAnsi="Arial"/>
          <w:sz w:val="18"/>
          <w:szCs w:val="18"/>
          <w:color w:val="auto"/>
        </w:rPr>
        <w:t>The agreements governing our indebtedness restrict, among other things and subject to certain exceptions, our and our restricted subsidiaries’ ability to:</w:t>
      </w:r>
    </w:p>
    <w:p>
      <w:pPr>
        <w:spacing w:after="0" w:line="49"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other payments on capital stock;</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guarantee other obligations;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loans, acquisitions or other investments;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or dispose of assets;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optional payments or modify certain debt instruments;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 organizational documents;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arrangements that restrict the ability to pay dividends;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business activities that are materially different from existing business activities;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nature of the business we conduct; and</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w:t>
      </w:r>
    </w:p>
    <w:p>
      <w:pPr>
        <w:spacing w:after="0" w:line="10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Under our first lien term loan facility, we could be required to make periodic prepayments based on excess cash flow (as defined by the first lien term loan agreement) thereby limiting the amount of cash flow that can be reinvested in our business. For example, under our revolving credit facility,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revolving credit facility, which would require daily review and approval of operating disbursements by the administrative agent.</w:t>
      </w:r>
    </w:p>
    <w:p>
      <w:pPr>
        <w:spacing w:after="0" w:line="5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our success at implementing cost reduction initiatives and our ability to successfully implement our overall business strategy. The breach of any of these covenants or restrictions could result in a default under one or more of the agreements governing our indebtedness that would permit the applicable lenders to declare all amounts outstanding thereunder to be due and payable, together with accrued and unpaid interest. In that case, we may be unable to borrow under our revolving credit agreement or otherwise, may not be able to repay the amounts due under the agreements governing our indebtedness, and may not be able to make cash available by dividend, debt repayment or otherwise. In addition, our lenders could proceed against the collateral securing that indebtedness. Any of the foregoing could have serious consequences to our financial position, results of operations or cash flows and could cause us to become bankrupt or insolvent.</w:t>
      </w:r>
    </w:p>
    <w:p>
      <w:pPr>
        <w:spacing w:after="0" w:line="13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The agreements governing our indebtedness contain cross default or cross acceleration provisions that may cause all of the debt issued under those instruments to become immediately due and payable because of a default under an unrelated debt instrument.</w:t>
      </w:r>
    </w:p>
    <w:p>
      <w:pPr>
        <w:spacing w:after="0" w:line="106"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The agreements governing our indebtedness contain numerous covenants and require us, if availability goes below a certain threshold, to comply with a minimum “consolidated fixed charge coverage ratio” financial covenant as calculated in the revolving credit agreement. Our failure to comply with the obligations contained in these agreements or other instruments governing our indebtedness could result in an event of default under the applicable instrument, which could result in the related debt and the debt issued under other instruments (together with accrued and unpaid interest and other fees) becoming immediately due and payable. In such event, we would need to raise funds from alternative sources, which funds may not be available to us on favorable terms, on a timely basis or at all. Alternatively, such a default could require us to sell assets and otherwise curtail our operations in order to pay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our creditors. These alternative measures could have a material adverse effect on our business, financial position, results of operations or cash flows.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generate sufficient cash flows, we may not be able to service all of our indebtedness.</w:t>
      </w:r>
    </w:p>
    <w:p>
      <w:pPr>
        <w:spacing w:after="0" w:line="11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To service our indebtedness, we will require a significant amount of cash. Our ability to generate cash, make scheduled payments or to refinance our debt obligations depends on our successful financial and operating performance, which will be affected by a range of economic, competitive and business factors, many of which are outside of our control.</w:t>
      </w:r>
    </w:p>
    <w:p>
      <w:pPr>
        <w:spacing w:after="0" w:line="184"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If our cash flow and capital resources are insufficient to fund our debt service obligations or to repay indebtedness when it matures, we may have to undertake alternative financing plans, such as refinancing or restructuring our debt, selling assets or operations, reducing or delaying capital investments or seeking to raise additional capital. We may not be able to refinance our debt and any refinancing of our debt could be at higher interest rates and may require us to comply with more restrictive covenants that could further restrict our business operations and our ability to make cash available for dividends and distributions and payments on our other debt obligations (if any). Our ability to implement successfully any such alternative financing plans will be dependent on a range of factors, including general economic conditions, the level of activity in mergers and acquisitions and capital markets generally, and the terms of our various debt instruments then in effect. In addition, a significant portion of our outstanding indebtedness is secured by substantially all of our assets including our subsidiaries’ assets, and any successor credit facilities are likely to be secured on a similar basis. As such, our ability to seek additional financing or our ability to make cash available for dividends and distributions and payments on our other debt obligations (if any) could be impaired as a result of such security interests and the agreements governing such security interests. Moreover, as a result of these security interests, the underlying assets would only be available to satisfy claims of our general creditors or holders of our equity securities if we were to become insolvent to the extent the value of such assets exceeded the amount of our indebtedness and other obligations.</w:t>
      </w:r>
    </w:p>
    <w:p>
      <w:pPr>
        <w:spacing w:after="0" w:line="168"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Our inability to generate sufficient cash flow to satisfy our debt obligations or to refinance our obligations on commercially reasonable terms could have a material adverse effect on our business, including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phase-out of LIBOR may adversely affect our outstanding debt.</w:t>
      </w:r>
    </w:p>
    <w:p>
      <w:pPr>
        <w:spacing w:after="0" w:line="104" w:lineRule="exact"/>
        <w:rPr>
          <w:sz w:val="20"/>
          <w:szCs w:val="20"/>
          <w:color w:val="auto"/>
        </w:rPr>
      </w:pPr>
    </w:p>
    <w:p>
      <w:pPr>
        <w:ind w:right="20" w:firstLine="540"/>
        <w:spacing w:after="0" w:line="272" w:lineRule="auto"/>
        <w:rPr>
          <w:sz w:val="20"/>
          <w:szCs w:val="20"/>
          <w:color w:val="auto"/>
        </w:rPr>
      </w:pPr>
      <w:r>
        <w:rPr>
          <w:rFonts w:ascii="Arial" w:cs="Arial" w:eastAsia="Arial" w:hAnsi="Arial"/>
          <w:sz w:val="17"/>
          <w:szCs w:val="17"/>
          <w:color w:val="auto"/>
        </w:rPr>
        <w:t>The London InterBank Offered Rate, or LIBOR, is scheduled to be phased out by the end of 2021. In the United States, the Alternative Reference Rates Committee, the working group formed to recommend an alternative rate to LIBOR, has identified the Secured Overnight Financing Rate as its preferred alternative rate for USD LIBOR. Our debt instrument has an interest rate that is based on LIBOR and will not have matured prior to the phase-out of LIBOR. Changes in the method of determining LIBOR, or the replacement of LIBOR with an alternative floating borrowing rate, may adversely affect our borrowing costs. We cannot predict the effect of the potential changes to LIBOR or the establishment and use of alternative floating borrowing rates on our outstanding debt that is based on LIBOR. Transitioning to a different borrowing rate may result in less favorable pricing on our debt instruments and could have an adverse effect on our financial results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additional financing to fund operations and growth.</w:t>
      </w:r>
    </w:p>
    <w:p>
      <w:pPr>
        <w:spacing w:after="0" w:line="104" w:lineRule="exact"/>
        <w:rPr>
          <w:sz w:val="20"/>
          <w:szCs w:val="20"/>
          <w:color w:val="auto"/>
        </w:rPr>
      </w:pPr>
    </w:p>
    <w:p>
      <w:pPr>
        <w:ind w:right="380" w:firstLine="540"/>
        <w:spacing w:after="0" w:line="263" w:lineRule="auto"/>
        <w:rPr>
          <w:sz w:val="20"/>
          <w:szCs w:val="20"/>
          <w:color w:val="auto"/>
        </w:rPr>
      </w:pPr>
      <w:r>
        <w:rPr>
          <w:rFonts w:ascii="Arial" w:cs="Arial" w:eastAsia="Arial" w:hAnsi="Arial"/>
          <w:sz w:val="18"/>
          <w:szCs w:val="18"/>
          <w:color w:val="auto"/>
        </w:rPr>
        <w:t>We may require additional financing to fund our operations or growth, whether organic or through acquisitions. Our failure to secure additional financing could have a material adverse effect on our continued development or growth. None of our officers, directors or stockholders is required to provide any future financing to us.</w:t>
      </w:r>
    </w:p>
    <w:p>
      <w:pPr>
        <w:spacing w:after="0" w:line="139" w:lineRule="exact"/>
        <w:rPr>
          <w:sz w:val="20"/>
          <w:szCs w:val="20"/>
          <w:color w:val="auto"/>
        </w:rPr>
      </w:pPr>
    </w:p>
    <w:p>
      <w:pPr>
        <w:ind w:right="2300"/>
        <w:spacing w:after="0" w:line="354" w:lineRule="auto"/>
        <w:rPr>
          <w:sz w:val="20"/>
          <w:szCs w:val="20"/>
          <w:color w:val="auto"/>
        </w:rPr>
      </w:pPr>
      <w:r>
        <w:rPr>
          <w:rFonts w:ascii="Arial" w:cs="Arial" w:eastAsia="Arial" w:hAnsi="Arial"/>
          <w:sz w:val="18"/>
          <w:szCs w:val="18"/>
          <w:b w:val="1"/>
          <w:bCs w:val="1"/>
          <w:color w:val="auto"/>
        </w:rPr>
        <w:t xml:space="preserve">Risks Related to Our Class A Common Stock, Warrants, Related Party Transactions and Organizational Documents </w:t>
      </w:r>
      <w:r>
        <w:rPr>
          <w:rFonts w:ascii="Arial" w:cs="Arial" w:eastAsia="Arial" w:hAnsi="Arial"/>
          <w:sz w:val="18"/>
          <w:szCs w:val="18"/>
          <w:b w:val="1"/>
          <w:bCs w:val="1"/>
          <w:i w:val="1"/>
          <w:iCs w:val="1"/>
          <w:color w:val="auto"/>
        </w:rPr>
        <w:t>Platinum Equity has significant influence over us.</w:t>
      </w:r>
    </w:p>
    <w:p>
      <w:pPr>
        <w:spacing w:after="0" w:line="1" w:lineRule="exact"/>
        <w:rPr>
          <w:sz w:val="20"/>
          <w:szCs w:val="20"/>
          <w:color w:val="auto"/>
        </w:rPr>
      </w:pPr>
    </w:p>
    <w:p>
      <w:pPr>
        <w:jc w:val="both"/>
        <w:ind w:right="220" w:firstLine="540"/>
        <w:spacing w:after="0" w:line="311" w:lineRule="auto"/>
        <w:rPr>
          <w:sz w:val="20"/>
          <w:szCs w:val="20"/>
          <w:color w:val="auto"/>
        </w:rPr>
      </w:pPr>
      <w:r>
        <w:rPr>
          <w:rFonts w:ascii="Arial" w:cs="Arial" w:eastAsia="Arial" w:hAnsi="Arial"/>
          <w:sz w:val="16"/>
          <w:szCs w:val="16"/>
          <w:color w:val="auto"/>
        </w:rPr>
        <w:t>Platinum Equity, LLC, its sponsored funds and affiliated private equity investment vehicles (collectively, “</w:t>
      </w:r>
      <w:r>
        <w:rPr>
          <w:rFonts w:ascii="Arial" w:cs="Arial" w:eastAsia="Arial" w:hAnsi="Arial"/>
          <w:sz w:val="16"/>
          <w:szCs w:val="16"/>
          <w:b w:val="1"/>
          <w:bCs w:val="1"/>
          <w:i w:val="1"/>
          <w:iCs w:val="1"/>
          <w:color w:val="auto"/>
        </w:rPr>
        <w:t>Platinum Equity</w:t>
      </w:r>
      <w:r>
        <w:rPr>
          <w:rFonts w:ascii="Arial" w:cs="Arial" w:eastAsia="Arial" w:hAnsi="Arial"/>
          <w:sz w:val="16"/>
          <w:szCs w:val="16"/>
          <w:color w:val="auto"/>
        </w:rPr>
        <w:t>”) beneficially owned approximately 14.94% of our Class A Common Stock as of December 31, 2020. As long as Platinum Equity owns or controls a significant percentage of our outstanding voting power, it will have the ability to influence corporate actions requiring stockholder approval, including the election and removal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line="289" w:lineRule="auto"/>
        <w:rPr>
          <w:sz w:val="20"/>
          <w:szCs w:val="20"/>
          <w:color w:val="auto"/>
        </w:rPr>
      </w:pPr>
      <w:r>
        <w:rPr>
          <w:rFonts w:ascii="Arial" w:cs="Arial" w:eastAsia="Arial" w:hAnsi="Arial"/>
          <w:sz w:val="16"/>
          <w:szCs w:val="16"/>
          <w:color w:val="auto"/>
        </w:rPr>
        <w:t>directors and the size of our Board, any amendment to our certificate of incorporation or bylaws, or the approval of any merger or other significant corporate transaction, including a sale of substantially all of our assets. Platinum Equity’s influence over our management could have the effect of delaying or preventing a change in control or otherwise discouraging a potential acquirer from attempting to obtain control of us, which could cause the market price of our securities to decline or prevent security holders from realizing a premium over the market price for such securities. Under the Merger Agreement, Platinum Equity is entitled to receive additional shares of our Class A Common Stock if the volume weighted average closing price of our Class A Common Stock exceeds certain thresholds, as described in Part II, Item 5, below. Additionally, the earn-out shares issuable to the Platinum Stockholder accelerate upon a qualifying change of control. Finally, because our certificate of incorporation opts out of Section 203 of the DGCL regulating certain business combinations with interested stockholders, Platinum Equity may transfer shares to a third party by transferring their securities without the approval of our Board or other stockholders, which may limit the price that investors are willing to pay in the future for our securities.</w:t>
      </w:r>
    </w:p>
    <w:p>
      <w:pPr>
        <w:spacing w:after="0" w:line="45"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color w:val="auto"/>
        </w:rPr>
        <w:t>Pursuant to the Investor Rights Agreement, the Platinum Stockholder has the right to nominate up to three directors to the Board, depending on its ownership percentage. If one of the Platinum Stockholder’s nominees is elected, one of the Platinum Stockholder’s nominees will serve as the chairman of the Board, and the Platinum Stockholder will have the right to appoint one representative to each committee of the Board. The Platinum Stockholder’s right to nominate directors to the Board is subject to its ownership percentage of the total outstanding shares of Class A Common Stock. Jacob Kotzubei, the Chairman of our Board and Bryan Kelln are the current Platinum Stockholder nominees serving on our Board, the terms of whom run through our 2021 annual stockholder meeting. Changes in the Platinum Stockholder’s ownership percentage during its respective nominees’ terms do not require any director, including the Platinum Stockholder’s nominees, to resign from the Board.</w:t>
      </w:r>
    </w:p>
    <w:p>
      <w:pPr>
        <w:spacing w:after="0" w:line="42"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color w:val="auto"/>
        </w:rPr>
        <w:t>Platinum Equity’s interests may not align with the interests of our other security holders. Accordingly, Platinum Equity could cause us to enter into transactions or agreements of which our stockholders would not approve or make decisions with which they would not agree. Further, Platinum Equity is in the business of making investments in companies and may acquire and hold interests in businesses that compete directly or indirectly with us. Platinum Equity may also pursue acquisition opportunities that may be complementary to our business, and, as a result, those acquisition opportunities may not be available to us. In recognition that principals, members, directors, managers, partners, stockholders, officers, employees and other representatives of Platinum Equity and its affiliates and investment funds may serve as our directors or officers, our certificate of incorporation provides, among other things, that none of Platinum Equity or any principal, member, director, manager, partner, stockholder, officer, employee or other representative of Platinum Equity has any duty to refrain from engaging directly or indirectly in the same or similar business activities or lines of business that we do. In the event that any of these persons or entities acquires knowledge of a potential transaction or matter which may be a corporate opportunity for itself and us, we will not have any expectancy in such corporate opportunity, and these persons and entities will not have any duty to communicate or offer such corporate opportunity to us and may pursue or acquire such corporate opportunity for themselves or direct such opportunity to another person. We are also party to a corporate advisory services agreement with Platinum Equity Advisors, LLC (“</w:t>
      </w:r>
      <w:r>
        <w:rPr>
          <w:rFonts w:ascii="Arial" w:cs="Arial" w:eastAsia="Arial" w:hAnsi="Arial"/>
          <w:sz w:val="17"/>
          <w:szCs w:val="17"/>
          <w:b w:val="1"/>
          <w:bCs w:val="1"/>
          <w:i w:val="1"/>
          <w:iCs w:val="1"/>
          <w:color w:val="auto"/>
        </w:rPr>
        <w:t>Advisors</w:t>
      </w:r>
      <w:r>
        <w:rPr>
          <w:rFonts w:ascii="Arial" w:cs="Arial" w:eastAsia="Arial" w:hAnsi="Arial"/>
          <w:sz w:val="17"/>
          <w:szCs w:val="17"/>
          <w:color w:val="auto"/>
        </w:rPr>
        <w:t>”), pursuant to which Advisors will provide us with certain transactional and corporate advisory services as mutually agreed between us and Advisors. These potential conflicts of interest could have a material adverse effect on our business, financial condition and results of operations if, among other things, attractive corporate opportunities are allocated by Platinum Equity to themselves or their other affiliates.</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required to pay PE Greenlight Holdings, LLC for a significant portion of the tax benefit relating to pre-Business Combination tax attributes of Verra Mobility.</w:t>
      </w:r>
    </w:p>
    <w:p>
      <w:pPr>
        <w:spacing w:after="0" w:line="35"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At the closing of the Business Combination, we entered into the Tax Receivable Agreement with the Platinum Stockholder and the stockholder representative (as may be amended from time to time, the “</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The Tax Receivable Agreement provides for the payment by us to the Platinum Stockholder of 50% of the net cash savings, if any, in U.S. federal, state and local income tax that we actually realize (or are deemed to realize in certain circumstances) in periods after the closing of the Business Combination as a result of the increase in the tax basis of the intangible assets of HTA resulting from the acquisition of HTA by Verra Mobility prior to the Business Combination. We will generally retain the benefit of the remaining 50% of these cash savings.</w:t>
      </w:r>
    </w:p>
    <w:p>
      <w:pPr>
        <w:spacing w:after="0" w:line="71" w:lineRule="exact"/>
        <w:rPr>
          <w:sz w:val="20"/>
          <w:szCs w:val="20"/>
          <w:color w:val="auto"/>
        </w:rPr>
      </w:pPr>
    </w:p>
    <w:p>
      <w:pPr>
        <w:ind w:right="160" w:firstLine="540"/>
        <w:spacing w:after="0" w:line="259" w:lineRule="auto"/>
        <w:rPr>
          <w:sz w:val="20"/>
          <w:szCs w:val="20"/>
          <w:color w:val="auto"/>
        </w:rPr>
      </w:pPr>
      <w:r>
        <w:rPr>
          <w:rFonts w:ascii="Arial" w:cs="Arial" w:eastAsia="Arial" w:hAnsi="Arial"/>
          <w:sz w:val="18"/>
          <w:szCs w:val="18"/>
          <w:color w:val="auto"/>
        </w:rPr>
        <w:t>Under certain circumstances (including an election by us, a material breach of our obligations under the Tax Receivable Agreement, or certain transactions constituting a change in control or divestiture of the HTA assets under the Tax Receivable Agreement), payments under the Tax Receivable Agreement may accelerate, and we may be required to make such payments in a lump sum based on certain valuation assumptions, including that we and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subsidiaries will generate sufficient taxable income to fully utilize the applicable deductions generated by the intangible assets of HTA.</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49"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will include:</w:t>
      </w:r>
    </w:p>
    <w:p>
      <w:pPr>
        <w:spacing w:after="0" w:line="65" w:lineRule="exact"/>
        <w:rPr>
          <w:sz w:val="20"/>
          <w:szCs w:val="20"/>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3"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03"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48"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8" w:lineRule="exact"/>
        <w:rPr>
          <w:rFonts w:ascii="Arial" w:cs="Arial" w:eastAsia="Arial" w:hAnsi="Arial"/>
          <w:sz w:val="18"/>
          <w:szCs w:val="18"/>
          <w:color w:val="auto"/>
        </w:rPr>
      </w:pPr>
    </w:p>
    <w:p>
      <w:pPr>
        <w:jc w:val="both"/>
        <w:ind w:left="1160" w:right="60" w:hanging="572"/>
        <w:spacing w:after="0" w:line="26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members of our Board or our Chief Executive Officer, which may delay the ability of our stockholders to force consideration of a proposal or to take action, including the removal of directors;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certificate of incorporation or bylaws must be approved by holders of at least two-thirds of our Common Stock; and</w:t>
      </w:r>
    </w:p>
    <w:p>
      <w:pPr>
        <w:spacing w:after="0" w:line="48" w:lineRule="exact"/>
        <w:rPr>
          <w:rFonts w:ascii="Arial" w:cs="Arial" w:eastAsia="Arial" w:hAnsi="Arial"/>
          <w:sz w:val="18"/>
          <w:szCs w:val="18"/>
          <w:color w:val="auto"/>
        </w:rPr>
      </w:pPr>
    </w:p>
    <w:p>
      <w:pPr>
        <w:jc w:val="both"/>
        <w:ind w:left="1160" w:right="300" w:hanging="572"/>
        <w:spacing w:after="0" w:line="26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the ability of our stockholders to bring actions against us.</w:t>
      </w:r>
    </w:p>
    <w:p>
      <w:pPr>
        <w:spacing w:after="0" w:line="90"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our stockholders’ ability to seek legal redress. If a court were to find the forum-selection provisions contained in our bylaws to be unenforceable, we may incur additional costs associated with resolving proceedings in forums other than the Court of Chancery in the State of Delaware and the federal district courts of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of the shares of our securities could depress the market price of our securities.</w:t>
      </w:r>
    </w:p>
    <w:p>
      <w:pPr>
        <w:spacing w:after="0" w:line="90"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Platinum Equity beneficially owned approximately 14.94% of our Class A Common Stock as of December 31, 2020. All such shares of Class A Common Stock held by Platinum Equity have been registered for resale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right="80"/>
        <w:spacing w:after="0" w:line="286" w:lineRule="auto"/>
        <w:rPr>
          <w:sz w:val="20"/>
          <w:szCs w:val="20"/>
          <w:color w:val="auto"/>
        </w:rPr>
      </w:pPr>
      <w:r>
        <w:rPr>
          <w:rFonts w:ascii="Arial" w:cs="Arial" w:eastAsia="Arial" w:hAnsi="Arial"/>
          <w:sz w:val="17"/>
          <w:szCs w:val="17"/>
          <w:color w:val="auto"/>
        </w:rPr>
        <w:t>the Securities Act. Pursuant to a registration rights agreement that we entered into with Platinum Equity and certain other stockholders in connection with the Business Combination, such stockholders are entitled to make up to six demands, excluding short form demands, that we register shares of our Class A Common Stock held by these parties, in addition to certain “piggy-back” registration rights such stockholders have.</w:t>
      </w:r>
    </w:p>
    <w:p>
      <w:pPr>
        <w:spacing w:after="0" w:line="44"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had approximately 162,268,865 shares of Class A Common Stock outstanding as of December 31, 2020. We have registered the 10,864,000 shares of Class A Common Stock that we may issue under the Verra Mobility Corporation 2018 Equity Incentive Plan so that they may be freely sold in the public market upon issuance, subject to volume limitations applicable to affiliates.</w:t>
      </w:r>
    </w:p>
    <w:p>
      <w:pPr>
        <w:spacing w:after="0" w:line="49"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There may be a large number of our securities sold in the market in the near future. These sales, or the perception in the market that the holders of a large number of securities intend to sell securities, could reduce the market price of our securities. Such sales of our securities or the perception of such sales may depress the market price of our securities.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our operating subsidiaries and such ownership may not be sufficient to pay dividends or make distributions or loans to enable us to pay any dividends on our Class A Common Stock or satisfy our other financial obligations, including our obligations under the Tax Receivable Agreement.</w:t>
      </w:r>
    </w:p>
    <w:p>
      <w:pPr>
        <w:spacing w:after="0" w:line="49"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have no direct operations and no significant assets other than our ownership interest in our operating subsidiaries. We depend on our operating subsidiaries for distributions, loans and other payments to generate the funds necessary to meet our financial obligations, including our expenses as a publicly traded company, to pay any dividends with respect to our Class A Common Stock, and to satisfy our obligations under the Tax Receivable Agreement. The financial condition and operating requirements of our operating subsidiaries may limit our ability to obtain cash from our operating subsidiaries. The earnings from, or other available assets of, our operating subsidiaries may not be sufficient to pay dividends or make distributions or loans to enable us to pay any dividends on our Common Stock or satisfy our other financial obligations, including our obligations under the Tax Receivable Agreement.</w:t>
      </w:r>
    </w:p>
    <w:p>
      <w:pPr>
        <w:spacing w:after="0" w:line="73"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ability of our operating subsidiaries (other than subsidiaries which have been designated as unrestricted pursuant to our ability to do so in certain limited circumstances) to make distributions, loans and other payments to us for the purposes described above and for any other purpose are governed by the terms of the Rollover Credit Agreements, and will be subject to the negative covenants set forth therein. Any loans or other extensions of credit will be subject to the investment covenants under the Rollover Credit Agreements. The “</w:t>
      </w:r>
      <w:r>
        <w:rPr>
          <w:rFonts w:ascii="Arial" w:cs="Arial" w:eastAsia="Arial" w:hAnsi="Arial"/>
          <w:sz w:val="17"/>
          <w:szCs w:val="17"/>
          <w:b w:val="1"/>
          <w:bCs w:val="1"/>
          <w:i w:val="1"/>
          <w:iCs w:val="1"/>
          <w:color w:val="auto"/>
        </w:rPr>
        <w:t>Rollover Credit Agreements</w:t>
      </w:r>
      <w:r>
        <w:rPr>
          <w:rFonts w:ascii="Arial" w:cs="Arial" w:eastAsia="Arial" w:hAnsi="Arial"/>
          <w:sz w:val="17"/>
          <w:szCs w:val="17"/>
          <w:color w:val="auto"/>
        </w:rPr>
        <w:t>” means, collectively: (i) the First Lien Term Loan Credit Agreement, dated as of March 1, 2018, among Greenlight Acquisition Corporation, a Delaware corporation; VM Consolidated, Inc. (formerly known as ATS Consolidated, Inc.), a Delaware corporation; American Traffic Solutions, Inc., a Kansas corporation; and Lasercraft, Inc., a Georgia corporation; the lenders party thereto from time to time; and Bank of America, as the administrative agent and the collateral agent; and (ii) the Revolving Credit Agreement, dated as of March 1, 2018, among Greenlight Acquisition Corporation, a Delaware corporation; VM Consolidated, Inc., a Delaware corporation; the other Borrowers (for this purpose only, as defined therein) party thereto from time to time; the lenders party thereto from time to time; and Bank of America, as the administrative agent and the collateral agent, in the case of each of the foregoing (i) and (ii), as amended or otherwise modified from time to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04"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price of our securities may vary due to general economic conditions and forecasts, our general business condition and the release of our financial reports. Additionally, if our securities are not listed on, or become delisted from, Nasdaq for any reason, and are quoted on the OTC Bulletin Board or OTC Pink, an inter-dealer automated quotation system for equity securities that is not a national securities exchange, the liquidity and price of our securities may be more limited than if we were quoted or listed on Nasdaq or another national securities exchange. Our warrants using the trading symbol “VRRMW” were removed from listing by Nasdaq on December 14, 2018, due to an insufficient number of round lot holders following completion of the Business Combination. Those warrants are now quoted on OTC Pink under the symbol “VRRMW.” Accordingly, the liquidity of our warrants may be more limited than if they were quoted or listed on Nasdaq or another national securities exchange. Our securities holders may be unable to sell their securities unless a market can be sustained.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Vendors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providers could have a material adverse effect on our business.</w:t>
      </w:r>
    </w:p>
    <w:p>
      <w:pPr>
        <w:spacing w:after="0" w:line="90"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We rely heavily on third-party providers, including subcontractors, manufacturers, software vendors, software application developers, and utility and network providers, to meet their obligations to us in a timely and high-quality manner. For example, we rely on third parties such as the National Law Enforcement Telecommunications System, Polk, DMVDesk, CVR and Dealertrack to provide a direct connection to state departments of motor vehicles (and their European equivalents) and other governmental agencies with which we do not have direct relationships for the driver and other information we use in our business. Our ability to offer our solutions would be materially affected if this access was unavailable or materially restricted, or if the price we pay increased significantly. Our Government Solutions business also relies on a number of third-party manufacturers, including camera manufacturers and automated license plate recognition providers, and outsources some engineering, construction, maintenance, printing and mailing, call center, image review and violations processing work. Further, if one or more tolling authorities cancels our accounts, or stops providing transponders and we are unable to obtain transponders through other sources, our Commercial Services business would be affected.</w:t>
      </w:r>
    </w:p>
    <w:p>
      <w:pPr>
        <w:spacing w:after="0" w:line="59"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also outsource a meaningful percentage of our software development work to third parties. Some of our agreements with these third parties include termination rights, allowing the third party to terminate the arrangement in certain circumstances. For example, the agreements with our third-party payment processors give them the right to terminate the relationship if we fail to keep credit card chargeback and retrieval rates below certain thresholds. If any of our third-party providers are unable or unwilling to meet their obligations to us, fail to satisfy our expectations or those of our customers, including those imposed through flow-down provisions in prime contracts, or if they terminate or refuse to renew their relationships with us on substantially similar terms, we may be unable to find adequate replacements within a reasonable time frame, on favorable commercial terms or at all, and our business, financial condition and results of operations could be materially and adversely affected.</w:t>
      </w:r>
    </w:p>
    <w:p>
      <w:pPr>
        <w:spacing w:after="0" w:line="56"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While we perform some due diligence on these third parties and take measures to ensure that they comply with applicable laws and regulations, we do not have an extensive screening or review process and ultimately cannot guarantee our third-party providers will comply with applicable laws, the terms of their agreements or flow-down requirements from our customers. Misconduct or performance deficiencies by any of our third-party providers may be perceived as misconduct or poor performance by us, cause us to fall short on our contractual obligations to our customers or harm our reputation, any of which could have a material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communications networks and information systems and any interruption could have a material adverse effect on our business.</w:t>
      </w:r>
    </w:p>
    <w:p>
      <w:pPr>
        <w:spacing w:after="0" w:line="115"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rely heavily on the satisfactory performance and availability of our information technology infrastructure and systems, including our websites and network infrastructure, to conduct our business. We rely on third-party communications service and system providers to provide technology services and link our systems with our customers’ networks and systems, including a reliable network backbone with the necessary speed, data capacity and security. We also rely on third-party vendors, including data center, bandwidth, and telecommunications equipment providers. A failure or interruption that results in the unavailability of any of our information systems or a major disruption of communications between a system and the customer(s) we serve could disrupt the effective operation of our solutions and otherwise adversely impact our ability to manage our business effectively. We may experience system and service interruptions or disruptions for a variety of reasons, including as the result of network failures, power outages, cyber-attacks, employee errors, software errors, an unusually high volume of transactions, or localized conditions such as fire, explosions or power outages or broader geographic events such as earthquakes, storms, floods, epidemics, strikes, acts of war, civil unrest or terrorist acts. We have taken steps to mitigate our exposure to certain service disruptions by investing in redundant or blended circuits, although the redundant or blended circuits may also suffer disruption.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Any interruption or delay in or cessation of these services and systems could significantly disrupt operations, impact customers, damage our reputation, result in litigation, decrease the overall use and acceptance of our solutions, result in lost data and be costly, time consuming and difficult to remedy,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w:t>
      </w:r>
    </w:p>
    <w:p>
      <w:pPr>
        <w:spacing w:after="0" w:line="90"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As a public company, we are required to comply with Section 404 of the Sarbanes Oxley Act of 2002 (“</w:t>
      </w:r>
      <w:r>
        <w:rPr>
          <w:rFonts w:ascii="Arial" w:cs="Arial" w:eastAsia="Arial" w:hAnsi="Arial"/>
          <w:sz w:val="18"/>
          <w:szCs w:val="18"/>
          <w:b w:val="1"/>
          <w:bCs w:val="1"/>
          <w:i w:val="1"/>
          <w:iCs w:val="1"/>
          <w:color w:val="auto"/>
        </w:rPr>
        <w:t>SOX</w:t>
      </w:r>
      <w:r>
        <w:rPr>
          <w:rFonts w:ascii="Arial" w:cs="Arial" w:eastAsia="Arial" w:hAnsi="Arial"/>
          <w:sz w:val="18"/>
          <w:szCs w:val="18"/>
          <w:color w:val="auto"/>
        </w:rPr>
        <w:t>”), which requires, among other things, that companies maintain disclosure controls and procedures to ensure timely disclosure of material information, and that management review the effectiveness of those controls on a quarterly basis. During fiscal year 2019, we identified a material weakness in our internal control over financial reporting related to ineffective information technology general controls in the area of user access over certain systems that support our financial reporting process. As a result, management concluded that our internal control over financial reporting was not effective as of December 31, 2019. A material weakness is a deficiency, or a combination of deficiencies, in internal control over financial reporting, such that there is a reasonable possibility that a material misstatement on a company’s annual or interim financial statements will not be prevented or detected on a timely basis. The material weakness did not result in any misstatement of our financial statements for any period presented. During fiscal year 2020, we completed the remediation measures related to the material weakness and management concluded that our internal control over financial reporting was effective as of the fiscal year ended December 31, 2020.</w:t>
      </w:r>
    </w:p>
    <w:p>
      <w:pPr>
        <w:spacing w:after="0" w:line="73"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We cannot be certain that we will be able to maintain adequate controls over our financial processes and reporting in the future or that we will be able to comply with our obligations under Section 404 of SOX. If we fail to maintain the adequacy of our internal controls, we cannot assure our stockholders that we will be able to conclude in the future that we have effective internal control over financial reporting, and/or we may encounter difficulties in implementing or improving our internal controls, which could harm our operating results or cause us to fail to meet our reporting obligations. If we fail to maintain effective internal controls, investors may lose confidence in the accuracy and completeness or our financial reports, the market price of our securities may be negatively affected, and we could be subject to sanctions or investigation by regulatory authorities, such as the SEC or Nasdaq.</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Compliance and reporting requirements related to being a public company may strain our resources and divert management’s attention.</w:t>
      </w:r>
    </w:p>
    <w:p>
      <w:pPr>
        <w:spacing w:after="0" w:line="129" w:lineRule="exact"/>
        <w:rPr>
          <w:sz w:val="20"/>
          <w:szCs w:val="20"/>
          <w:color w:val="auto"/>
        </w:rPr>
      </w:pPr>
    </w:p>
    <w:p>
      <w:pPr>
        <w:jc w:val="both"/>
        <w:ind w:right="300" w:firstLine="589"/>
        <w:spacing w:after="0" w:line="287" w:lineRule="auto"/>
        <w:rPr>
          <w:sz w:val="20"/>
          <w:szCs w:val="20"/>
          <w:color w:val="auto"/>
        </w:rPr>
      </w:pPr>
      <w:r>
        <w:rPr>
          <w:rFonts w:ascii="Arial" w:cs="Arial" w:eastAsia="Arial" w:hAnsi="Arial"/>
          <w:sz w:val="16"/>
          <w:szCs w:val="16"/>
          <w:color w:val="auto"/>
        </w:rPr>
        <w:t>The requirements of being a public company may strain our resources, divert management’s attention and affect our ability to attract and retain executive management and qualified board members. As a public company, we are subject to the reporting requirements of the Exchange Act, SOX, the Dodd-Frank Wall Street Reform and Consumer Protection Act, the listing requirements of Nasdaq and other applicable securities rules and regulations.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Compliance with these rules and regulations will increase our legal and financial compliance costs, make some activities more difficult, time-consuming or costly, and increase demand on our systems and resources. We experience additional costs associated with being a public company, including costs associated with compliance with the auditor attestation requirement of Section 404 of SOX.</w:t>
      </w:r>
    </w:p>
    <w:p>
      <w:pPr>
        <w:spacing w:after="0" w:line="190"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Moreover, the demands on management in operating a publicly traded company, interacting with public company investors and complying with the increasingly complex laws pertaining to public companies, are significant. Our management team may not successfully or efficiently manage us as a public company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disputes and regulatory investigations could have a material adverse effect on our business.</w:t>
      </w:r>
    </w:p>
    <w:p>
      <w:pPr>
        <w:spacing w:after="0" w:line="90"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From time to time, we may be involved in litigation and other disputes or regulatory investigations that arise in and outside the ordinary course of business. We expect that the number, frequency and significance of these matters may increase as our business expands and we grow as a company. Disputes and litigation may relate to, among other things, intellectual property, commercial arrangements, negligence and fiduciary duty claims, vicarious liability based upon conduct of individuals or entities outside of our control, including our third-party service providers, antitrust claims, deceptive trade practices, general fraud claims and employment law claims, including compliance with wage and hour regulations. Like other companies that handle sensitive personal and payment information, we also face the possibility of allegations regarding employee fraud or misconduct. In addition to more general litigation, at times we are also a named party in claims made against our customers, including putative class actions challenging the legality and constitutionality of automated photo enforcement and other similar programs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our Government Solutions customers and consumer fraud claims brought against our RAC customers alleging faulty disclosures regarding our services.</w:t>
      </w:r>
    </w:p>
    <w:p>
      <w:pPr>
        <w:spacing w:after="0" w:line="12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As a public company, we may also be subject to securities class action and stockholder derivative lawsuits. From time to time, we may also be reviewed or investigated by U.S. federal, state, or local regulators or regulators in the foreign jurisdictions in which we operate regarding similar and other matters, including tax assessments.</w:t>
      </w:r>
    </w:p>
    <w:p>
      <w:pPr>
        <w:spacing w:after="0" w:line="4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These investigations can be commenced at the initiative of the governmental authority or as a result of complaints by private citizens, regardless of whether the complaint has any merit. At times, we are also required to obtain licensing and permitting, including with respect to matters such as general contracting, performance of engineering services, performance of electrical work and performance of private investigative work. Although we carry general liability insurance coverage, our insurance may not cover all potential claims to which we are exposed, whether as a result of a dispute, litigation or governmental investigation, and it may not adequately indemnify us for all liability that may be imposed.</w:t>
      </w:r>
    </w:p>
    <w:p>
      <w:pPr>
        <w:spacing w:after="0" w:line="55"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Any claims against us or investigation into our business and activities, whether meritorious or not, could be time consuming, result in significant legal and other expenses, require significant amounts of management time and result in the diversion of significant operational resources. Class action lawsuits can often be particularly burdensome given the breadth of claims, large potential damages and significant costs of defense.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third-party patents or other third-party intellectual property rights. Legal or regulatory matters involving our directors, officers or employees in their individual capacities can also create exposure for us because we may be obligated or may choose to indemnify the affected individuals against liabilities and expenses they incur in connection with such matters. Regulatory investigations, including with respect to proper licensing or permitting, can also lead to enforcement actions, fines and penalties, the loss of a license or permit or the assertion of private litigation claims. Risks associated with these liabilities are often difficult to assess or quantify and their existence and magnitude can remain unknown for significant periods of time, making the amount of any legal reserves related to these legal liabilities difficult to determine and, if a reserve is established, subject to future revision. Future results of operations could be adversely affected if any reserve that we establish for a legal liability is increased or the underlying legal proceeding, investigation or other contingency is resolved for an amount in excess of established reserves. Because litigation and other disputes and regulatory investigations are inherently unpredictable, the results of any of these matters may have a material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keep up with technological developments and changing customer preferences could have a material adverse effect on our business.</w:t>
      </w:r>
    </w:p>
    <w:p>
      <w:pPr>
        <w:spacing w:after="0" w:line="12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operate in dynamic industries that are characterized by rapid technological change, frequent product and service innovation and evolving industry standards. We may be required to implement new technologies or adapt to existing but different technologies from those currently used. Our future success will depend on our ability to adapt and innovate to keep up with technological developments and changes in third-party technologies, including those of our customers and tolling and issuing authorities, to the extent our integrations are interdependent. As a result, we expect we will need to invest significant resources in research and development, often before knowing whether these investments will eventually be successful. The success of new solutions and enhancements and new features for existing solutions depends on several factors, including adequate testing, timely completion, appropriate introduction and market acceptance. Further, we may be required to make changes due to an inability to secure necessary intellectual property protections or licenses. Our inability to anticipate or timely and successfully develop or acquire new products and services or enhance our existing products and services to keep pace with technological changes and meet evolving customer requirements could decrease demand for our solutions and otherwise have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 and any changes in those laws could have a material adverse effect on our business.</w:t>
      </w:r>
    </w:p>
    <w:p>
      <w:pPr>
        <w:spacing w:after="0" w:line="10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are subject to multiple, and sometimes conflicting, laws and regulations in the countries, states and localities in which we operate. We are required to comply with certain SEC, Nasdaq, and other legal or regulatory requirements. Compliance with, and monitoring of, applicable laws, regulations and rules may be difficult, time consuming and costly. In addition to the laws and regulations discussed elsewhere in these risk factors regarding data privacy, foreign operations and other matters, we are subject to laws regarding transportation safety, consumer protection, procurement, anti-kickback, labor and employment matters, competition and antitrust, intellectual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right="320"/>
        <w:spacing w:after="0" w:line="275" w:lineRule="auto"/>
        <w:rPr>
          <w:sz w:val="20"/>
          <w:szCs w:val="20"/>
          <w:color w:val="auto"/>
        </w:rPr>
      </w:pPr>
      <w:r>
        <w:rPr>
          <w:rFonts w:ascii="Arial" w:cs="Arial" w:eastAsia="Arial" w:hAnsi="Arial"/>
          <w:sz w:val="17"/>
          <w:szCs w:val="17"/>
          <w:color w:val="auto"/>
        </w:rPr>
        <w:t>property, environmental matters, and other trade-related laws and regulations. Certain of our operations are also subject to oversight by the U.S. Department of Transportation, the Federal Communications Commission, the U.S. Consumer Product Safety Commission, and the Environmental Protection Agency, as well as comparable state and local agencies, including departments of transportation, departments of motor vehicles, professional licensing authorities and offices of inspector general. Our Government Solutions segment is also subject to laws related to the use of automated traffic enforcement, the capture, access and retention of data and matters related to government contracting.</w:t>
      </w:r>
    </w:p>
    <w:p>
      <w:pPr>
        <w:spacing w:after="0" w:line="55"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In connection with our European expansion, we are subject to laws, regulations and administrative practices addressing many of these and other matters in Europe.</w:t>
      </w:r>
    </w:p>
    <w:p>
      <w:pPr>
        <w:spacing w:after="0" w:line="35" w:lineRule="exact"/>
        <w:rPr>
          <w:sz w:val="20"/>
          <w:szCs w:val="20"/>
          <w:color w:val="auto"/>
        </w:rPr>
      </w:pPr>
    </w:p>
    <w:p>
      <w:pPr>
        <w:jc w:val="both"/>
        <w:ind w:right="160" w:firstLine="589"/>
        <w:spacing w:after="0" w:line="287" w:lineRule="auto"/>
        <w:rPr>
          <w:sz w:val="20"/>
          <w:szCs w:val="20"/>
          <w:color w:val="auto"/>
        </w:rPr>
      </w:pPr>
      <w:r>
        <w:rPr>
          <w:rFonts w:ascii="Arial" w:cs="Arial" w:eastAsia="Arial" w:hAnsi="Arial"/>
          <w:sz w:val="16"/>
          <w:szCs w:val="16"/>
          <w:color w:val="auto"/>
        </w:rPr>
        <w:t>Recent years have seen a substantial increase in the number of new laws and regulations and the rate of change and enforcement of many of these types of laws and regulations. We cannot predict the nature, scope or impact of future laws, regulatory requirements or similar standards may have on our business, whether implemented through changes to existing laws or the way they are administered or interpreted, or through entirely new regulations.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Future laws, regulations, and standards or any changed interpretation or administration of existing laws or regulations could limit the use or adoption of one or more of our solutions or require us to incur additional cost or impact our ability to develop and market new solutions. However, we may not be able to respond in a reasonable or cost-effective manner, or at all. Even if we make what we believe are appropriate changes, there is no certainty those actions will comply.</w:t>
      </w:r>
    </w:p>
    <w:p>
      <w:pPr>
        <w:spacing w:after="0" w:line="71"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Any alleged or actual violations of any law or regulation, change in law or regulation or changes in the interpretation of existing laws or regulations may subject us to government scrutiny, including government or regulatory investigations and enforcement actions, civil and criminal fines and penalties, and negative publicly, or otherwise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properly perform under our contracts or otherwise satisfy our customers could have a material adverse effect on our business.</w:t>
      </w:r>
    </w:p>
    <w:p>
      <w:pPr>
        <w:spacing w:after="0" w:line="12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Our business model depends in large part on our ability to retain existing work and attract new work from existing customers. If a customer is not satisfied with our products, services or solutions or the timeliness or quality of our work, we may incur additional costs to address the problem, the profitability of that contract may be impaired, we may experience payment delays, it could do harm to our reputation and hinder our ability to win new work from prospective customers. Failure to properly transition new customers to our systems or existing customers to our different systems, properly budget transition costs or accurately estimate contract costs could also result in delays and general customer dissatisfaction. Other than our agreements with customers in the RAC industry, many of our contracts may be terminated by the customer upon specified advance notice without cause. Any failure to properly perform under our contracts or meet our customers’ expectations could have a material adverse effect on our business, financial condition and results of operations.</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49"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We are subject to income taxes in the United States and Europe, and our domestic tax liabilities are subject to the allocation of expenses in differing jurisdictions. Our future effective tax rates could be subject to volatility or adversely affected by a number of factors, including:</w:t>
      </w:r>
    </w:p>
    <w:p>
      <w:pPr>
        <w:spacing w:after="0" w:line="25" w:lineRule="exact"/>
        <w:rPr>
          <w:sz w:val="20"/>
          <w:szCs w:val="20"/>
          <w:color w:val="auto"/>
        </w:rPr>
      </w:pPr>
    </w:p>
    <w:p>
      <w:pPr>
        <w:ind w:left="1460" w:hanging="44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 w:lineRule="exact"/>
        <w:rPr>
          <w:rFonts w:ascii="Arial" w:cs="Arial" w:eastAsia="Arial" w:hAnsi="Arial"/>
          <w:sz w:val="18"/>
          <w:szCs w:val="18"/>
          <w:color w:val="auto"/>
        </w:rPr>
      </w:pPr>
    </w:p>
    <w:p>
      <w:pPr>
        <w:ind w:left="1460" w:hanging="44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9" w:lineRule="exact"/>
        <w:rPr>
          <w:rFonts w:ascii="Arial" w:cs="Arial" w:eastAsia="Arial" w:hAnsi="Arial"/>
          <w:sz w:val="18"/>
          <w:szCs w:val="18"/>
          <w:color w:val="auto"/>
        </w:rPr>
      </w:pPr>
    </w:p>
    <w:p>
      <w:pPr>
        <w:ind w:left="1460" w:right="560" w:hanging="440"/>
        <w:spacing w:after="0" w:line="260"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64"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In addition, we are subject to audits of our income, sales and other transaction taxes by U.S. federal and state authorities. Outcomes from these audits could have an adverse effect on our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and could fall below the expectations of securities analysts and investors due to certain factors, some of which are beyond our control, resulting in a decline in our stock price.</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quarterly operating results may fluctuate significantly because of several factors, including:</w:t>
      </w:r>
    </w:p>
    <w:p>
      <w:pPr>
        <w:spacing w:after="0" w:line="185" w:lineRule="exact"/>
        <w:rPr>
          <w:sz w:val="20"/>
          <w:szCs w:val="20"/>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availability and costs for hourly and management personnel;</w:t>
      </w:r>
    </w:p>
    <w:p>
      <w:pPr>
        <w:spacing w:after="0" w:line="23"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profitability of our products and services, especially in new markets and due to seasonal fluctuations;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relating to products and services we offer;</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to new markets;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changes impacting automated safety solutions or RAC toll pricing models;</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commodity prices; and</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COVID-19.</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securities adversely, then the price and trading volume of our securities could decline.</w:t>
      </w:r>
    </w:p>
    <w:p>
      <w:pPr>
        <w:spacing w:after="0" w:line="62"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The trading market for our securities will be influenced by the research and reports that industry or securities analysts may publish about us, our business, our market, or our competitors.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We lease all of the properties used in our business, including 108,956 square feet of office space for our corporate headquarters in Mesa, AZ. In addition to the corporate headquarters, we also lease office space in various locations for corporate and administrative purposes and lease several small warehouse locations. We do not consider any of these properties to be material to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60"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For information on the investigation relating to our contracts with NYCDOT, please see the risk factor entitled “</w:t>
      </w:r>
      <w:r>
        <w:rPr>
          <w:rFonts w:ascii="Arial" w:cs="Arial" w:eastAsia="Arial" w:hAnsi="Arial"/>
          <w:sz w:val="18"/>
          <w:szCs w:val="18"/>
          <w:i w:val="1"/>
          <w:iCs w:val="1"/>
          <w:color w:val="auto"/>
        </w:rPr>
        <w:t>The New York City Law</w:t>
      </w:r>
      <w:r>
        <w:rPr>
          <w:rFonts w:ascii="Arial" w:cs="Arial" w:eastAsia="Arial" w:hAnsi="Arial"/>
          <w:sz w:val="18"/>
          <w:szCs w:val="18"/>
          <w:color w:val="auto"/>
        </w:rPr>
        <w:t xml:space="preserve"> </w:t>
      </w:r>
      <w:r>
        <w:rPr>
          <w:rFonts w:ascii="Arial" w:cs="Arial" w:eastAsia="Arial" w:hAnsi="Arial"/>
          <w:sz w:val="18"/>
          <w:szCs w:val="18"/>
          <w:i w:val="1"/>
          <w:iCs w:val="1"/>
          <w:color w:val="auto"/>
        </w:rPr>
        <w:t>Department recently advised us that the City of New York is investigating certain aspects of our installation work for our largest customer, NYCDOT</w:t>
      </w:r>
      <w:r>
        <w:rPr>
          <w:rFonts w:ascii="Arial" w:cs="Arial" w:eastAsia="Arial" w:hAnsi="Arial"/>
          <w:sz w:val="18"/>
          <w:szCs w:val="18"/>
          <w:color w:val="auto"/>
        </w:rPr>
        <w:t>”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120" w:firstLine="589"/>
        <w:spacing w:after="0" w:line="286" w:lineRule="auto"/>
        <w:rPr>
          <w:sz w:val="20"/>
          <w:szCs w:val="20"/>
          <w:color w:val="auto"/>
        </w:rPr>
      </w:pPr>
      <w:r>
        <w:rPr>
          <w:rFonts w:ascii="Arial" w:cs="Arial" w:eastAsia="Arial" w:hAnsi="Arial"/>
          <w:sz w:val="17"/>
          <w:szCs w:val="17"/>
          <w:color w:val="auto"/>
        </w:rPr>
        <w:t>Our Class A Common Stock is currently quoted on Nasdaq under the symbol “VRRM” and our warrants are currently quoted on OTC Pink under the symbol “VRRMW.” Our warrants were previously quoted on Nasdaq under the symbol “VRRMW”; however, our warrants were removed from listing on December 14, 2018 due to an insufficient number of round lot holders following completion of our Business Combination.</w:t>
      </w:r>
    </w:p>
    <w:p>
      <w:pPr>
        <w:spacing w:after="0" w:line="165"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following table sets forth the high and low sales prices per share of our Class A Common Stock as reported on Nasdaq for the two most recent fiscal years: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927"/>
              <w:spacing w:after="0"/>
              <w:rPr>
                <w:sz w:val="20"/>
                <w:szCs w:val="20"/>
                <w:color w:val="auto"/>
              </w:rPr>
            </w:pPr>
            <w:r>
              <w:rPr>
                <w:rFonts w:ascii="Arial" w:cs="Arial" w:eastAsia="Arial" w:hAnsi="Arial"/>
                <w:sz w:val="14"/>
                <w:szCs w:val="14"/>
                <w:b w:val="1"/>
                <w:bCs w:val="1"/>
                <w:color w:val="auto"/>
              </w:rPr>
              <w:t>Fiscal Year 2020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Fiscal Year 2019</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82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167"/>
              <w:spacing w:after="0" w:line="155" w:lineRule="exact"/>
              <w:rPr>
                <w:sz w:val="20"/>
                <w:szCs w:val="20"/>
                <w:color w:val="auto"/>
              </w:rPr>
            </w:pPr>
            <w:r>
              <w:rPr>
                <w:rFonts w:ascii="Arial" w:cs="Arial" w:eastAsia="Arial" w:hAnsi="Arial"/>
                <w:sz w:val="14"/>
                <w:szCs w:val="14"/>
                <w:b w:val="1"/>
                <w:bCs w:val="1"/>
                <w:color w:val="auto"/>
              </w:rPr>
              <w:t>Low</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36"/>
              <w:spacing w:after="0" w:line="155" w:lineRule="exact"/>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FF0FC"/>
            </w:tcBorders>
          </w:tcPr>
          <w:p>
            <w:pPr>
              <w:spacing w:after="0"/>
              <w:rPr>
                <w:sz w:val="13"/>
                <w:szCs w:val="13"/>
                <w:color w:val="auto"/>
              </w:rPr>
            </w:pPr>
          </w:p>
        </w:tc>
      </w:tr>
      <w:tr>
        <w:trPr>
          <w:trHeight w:val="223"/>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Second Quarter</w:t>
            </w:r>
          </w:p>
        </w:tc>
        <w:tc>
          <w:tcPr>
            <w:tcW w:w="19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13.17</w:t>
            </w:r>
          </w:p>
        </w:tc>
        <w:tc>
          <w:tcPr>
            <w:tcW w:w="340" w:type="dxa"/>
            <w:vAlign w:val="bottom"/>
          </w:tcPr>
          <w:p>
            <w:pPr>
              <w:spacing w:after="0"/>
              <w:rPr>
                <w:sz w:val="19"/>
                <w:szCs w:val="19"/>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15.07</w:t>
            </w: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r>
      <w:tr>
        <w:trPr>
          <w:trHeight w:val="229"/>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2"/>
            <w:shd w:val="clear" w:color="auto" w:fill="CFF0FC"/>
          </w:tcPr>
          <w:p>
            <w:pPr>
              <w:jc w:val="right"/>
              <w:ind w:right="11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7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9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FF0FC"/>
          </w:tcPr>
          <w:p>
            <w:pPr>
              <w:spacing w:after="0"/>
              <w:rPr>
                <w:sz w:val="19"/>
                <w:szCs w:val="19"/>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14.07</w:t>
            </w:r>
          </w:p>
        </w:tc>
        <w:tc>
          <w:tcPr>
            <w:tcW w:w="340" w:type="dxa"/>
            <w:vAlign w:val="bottom"/>
          </w:tcPr>
          <w:p>
            <w:pPr>
              <w:spacing w:after="0"/>
              <w:rPr>
                <w:sz w:val="20"/>
                <w:szCs w:val="20"/>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9.33</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15.36</w:t>
            </w: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As of December 31, 2020, we had 19 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40" w:firstLine="589"/>
        <w:spacing w:after="0" w:line="301" w:lineRule="auto"/>
        <w:rPr>
          <w:sz w:val="20"/>
          <w:szCs w:val="20"/>
          <w:color w:val="auto"/>
        </w:rPr>
      </w:pPr>
      <w:r>
        <w:rPr>
          <w:rFonts w:ascii="Arial" w:cs="Arial" w:eastAsia="Arial" w:hAnsi="Arial"/>
          <w:sz w:val="16"/>
          <w:szCs w:val="16"/>
          <w:color w:val="auto"/>
        </w:rPr>
        <w:t>As of December 31, 2020, there were warrants outstanding to acquire 19,999,967 shares of our Class A Common Stock including: (i) 6,666,666 warrants originally issued to Gores Sponsor II, LLC in a private placement in connection with our IPO (the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and (ii) 13,333,301 warrants issued in connection with our IPO (the “</w:t>
      </w:r>
      <w:r>
        <w:rPr>
          <w:rFonts w:ascii="Arial" w:cs="Arial" w:eastAsia="Arial" w:hAnsi="Arial"/>
          <w:sz w:val="16"/>
          <w:szCs w:val="16"/>
          <w:b w:val="1"/>
          <w:bCs w:val="1"/>
          <w:i w:val="1"/>
          <w:iCs w:val="1"/>
          <w:color w:val="auto"/>
        </w:rPr>
        <w:t>Public Warrants</w:t>
      </w:r>
      <w:r>
        <w:rPr>
          <w:rFonts w:ascii="Arial" w:cs="Arial" w:eastAsia="Arial" w:hAnsi="Arial"/>
          <w:sz w:val="16"/>
          <w:szCs w:val="16"/>
          <w:color w:val="auto"/>
        </w:rPr>
        <w:t>” and, together with the Private Placement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The Warrants entitle the registered holder to purchase one share of our Class A Common Stock at a price of $11.50 per share, subject to certain adjustments.</w:t>
      </w:r>
    </w:p>
    <w:p>
      <w:pPr>
        <w:spacing w:after="0" w:line="157"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The Warrants became exercisable on November 16, 2018, 30 days following the completion of the Business Combination, and expire five years after that date, or earlier upon redemption or liquidation. We may redeem the outstanding Warrants at a price of $0.01 per warrant, if the last sale price of our Class A Common Stock equals or exceeds $18.00 per share for any 20 trading days within a 30 trading day period ending on the third business day before we send the notice of redemption to the Warrant holders. The Private Placement Warrants, however, are nonredeemable so long as they are held by Gores Sponsor II, LLC or its permitted transferees.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in the agreements governing our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Proxy Statement for the 2021 annual meeting of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graph below compares the cumulative total return on our Class A Common Stock with that of the S&amp;P 500 Index and the S&amp;P Composite 1500 Data Processing &amp; Outsourced Services Index. The period shown commences on October 18, 2018 and ends on December 31, 2020, the end of our last fiscal year. The graph assumes an investment of $100 in each of the above on the close of market on October 18, 2018. We did not declare or pay any dividends on our Class A Common Stock during the comparison period. The stock performance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128270</wp:posOffset>
            </wp:positionV>
            <wp:extent cx="4629150" cy="2777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2915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This performance graph is not deemed to be incorporated by reference into any of our other filings under the Exchange Act, or the Securities Act, except to the extent we specifically incorporate it by reference into such filings.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Earn-Out Agreement</w:t>
      </w:r>
    </w:p>
    <w:p>
      <w:pPr>
        <w:spacing w:after="0" w:line="12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 Price</w:t>
      </w:r>
      <w:r>
        <w:rPr>
          <w:rFonts w:ascii="Arial" w:cs="Arial" w:eastAsia="Arial" w:hAnsi="Arial"/>
          <w:sz w:val="18"/>
          <w:szCs w:val="18"/>
          <w:color w:val="auto"/>
        </w:rPr>
        <w:t>”).</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Common Stock Price thresholds</w:t>
            </w:r>
          </w:p>
        </w:tc>
        <w:tc>
          <w:tcPr>
            <w:tcW w:w="4220" w:type="dxa"/>
            <w:vAlign w:val="bottom"/>
            <w:gridSpan w:val="2"/>
          </w:tcPr>
          <w:p>
            <w:pPr>
              <w:ind w:left="1200"/>
              <w:spacing w:after="0"/>
              <w:rPr>
                <w:sz w:val="20"/>
                <w:szCs w:val="20"/>
                <w:color w:val="auto"/>
              </w:rPr>
            </w:pPr>
            <w:r>
              <w:rPr>
                <w:rFonts w:ascii="Arial" w:cs="Arial" w:eastAsia="Arial" w:hAnsi="Arial"/>
                <w:sz w:val="14"/>
                <w:szCs w:val="14"/>
                <w:b w:val="1"/>
                <w:bCs w:val="1"/>
                <w:color w:val="auto"/>
              </w:rPr>
              <w:t>One-time issuance of shares</w:t>
            </w:r>
          </w:p>
        </w:tc>
      </w:tr>
      <w:tr>
        <w:trPr>
          <w:trHeight w:val="223"/>
        </w:trPr>
        <w:tc>
          <w:tcPr>
            <w:tcW w:w="6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xml:space="preserve">&gt; $13.00 </w:t>
            </w:r>
            <w:r>
              <w:rPr>
                <w:rFonts w:ascii="Arial" w:cs="Arial" w:eastAsia="Arial" w:hAnsi="Arial"/>
                <w:sz w:val="15"/>
                <w:szCs w:val="15"/>
                <w:color w:val="auto"/>
                <w:w w:val="91"/>
              </w:rPr>
              <w:t>(a)</w:t>
            </w:r>
          </w:p>
        </w:tc>
        <w:tc>
          <w:tcPr>
            <w:tcW w:w="540" w:type="dxa"/>
            <w:vAlign w:val="bottom"/>
            <w:tcBorders>
              <w:top w:val="single" w:sz="8" w:color="CFF0FC"/>
            </w:tcBorders>
            <w:shd w:val="clear" w:color="auto" w:fill="CFF0FC"/>
          </w:tcPr>
          <w:p>
            <w:pPr>
              <w:spacing w:after="0"/>
              <w:rPr>
                <w:sz w:val="19"/>
                <w:szCs w:val="19"/>
                <w:color w:val="auto"/>
              </w:rPr>
            </w:pPr>
          </w:p>
        </w:tc>
        <w:tc>
          <w:tcPr>
            <w:tcW w:w="4120" w:type="dxa"/>
            <w:vAlign w:val="bottom"/>
            <w:tcBorders>
              <w:top w:val="single" w:sz="8" w:color="auto"/>
            </w:tcBorders>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0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 xml:space="preserve">&gt; $15.50 </w:t>
            </w:r>
            <w:r>
              <w:rPr>
                <w:rFonts w:ascii="Arial" w:cs="Arial" w:eastAsia="Arial" w:hAnsi="Arial"/>
                <w:sz w:val="15"/>
                <w:szCs w:val="15"/>
                <w:color w:val="auto"/>
                <w:w w:val="91"/>
              </w:rPr>
              <w:t>(a)</w:t>
            </w: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540" w:type="dxa"/>
            <w:vAlign w:val="bottom"/>
            <w:shd w:val="clear" w:color="auto" w:fill="CFF0FC"/>
          </w:tcPr>
          <w:p>
            <w:pPr>
              <w:spacing w:after="0"/>
              <w:rPr>
                <w:sz w:val="19"/>
                <w:szCs w:val="19"/>
                <w:color w:val="auto"/>
              </w:rPr>
            </w:pPr>
          </w:p>
        </w:tc>
        <w:tc>
          <w:tcPr>
            <w:tcW w:w="4120" w:type="dxa"/>
            <w:vAlign w:val="bottom"/>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540" w:type="dxa"/>
            <w:vAlign w:val="bottom"/>
          </w:tcPr>
          <w:p>
            <w:pPr>
              <w:spacing w:after="0"/>
              <w:rPr>
                <w:sz w:val="20"/>
                <w:szCs w:val="20"/>
                <w:color w:val="auto"/>
              </w:rPr>
            </w:pP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and second tranches of Earn-Out Shares have been issued, as discussed below.</w:t>
      </w:r>
    </w:p>
    <w:p>
      <w:pPr>
        <w:spacing w:after="0" w:line="22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25"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our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we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92" w:lineRule="exact"/>
        <w:rPr>
          <w:sz w:val="20"/>
          <w:szCs w:val="20"/>
          <w:color w:val="auto"/>
        </w:rPr>
      </w:pPr>
    </w:p>
    <w:p>
      <w:pPr>
        <w:ind w:right="20" w:firstLine="864"/>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December 31, 2020.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are transferred from common stock contingent consideration to common stock and additional paid-in capital accounts. Any contingently issuable shares not issued as a result of a Triggering Event not being attained by the end of the earn-out period will be canceled.</w:t>
      </w:r>
    </w:p>
    <w:p>
      <w:pPr>
        <w:spacing w:after="0" w:line="139" w:lineRule="exact"/>
        <w:rPr>
          <w:sz w:val="20"/>
          <w:szCs w:val="20"/>
          <w:color w:val="auto"/>
        </w:rPr>
      </w:pPr>
    </w:p>
    <w:p>
      <w:pPr>
        <w:ind w:right="400" w:firstLine="864"/>
        <w:spacing w:after="0" w:line="273" w:lineRule="auto"/>
        <w:rPr>
          <w:sz w:val="20"/>
          <w:szCs w:val="20"/>
          <w:color w:val="auto"/>
        </w:rPr>
      </w:pPr>
      <w:r>
        <w:rPr>
          <w:rFonts w:ascii="Arial" w:cs="Arial" w:eastAsia="Arial" w:hAnsi="Arial"/>
          <w:sz w:val="17"/>
          <w:szCs w:val="17"/>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December 31, 2020, the potential future shares issuable pursuant to the earn-out are between zero and 5.0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As a result of the Business Combination discussed above, for accounting purposes, the Business Combination is treated as a reverse acquisition and recapitalization, in which Greenlight is considered the accounting acquirer (and legal acquiree) and Gores is considered the accounting acquiree (and legal acquirer). Our financial statement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right="300"/>
        <w:spacing w:after="0" w:line="263" w:lineRule="auto"/>
        <w:rPr>
          <w:sz w:val="20"/>
          <w:szCs w:val="20"/>
          <w:color w:val="auto"/>
        </w:rPr>
      </w:pPr>
      <w:r>
        <w:rPr>
          <w:rFonts w:ascii="Arial" w:cs="Arial" w:eastAsia="Arial" w:hAnsi="Arial"/>
          <w:sz w:val="18"/>
          <w:szCs w:val="18"/>
          <w:color w:val="auto"/>
        </w:rPr>
        <w:t>presentation includes the financial statements of Greenlight and its subsidiaries as “</w:t>
      </w:r>
      <w:r>
        <w:rPr>
          <w:rFonts w:ascii="Arial" w:cs="Arial" w:eastAsia="Arial" w:hAnsi="Arial"/>
          <w:sz w:val="18"/>
          <w:szCs w:val="18"/>
          <w:b w:val="1"/>
          <w:bCs w:val="1"/>
          <w:i w:val="1"/>
          <w:iCs w:val="1"/>
          <w:color w:val="auto"/>
        </w:rPr>
        <w:t>Predecessor</w:t>
      </w:r>
      <w:r>
        <w:rPr>
          <w:rFonts w:ascii="Arial" w:cs="Arial" w:eastAsia="Arial" w:hAnsi="Arial"/>
          <w:sz w:val="18"/>
          <w:szCs w:val="18"/>
          <w:color w:val="auto"/>
        </w:rPr>
        <w:t>” for periods prior to the completion of the Business Combination and of Verra Mobility Corporation, including the consolidation of Verra Mobility Holdings, LLC and its subsidiaries, for periods from and after the Closing Date (</w:t>
      </w:r>
      <w:r>
        <w:rPr>
          <w:rFonts w:ascii="Arial" w:cs="Arial" w:eastAsia="Arial" w:hAnsi="Arial"/>
          <w:sz w:val="18"/>
          <w:szCs w:val="18"/>
          <w:b w:val="1"/>
          <w:bCs w:val="1"/>
          <w:i w:val="1"/>
          <w:iCs w:val="1"/>
          <w:color w:val="auto"/>
        </w:rPr>
        <w:t>“Successor”</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our consolidated statements of operations for the respective periods: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For the Year 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June 1, 2017 to</w:t>
            </w: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January 1, 2017</w:t>
            </w: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 May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Service revenue</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336,274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416,723</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365,076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135,655</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92,531</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212,515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gridSpan w:val="2"/>
          </w:tcPr>
          <w:p>
            <w:pPr>
              <w:spacing w:after="0" w:line="216" w:lineRule="exact"/>
              <w:rPr>
                <w:sz w:val="20"/>
                <w:szCs w:val="20"/>
                <w:color w:val="auto"/>
              </w:rPr>
            </w:pPr>
            <w:r>
              <w:rPr>
                <w:rFonts w:ascii="Arial" w:cs="Arial" w:eastAsia="Arial" w:hAnsi="Arial"/>
                <w:sz w:val="15"/>
                <w:szCs w:val="15"/>
                <w:color w:val="auto"/>
              </w:rPr>
              <w:t xml:space="preserve">Product sales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57,319</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5,070</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w:t>
            </w:r>
          </w:p>
        </w:tc>
        <w:tc>
          <w:tcPr>
            <w:tcW w:w="260" w:type="dxa"/>
            <w:vAlign w:val="bottom"/>
            <w:tcBorders>
              <w:bottom w:val="single" w:sz="8" w:color="CFF0FC"/>
              <w:right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Total revenue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393,593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448,737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370,146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138,239</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Arial" w:cs="Arial" w:eastAsia="Arial" w:hAnsi="Arial"/>
                <w:sz w:val="16"/>
                <w:szCs w:val="16"/>
                <w:color w:val="auto"/>
              </w:rPr>
              <w:t>Cost of service revenue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1,936</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Cost of product sales </w:t>
            </w:r>
            <w:r>
              <w:rPr>
                <w:rFonts w:ascii="Arial" w:cs="Arial" w:eastAsia="Arial" w:hAnsi="Arial"/>
                <w:sz w:val="25"/>
                <w:szCs w:val="25"/>
                <w:color w:val="auto"/>
                <w:vertAlign w:val="superscript"/>
              </w:rPr>
              <w:t>(1)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w:t>
            </w:r>
          </w:p>
        </w:tc>
        <w:tc>
          <w:tcPr>
            <w:tcW w:w="26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108,883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50,471</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Selling, general and administrative expenses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44,882</w:t>
            </w:r>
          </w:p>
        </w:tc>
        <w:tc>
          <w:tcPr>
            <w:tcW w:w="26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w w:val="97"/>
              </w:rPr>
              <w:t>Depreciation, amortization, and (gain) loss on</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disposal of assets, net </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116,844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103,353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33,113</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Impairment of property and equipment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Total cost and expenses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355,777</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352,282</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357,540</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131,992</w:t>
            </w:r>
          </w:p>
        </w:tc>
        <w:tc>
          <w:tcPr>
            <w:tcW w:w="260" w:type="dxa"/>
            <w:vAlign w:val="bottom"/>
            <w:tcBorders>
              <w:bottom w:val="single" w:sz="8" w:color="CFF0FC"/>
              <w:right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91,798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182,856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Income from operations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6,247</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Interest expense, net </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60,729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20,858</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Tax receivable agreement liability</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adjustment </w:t>
            </w:r>
            <w:r>
              <w:rPr>
                <w:rFonts w:ascii="Arial" w:cs="Arial" w:eastAsia="Arial" w:hAnsi="Arial"/>
                <w:sz w:val="25"/>
                <w:szCs w:val="25"/>
                <w:color w:val="auto"/>
                <w:vertAlign w:val="superscript"/>
              </w:rPr>
              <w:t>(4)</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Loss on extinguishment of debt </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5"/>
                <w:szCs w:val="25"/>
                <w:color w:val="auto"/>
                <w:vertAlign w:val="superscript"/>
              </w:rPr>
              <w:t>(5)</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(11,885)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(11,092)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(8,795)</w:t>
            </w:r>
          </w:p>
        </w:tc>
        <w:tc>
          <w:tcPr>
            <w:tcW w:w="100" w:type="dxa"/>
            <w:vAlign w:val="bottom"/>
            <w:shd w:val="clear" w:color="auto" w:fill="CFF0FC"/>
          </w:tcPr>
          <w:p>
            <w:pPr>
              <w:spacing w:after="0"/>
              <w:rPr>
                <w:sz w:val="18"/>
                <w:szCs w:val="18"/>
                <w:color w:val="auto"/>
              </w:rPr>
            </w:pPr>
          </w:p>
        </w:tc>
        <w:tc>
          <w:tcPr>
            <w:tcW w:w="12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ind w:left="260"/>
              <w:spacing w:after="0"/>
              <w:rPr>
                <w:sz w:val="20"/>
                <w:szCs w:val="20"/>
                <w:color w:val="auto"/>
              </w:rPr>
            </w:pPr>
            <w:r>
              <w:rPr>
                <w:rFonts w:ascii="Arial" w:cs="Arial" w:eastAsia="Arial" w:hAnsi="Arial"/>
                <w:sz w:val="16"/>
                <w:szCs w:val="16"/>
                <w:color w:val="auto"/>
              </w:rPr>
              <w:t>Total other expenses (income)</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49,531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87,241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18,686</w:t>
            </w: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(74,635)</w:t>
            </w:r>
          </w:p>
        </w:tc>
        <w:tc>
          <w:tcPr>
            <w:tcW w:w="100" w:type="dxa"/>
            <w:vAlign w:val="bottom"/>
            <w:shd w:val="clear" w:color="auto" w:fill="CFF0FC"/>
          </w:tcPr>
          <w:p>
            <w:pPr>
              <w:spacing w:after="0"/>
              <w:rPr>
                <w:sz w:val="18"/>
                <w:szCs w:val="18"/>
                <w:color w:val="auto"/>
              </w:rPr>
            </w:pPr>
          </w:p>
        </w:tc>
        <w:tc>
          <w:tcPr>
            <w:tcW w:w="12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(12,439)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Income tax provision (benefit) </w:t>
            </w:r>
            <w:r>
              <w:rPr>
                <w:rFonts w:ascii="Arial" w:cs="Arial" w:eastAsia="Arial" w:hAnsi="Arial"/>
                <w:sz w:val="25"/>
                <w:szCs w:val="25"/>
                <w:color w:val="auto"/>
                <w:vertAlign w:val="superscript"/>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(16,241)</w:t>
            </w: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(30,677)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FF0FC"/>
          </w:tcPr>
          <w:p>
            <w:pPr>
              <w:ind w:left="26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6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(3,445)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33,343</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(58,394)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18,238</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selected items from our consolidated balance sheets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951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95186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0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Successor</w:t>
            </w: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7"/>
        </w:trPr>
        <w:tc>
          <w:tcPr>
            <w:tcW w:w="31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120,259</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131,513</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65,048</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8,725</w:t>
            </w:r>
          </w:p>
        </w:tc>
        <w:tc>
          <w:tcPr>
            <w:tcW w:w="0" w:type="dxa"/>
            <w:vAlign w:val="bottom"/>
          </w:tcPr>
          <w:p>
            <w:pPr>
              <w:spacing w:after="0"/>
              <w:rPr>
                <w:sz w:val="1"/>
                <w:szCs w:val="1"/>
                <w:color w:val="auto"/>
              </w:rPr>
            </w:pPr>
          </w:p>
        </w:tc>
      </w:tr>
      <w:tr>
        <w:trPr>
          <w:trHeight w:val="226"/>
        </w:trPr>
        <w:tc>
          <w:tcPr>
            <w:tcW w:w="3100" w:type="dxa"/>
            <w:vAlign w:val="bottom"/>
            <w:gridSpan w:val="2"/>
          </w:tcPr>
          <w:p>
            <w:pPr>
              <w:spacing w:after="0" w:line="226" w:lineRule="exact"/>
              <w:rPr>
                <w:sz w:val="20"/>
                <w:szCs w:val="20"/>
                <w:color w:val="auto"/>
              </w:rPr>
            </w:pPr>
            <w:r>
              <w:rPr>
                <w:rFonts w:ascii="Arial" w:cs="Arial" w:eastAsia="Arial" w:hAnsi="Arial"/>
                <w:sz w:val="16"/>
                <w:szCs w:val="16"/>
                <w:color w:val="auto"/>
              </w:rPr>
              <w:t xml:space="preserve">Goodwill and intangibles, net </w:t>
            </w:r>
            <w:r>
              <w:rPr>
                <w:rFonts w:ascii="Arial" w:cs="Arial" w:eastAsia="Arial" w:hAnsi="Arial"/>
                <w:sz w:val="26"/>
                <w:szCs w:val="26"/>
                <w:color w:val="auto"/>
                <w:vertAlign w:val="superscript"/>
              </w:rPr>
              <w:t>(2)</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928,574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1,018,593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1,079,265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498,164</w:t>
            </w:r>
          </w:p>
        </w:tc>
        <w:tc>
          <w:tcPr>
            <w:tcW w:w="0" w:type="dxa"/>
            <w:vAlign w:val="bottom"/>
          </w:tcPr>
          <w:p>
            <w:pPr>
              <w:spacing w:after="0"/>
              <w:rPr>
                <w:sz w:val="1"/>
                <w:szCs w:val="1"/>
                <w:color w:val="auto"/>
              </w:rPr>
            </w:pPr>
          </w:p>
        </w:tc>
      </w:tr>
      <w:tr>
        <w:trPr>
          <w:trHeight w:val="206"/>
        </w:trPr>
        <w:tc>
          <w:tcPr>
            <w:tcW w:w="310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1,367,325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1,407,426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1,344,783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664,865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6"/>
                <w:szCs w:val="16"/>
                <w:color w:val="auto"/>
              </w:rPr>
              <w:t>Total long-term debt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842,045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866,465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869,353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428,689</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1,367,325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1,407,426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1,344,783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664,865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96"/>
        <w:spacing w:after="0"/>
        <w:rPr>
          <w:sz w:val="20"/>
          <w:szCs w:val="20"/>
          <w:color w:val="auto"/>
        </w:rPr>
      </w:pPr>
      <w:r>
        <w:rPr>
          <w:rFonts w:ascii="Arial" w:cs="Arial" w:eastAsia="Arial" w:hAnsi="Arial"/>
          <w:sz w:val="14"/>
          <w:szCs w:val="14"/>
          <w:b w:val="1"/>
          <w:bCs w:val="1"/>
          <w:color w:val="auto"/>
        </w:rPr>
        <w:t>Predecessor</w:t>
      </w:r>
    </w:p>
    <w:p>
      <w:pPr>
        <w:spacing w:after="0" w:line="25" w:lineRule="exact"/>
        <w:rPr>
          <w:sz w:val="20"/>
          <w:szCs w:val="20"/>
          <w:color w:val="auto"/>
        </w:rPr>
      </w:pPr>
    </w:p>
    <w:p>
      <w:pPr>
        <w:jc w:val="center"/>
        <w:ind w:right="96"/>
        <w:spacing w:after="0"/>
        <w:rPr>
          <w:sz w:val="20"/>
          <w:szCs w:val="20"/>
          <w:color w:val="auto"/>
        </w:rPr>
      </w:pPr>
      <w:r>
        <w:rPr>
          <w:rFonts w:ascii="Arial" w:cs="Arial" w:eastAsia="Arial" w:hAnsi="Arial"/>
          <w:sz w:val="14"/>
          <w:szCs w:val="14"/>
          <w:b w:val="1"/>
          <w:bCs w:val="1"/>
          <w:color w:val="auto"/>
        </w:rPr>
        <w:t>2016</w:t>
      </w:r>
    </w:p>
    <w:p>
      <w:pPr>
        <w:spacing w:after="0" w:line="17" w:lineRule="exact"/>
        <w:rPr>
          <w:sz w:val="20"/>
          <w:szCs w:val="20"/>
          <w:color w:val="auto"/>
        </w:rPr>
      </w:pPr>
    </w:p>
    <w:p>
      <w:pPr>
        <w:ind w:left="884" w:hanging="884"/>
        <w:spacing w:after="0"/>
        <w:tabs>
          <w:tab w:leader="none" w:pos="884" w:val="left"/>
        </w:tabs>
        <w:numPr>
          <w:ilvl w:val="0"/>
          <w:numId w:val="19"/>
        </w:numPr>
        <w:rPr>
          <w:rFonts w:ascii="Arial" w:cs="Arial" w:eastAsia="Arial" w:hAnsi="Arial"/>
          <w:sz w:val="15"/>
          <w:szCs w:val="15"/>
          <w:color w:val="auto"/>
        </w:rPr>
      </w:pPr>
      <w:r>
        <w:rPr>
          <w:rFonts w:ascii="Arial" w:cs="Arial" w:eastAsia="Arial" w:hAnsi="Arial"/>
          <w:sz w:val="15"/>
          <w:szCs w:val="15"/>
          <w:color w:val="auto"/>
        </w:rPr>
        <w:t>2,901</w:t>
      </w:r>
    </w:p>
    <w:p>
      <w:pPr>
        <w:spacing w:after="0" w:line="43" w:lineRule="exact"/>
        <w:rPr>
          <w:rFonts w:ascii="Arial" w:cs="Arial" w:eastAsia="Arial" w:hAnsi="Arial"/>
          <w:sz w:val="15"/>
          <w:szCs w:val="15"/>
          <w:color w:val="auto"/>
        </w:rPr>
      </w:pPr>
    </w:p>
    <w:p>
      <w:pPr>
        <w:ind w:left="804"/>
        <w:spacing w:after="0"/>
        <w:rPr>
          <w:rFonts w:ascii="Arial" w:cs="Arial" w:eastAsia="Arial" w:hAnsi="Arial"/>
          <w:sz w:val="15"/>
          <w:szCs w:val="15"/>
          <w:color w:val="auto"/>
        </w:rPr>
      </w:pPr>
      <w:r>
        <w:rPr>
          <w:rFonts w:ascii="Arial" w:cs="Arial" w:eastAsia="Arial" w:hAnsi="Arial"/>
          <w:sz w:val="15"/>
          <w:szCs w:val="15"/>
          <w:color w:val="auto"/>
        </w:rPr>
        <w:t>26,983</w:t>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188,436</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69,243</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188,436</w:t>
      </w:r>
    </w:p>
    <w:p>
      <w:pPr>
        <w:spacing w:after="0" w:line="222" w:lineRule="exact"/>
        <w:rPr>
          <w:sz w:val="20"/>
          <w:szCs w:val="20"/>
          <w:color w:val="auto"/>
        </w:rPr>
      </w:pPr>
    </w:p>
    <w:p>
      <w:pPr>
        <w:sectPr>
          <w:pgSz w:w="11900" w:h="16838" w:orient="portrait"/>
          <w:cols w:equalWidth="0" w:num="2">
            <w:col w:w="9560" w:space="316"/>
            <w:col w:w="1364"/>
          </w:cols>
          <w:pgMar w:left="320" w:top="233" w:right="339" w:bottom="1440" w:gutter="0" w:footer="0" w:header="0"/>
          <w:type w:val="continuous"/>
        </w:sectPr>
      </w:pPr>
    </w:p>
    <w:p>
      <w:pPr>
        <w:spacing w:after="0" w:line="35" w:lineRule="exact"/>
        <w:rPr>
          <w:sz w:val="20"/>
          <w:szCs w:val="20"/>
          <w:color w:val="auto"/>
        </w:rPr>
      </w:pPr>
    </w:p>
    <w:p>
      <w:pPr>
        <w:ind w:left="1160" w:right="2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sales and the related cost of product sales result from the sale of photo enforcement equipment to certain customers. The number of customers that purchase equipment is limited and their buying patterns vary greatly from period to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2" w:name="page43"/>
    <w:bookmarkEnd w:id="42"/>
    <w:p>
      <w:pPr>
        <w:ind w:left="1160" w:right="20" w:hanging="572"/>
        <w:spacing w:after="0" w:line="287"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purchase accounting resulting from Platinum Equity, LLC’s acquisition of ATS Consolidated, Inc. (now known as VM Consolidated, Inc)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ATS Merger</w:t>
      </w:r>
      <w:r>
        <w:rPr>
          <w:rFonts w:ascii="Arial" w:cs="Arial" w:eastAsia="Arial" w:hAnsi="Arial"/>
          <w:sz w:val="16"/>
          <w:szCs w:val="16"/>
          <w:b w:val="1"/>
          <w:bCs w:val="1"/>
          <w:color w:val="auto"/>
        </w:rPr>
        <w:t>”</w:t>
      </w:r>
      <w:r>
        <w:rPr>
          <w:rFonts w:ascii="Arial" w:cs="Arial" w:eastAsia="Arial" w:hAnsi="Arial"/>
          <w:sz w:val="16"/>
          <w:szCs w:val="16"/>
          <w:color w:val="auto"/>
        </w:rPr>
        <w:t xml:space="preserve">) in May 2017 increased intangible assets subject to amortization to $222.5 million. The related amortization of intangibles expense increased by $17.7 million, $35.4 million, $37.8 million and $37.8 million for the period from June 1, 2017 to December 31, 2017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“2017 Successor Period”</w:t>
      </w:r>
      <w:r>
        <w:rPr>
          <w:rFonts w:ascii="Arial" w:cs="Arial" w:eastAsia="Arial" w:hAnsi="Arial"/>
          <w:sz w:val="16"/>
          <w:szCs w:val="16"/>
          <w:color w:val="auto"/>
        </w:rPr>
        <w:t>) and for fiscal years 2018, 2019 and 2020, respectively. On March 1, 2018, we acquired HTA as discussed below. The purchase accounting resulting from the HTA acquisition increased intangible assets subject to amortization to $591.8 million and increased the related amortization expense for the years ended December 31, 2018, 2019 and 2020 by $43.1 million, $51.7 million and $51.7 million respectively. On April 6, 2018, we acquired EPC as discussed below. The purchase accounting resulting from the EPC acquisition increased intangible assets subject to amortization to $614.0 million and increased the related amortization expense for the years ended December 31, 2018, 2019 and 2020 by $2.3 million, $3.0 million and $2.3 million respectively. On October 31, 2019, we acquired Pagatelia S.L. which increased intangibles subject to amortization to $628.5 million, and the related amortization expense for the years ended December 31, 2019 and 2020 by $0.3 million and $1.7 million, respectively.</w:t>
      </w:r>
    </w:p>
    <w:p>
      <w:pPr>
        <w:spacing w:after="0" w:line="63" w:lineRule="exact"/>
        <w:rPr>
          <w:rFonts w:ascii="Arial" w:cs="Arial" w:eastAsia="Arial" w:hAnsi="Arial"/>
          <w:sz w:val="16"/>
          <w:szCs w:val="16"/>
          <w:color w:val="auto"/>
        </w:rPr>
      </w:pPr>
    </w:p>
    <w:p>
      <w:pPr>
        <w:ind w:left="1160" w:hanging="572"/>
        <w:spacing w:after="0" w:line="254"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connection with the ATS Merger, we entered into a First Lien Term Loan Credit Agreement and a Second Lien Term Loan Credit Agreement of $323 million and $125 million, respectively, and a $40 million Revolving Credit Agreement (collectively the “</w:t>
      </w:r>
      <w:r>
        <w:rPr>
          <w:rFonts w:ascii="Arial" w:cs="Arial" w:eastAsia="Arial" w:hAnsi="Arial"/>
          <w:sz w:val="18"/>
          <w:szCs w:val="18"/>
          <w:b w:val="1"/>
          <w:bCs w:val="1"/>
          <w:i w:val="1"/>
          <w:iCs w:val="1"/>
          <w:color w:val="auto"/>
        </w:rPr>
        <w:t>2017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In connection with the HTA acquisition, we entered into a First Lien Term Loan Credit Agreement and a Second Lien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Credit Agreement of $840 million and $200 million, respectively, and a $75 million Revolving Credit Agreement (collectively the “</w:t>
      </w:r>
      <w:r>
        <w:rPr>
          <w:rFonts w:ascii="Arial" w:cs="Arial" w:eastAsia="Arial" w:hAnsi="Arial"/>
          <w:sz w:val="18"/>
          <w:szCs w:val="18"/>
          <w:b w:val="1"/>
          <w:bCs w:val="1"/>
          <w:i w:val="1"/>
          <w:iCs w:val="1"/>
          <w:color w:val="auto"/>
        </w:rPr>
        <w:t>2018 Credit Facilities</w:t>
      </w:r>
      <w:r>
        <w:rPr>
          <w:rFonts w:ascii="Arial" w:cs="Arial" w:eastAsia="Arial" w:hAnsi="Arial"/>
          <w:sz w:val="18"/>
          <w:szCs w:val="18"/>
          <w:color w:val="auto"/>
        </w:rPr>
        <w:t>”). The 2018 Credit Facilities replaced the 2017 Credit Facilities. In February 2020, we refinanced the entire amount outstanding under the 2018 Credit Facilities by which we reduced our financing costs. We recorded interest expense including amortization of deferred financing costs of $20.9 million, $69.6 million, $60.7 million and $40.9 million respectively, in the 2017 Successor Period and in fiscal years 2018, 2019 and 2020.</w:t>
      </w:r>
    </w:p>
    <w:p>
      <w:pPr>
        <w:spacing w:after="0" w:line="83" w:lineRule="exact"/>
        <w:rPr>
          <w:rFonts w:ascii="Arial" w:cs="Arial" w:eastAsia="Arial" w:hAnsi="Arial"/>
          <w:sz w:val="18"/>
          <w:szCs w:val="18"/>
          <w:color w:val="auto"/>
        </w:rPr>
      </w:pPr>
    </w:p>
    <w:p>
      <w:pPr>
        <w:ind w:left="1180" w:right="140"/>
        <w:spacing w:after="0" w:line="342" w:lineRule="auto"/>
        <w:rPr>
          <w:rFonts w:ascii="Arial" w:cs="Arial" w:eastAsia="Arial" w:hAnsi="Arial"/>
          <w:sz w:val="18"/>
          <w:szCs w:val="18"/>
          <w:color w:val="auto"/>
        </w:rPr>
      </w:pPr>
      <w:r>
        <w:rPr>
          <w:rFonts w:ascii="Arial" w:cs="Arial" w:eastAsia="Arial" w:hAnsi="Arial"/>
          <w:sz w:val="16"/>
          <w:szCs w:val="16"/>
          <w:color w:val="auto"/>
        </w:rPr>
        <w:t>In fiscal 2018, we recorded a $10.2 million loss on extinguishment of debt related to the establishment of the 2018 Credit Facilities, and a $16.3 million loss associated with the repayment of the second lien term loan in October 2018 pursuant to the Business Combination.</w:t>
      </w:r>
    </w:p>
    <w:p>
      <w:pPr>
        <w:spacing w:after="0" w:line="15"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consists of adjustments made to the related party tax receivable agreement liability due to changes in estimates.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income, net primarily consists of volume rebates from total spend on purchasing cards.</w:t>
      </w:r>
    </w:p>
    <w:p>
      <w:pPr>
        <w:spacing w:after="0" w:line="117" w:lineRule="exact"/>
        <w:rPr>
          <w:rFonts w:ascii="Arial" w:cs="Arial" w:eastAsia="Arial" w:hAnsi="Arial"/>
          <w:sz w:val="18"/>
          <w:szCs w:val="18"/>
          <w:color w:val="auto"/>
        </w:rPr>
      </w:pPr>
    </w:p>
    <w:p>
      <w:pPr>
        <w:ind w:left="1160" w:right="60" w:hanging="572"/>
        <w:spacing w:after="0" w:line="273" w:lineRule="auto"/>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December 22, 2017, the U.S. enacted significant changes to the U.S. tax law following the passage and signing of the Tax Act. The Tax Act reduces the U.S. federal corporate tax rate from a maximum 35% to 21% and modified or eliminated other provisions in the tax code. As of December 31, 2017, we re-measured the applicable deferred tax assets and liabilities based on the rates at which they are expected to reverse. The gross deferred tax assets and liabilities were provisionally adjusted, which resulted in a net effect of a $27.3 million decrease to the income tax provision in the 2017 Successor Period. We completed our analysis in 2018 and have recorded the final adjustments in the measurement period provided for in the Tax Act.</w:t>
      </w:r>
    </w:p>
    <w:p>
      <w:pPr>
        <w:sectPr>
          <w:pgSz w:w="11900" w:h="16838" w:orient="portrait"/>
          <w:cols w:equalWidth="0" w:num="1">
            <w:col w:w="11240"/>
          </w:cols>
          <w:pgMar w:left="320" w:top="125" w:right="3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certain captions within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139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8"/>
              </w:rPr>
              <w:t>For the Year Ended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June 1, 2017 to</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w w:val="97"/>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133,802</w:t>
            </w:r>
          </w:p>
        </w:tc>
        <w:tc>
          <w:tcPr>
            <w:tcW w:w="24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46,017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(24,153)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(54,973)</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(562,857)</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(553,536)</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Net cash (used in) provided by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(14,520)</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574,268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555,734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Predecessor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2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January 1, 2017</w:t>
            </w:r>
          </w:p>
        </w:tc>
        <w:tc>
          <w:tcPr>
            <w:tcW w:w="124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to May 31,</w:t>
            </w:r>
          </w:p>
        </w:tc>
        <w:tc>
          <w:tcPr>
            <w:tcW w:w="14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41,833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(8,786)</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(35,051)</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(27,491)</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00" w:space="320"/>
            <w:col w:w="2720"/>
          </w:cols>
          <w:pgMar w:left="320" w:top="125"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Non-GAAP Financial Data</w:t>
      </w:r>
    </w:p>
    <w:p>
      <w:pPr>
        <w:spacing w:after="0" w:line="121"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The consolidated financial statements included elsewhere in this document are prepared in accordance with generally accepted accounting principles in the United States of America (“</w:t>
      </w:r>
      <w:r>
        <w:rPr>
          <w:rFonts w:ascii="Arial" w:cs="Arial" w:eastAsia="Arial" w:hAnsi="Arial"/>
          <w:sz w:val="18"/>
          <w:szCs w:val="18"/>
          <w:b w:val="1"/>
          <w:bCs w:val="1"/>
          <w:i w:val="1"/>
          <w:iCs w:val="1"/>
          <w:color w:val="auto"/>
        </w:rPr>
        <w:t>GAAP</w:t>
      </w:r>
      <w:r>
        <w:rPr>
          <w:rFonts w:ascii="Arial" w:cs="Arial" w:eastAsia="Arial" w:hAnsi="Arial"/>
          <w:sz w:val="18"/>
          <w:szCs w:val="18"/>
          <w:color w:val="auto"/>
        </w:rPr>
        <w: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unaudited non-GAAP measures of Adjusted EBITDA and Adjusted EBITDA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942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5"/>
              </w:rPr>
              <w:t>For the Year Ended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5"/>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June 1, 2017 to</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980" w:type="dxa"/>
            <w:vAlign w:val="bottom"/>
            <w:vMerge w:val="restart"/>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5"/>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181,845</w:t>
            </w:r>
          </w:p>
        </w:tc>
        <w:tc>
          <w:tcPr>
            <w:tcW w:w="160" w:type="dxa"/>
            <w:vAlign w:val="bottom"/>
          </w:tcPr>
          <w:p>
            <w:pPr>
              <w:spacing w:after="0"/>
              <w:rPr>
                <w:sz w:val="12"/>
                <w:szCs w:val="12"/>
                <w:color w:val="auto"/>
              </w:rPr>
            </w:pP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241,391</w:t>
            </w:r>
          </w:p>
        </w:tc>
        <w:tc>
          <w:tcPr>
            <w:tcW w:w="28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197,610</w:t>
            </w:r>
          </w:p>
        </w:tc>
        <w:tc>
          <w:tcPr>
            <w:tcW w:w="22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59,901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98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6"/>
                <w:szCs w:val="16"/>
                <w:color w:val="auto"/>
              </w:rPr>
              <w:t>Adjusted EBITDA Margin %</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53.8%</w:t>
            </w: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Predecessor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January 1, 2017</w:t>
            </w: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to May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ind w:right="104"/>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37,991</w:t>
            </w:r>
          </w:p>
        </w:tc>
        <w:tc>
          <w:tcPr>
            <w:tcW w:w="220" w:type="dxa"/>
            <w:vAlign w:val="bottom"/>
          </w:tcPr>
          <w:p>
            <w:pPr>
              <w:spacing w:after="0"/>
              <w:rPr>
                <w:sz w:val="24"/>
                <w:szCs w:val="24"/>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87,116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60" w:space="300"/>
            <w:col w:w="2860"/>
          </w:cols>
          <w:pgMar w:left="320" w:top="486" w:right="359" w:bottom="1440" w:gutter="0" w:footer="0" w:header="0"/>
          <w:type w:val="continuous"/>
        </w:sectPr>
      </w:pPr>
    </w:p>
    <w:p>
      <w:pPr>
        <w:spacing w:after="0" w:line="35"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We define “</w:t>
      </w:r>
      <w:r>
        <w:rPr>
          <w:rFonts w:ascii="Arial" w:cs="Arial" w:eastAsia="Arial" w:hAnsi="Arial"/>
          <w:sz w:val="17"/>
          <w:szCs w:val="17"/>
          <w:b w:val="1"/>
          <w:bCs w:val="1"/>
          <w:i w:val="1"/>
          <w:iCs w:val="1"/>
          <w:color w:val="auto"/>
        </w:rPr>
        <w:t>Adjusted EBITDA</w:t>
      </w:r>
      <w:r>
        <w:rPr>
          <w:rFonts w:ascii="Arial" w:cs="Arial" w:eastAsia="Arial" w:hAnsi="Arial"/>
          <w:sz w:val="17"/>
          <w:szCs w:val="17"/>
          <w:color w:val="auto"/>
        </w:rPr>
        <w:t>” as net (loss) income adjusted to exclude (i) interest expense, net, (ii) income taxes, (iii) depreciation and amortization, and (iv) as further adjusted to exclude the impact of certain non-cash and non-recurring items that we do not consider indicative of our ongoing operating performance. These further adjustments are itemized below. Adjusted EBITDA margin % represents Adjusted EBITDA as a percentage of total revenue. We use these metrics to measure our performance from period to period both at the consolidated level as well as within our operating segments, to evaluate and fund incentive compensation programs and to compare our results to those of our competitors. In addition to Adjusted EBITDA being a significant measure of performance for management purposes, we also believe that this presentation provides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w:t>
      </w:r>
    </w:p>
    <w:p>
      <w:pPr>
        <w:spacing w:after="0" w:line="178"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You are encouraged to evaluate these adjustments and the reasons we consider them appropriate for supplemental analysis. In evaluating Adjusted EBITDA, you should be aware that in the future we may incur expenses that are the same as or similar to some of the adjustments set forth below. Our presentation of Adjusted EBITDA should not be construed as an inference that our future results will be unaffected by unusual or non-recurring items. Adjusted EBITDA should not be considered as an alternative to net (loss) income, operating income, cash flows from operating activities or any other performance measures derived in accordance with GAAP, or measures of operating performance or cash flows as measures of liquidity. Adjusted EBITDA and Adjusted EBITDA margin % have important limitations as analytical tools, and should not be considered either in isolation, or as a substitute for analysis of our results as reported under GAAP. In addition, our definition of Adjusted EBITDA may not be comparable to similarly titled measures of other companies and may, therefore, have limitations as a comparative analytical tool. For example, Adjusted EBITDA and Adjusted EBITDA margin % do not reflect:</w:t>
      </w:r>
    </w:p>
    <w:p>
      <w:pPr>
        <w:spacing w:after="0" w:line="88"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capital expenditures, future requirements for capital expenditures or contractual commitments;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needs;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significant interest expense, or the cash requirements necessary to service interest or principal payments, on our debt;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 expense or the cash necessary to pay income taxes;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requirements for the assets being depreciated and amortized that may have to be replaced in the future.</w:t>
      </w:r>
    </w:p>
    <w:p>
      <w:pPr>
        <w:spacing w:after="0" w:line="225"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Our non-GAAP information below should be read in conjunction with our audited consolidated financial statements and the related notes included elsewhere.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type w:val="continuous"/>
        </w:sectPr>
      </w:pPr>
    </w:p>
    <w:bookmarkStart w:id="44" w:name="page45"/>
    <w:bookmarkEnd w:id="44"/>
    <w:p>
      <w:pPr>
        <w:jc w:val="center"/>
        <w:ind w:left="360"/>
        <w:spacing w:after="0"/>
        <w:rPr>
          <w:sz w:val="20"/>
          <w:szCs w:val="20"/>
          <w:color w:val="auto"/>
        </w:rPr>
      </w:pPr>
      <w:r>
        <w:rPr>
          <w:rFonts w:ascii="Arial" w:cs="Arial" w:eastAsia="Arial" w:hAnsi="Arial"/>
          <w:sz w:val="17"/>
          <w:szCs w:val="17"/>
          <w:color w:val="auto"/>
        </w:rPr>
        <w:t>The following table sets forth our reconciliation of net (loss) income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7603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5"/>
              </w:rPr>
              <w:t>For the Year Ended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June 1, 2017 to</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(3,445)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33,343</w:t>
            </w:r>
          </w:p>
        </w:tc>
        <w:tc>
          <w:tcPr>
            <w:tcW w:w="1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(58,394)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6"/>
                <w:szCs w:val="16"/>
                <w:color w:val="auto"/>
              </w:rPr>
              <w:t>Income tax provision (benefit)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(16,241)</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(30,677)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103,346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gridSpan w:val="2"/>
          </w:tcPr>
          <w:p>
            <w:pPr>
              <w:ind w:left="140"/>
              <w:spacing w:after="0"/>
              <w:rPr>
                <w:sz w:val="20"/>
                <w:szCs w:val="20"/>
                <w:color w:val="auto"/>
              </w:rPr>
            </w:pPr>
            <w:r>
              <w:rPr>
                <w:rFonts w:ascii="Arial" w:cs="Arial" w:eastAsia="Arial" w:hAnsi="Arial"/>
                <w:sz w:val="16"/>
                <w:szCs w:val="16"/>
                <w:b w:val="1"/>
                <w:bCs w:val="1"/>
                <w:color w:val="auto"/>
              </w:rPr>
              <w:t>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2"/>
          </w:tcPr>
          <w:p>
            <w:pPr>
              <w:spacing w:after="0" w:line="222" w:lineRule="exact"/>
              <w:rPr>
                <w:sz w:val="20"/>
                <w:szCs w:val="20"/>
                <w:color w:val="auto"/>
              </w:rPr>
            </w:pPr>
            <w:r>
              <w:rPr>
                <w:rFonts w:ascii="Arial" w:cs="Arial" w:eastAsia="Arial" w:hAnsi="Arial"/>
                <w:sz w:val="15"/>
                <w:szCs w:val="15"/>
                <w:color w:val="auto"/>
              </w:rPr>
              <w:t xml:space="preserve">Transaction and other related expenses </w:t>
            </w:r>
            <w:r>
              <w:rPr>
                <w:rFonts w:ascii="Arial" w:cs="Arial" w:eastAsia="Arial" w:hAnsi="Arial"/>
                <w:sz w:val="25"/>
                <w:szCs w:val="25"/>
                <w:color w:val="auto"/>
                <w:vertAlign w:val="superscript"/>
              </w:rPr>
              <w:t>(i)</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56,443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Transformation expenses </w:t>
            </w:r>
            <w:r>
              <w:rPr>
                <w:rFonts w:ascii="Arial" w:cs="Arial" w:eastAsia="Arial" w:hAnsi="Arial"/>
                <w:sz w:val="25"/>
                <w:szCs w:val="25"/>
                <w:color w:val="auto"/>
                <w:vertAlign w:val="superscript"/>
              </w:rPr>
              <w:t>(ii)</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Impairment of property and equipment </w:t>
            </w:r>
            <w:r>
              <w:rPr>
                <w:rFonts w:ascii="Arial" w:cs="Arial" w:eastAsia="Arial" w:hAnsi="Arial"/>
                <w:sz w:val="25"/>
                <w:szCs w:val="25"/>
                <w:color w:val="auto"/>
                <w:vertAlign w:val="superscript"/>
              </w:rPr>
              <w:t>(iii)</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Loss on extinguishment of debt </w:t>
            </w:r>
            <w:r>
              <w:rPr>
                <w:rFonts w:ascii="Arial" w:cs="Arial" w:eastAsia="Arial" w:hAnsi="Arial"/>
                <w:sz w:val="25"/>
                <w:szCs w:val="25"/>
                <w:color w:val="auto"/>
                <w:vertAlign w:val="superscript"/>
              </w:rPr>
              <w:t>(iv)</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 xml:space="preserve">Sponsor fees and expenses </w:t>
            </w:r>
            <w:r>
              <w:rPr>
                <w:rFonts w:ascii="Arial" w:cs="Arial" w:eastAsia="Arial" w:hAnsi="Arial"/>
                <w:sz w:val="25"/>
                <w:szCs w:val="25"/>
                <w:color w:val="auto"/>
                <w:vertAlign w:val="superscript"/>
              </w:rPr>
              <w:t>(v)</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040" w:type="dxa"/>
            <w:vAlign w:val="bottom"/>
            <w:gridSpan w:val="2"/>
          </w:tcPr>
          <w:p>
            <w:pPr>
              <w:spacing w:after="0"/>
              <w:rPr>
                <w:sz w:val="20"/>
                <w:szCs w:val="20"/>
                <w:color w:val="auto"/>
              </w:rPr>
            </w:pPr>
            <w:r>
              <w:rPr>
                <w:rFonts w:ascii="Arial" w:cs="Arial" w:eastAsia="Arial" w:hAnsi="Arial"/>
                <w:sz w:val="16"/>
                <w:szCs w:val="16"/>
                <w:color w:val="auto"/>
              </w:rPr>
              <w:t>Non-cash amortization of contract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 xml:space="preserve">inducement </w:t>
            </w:r>
            <w:r>
              <w:rPr>
                <w:rFonts w:ascii="Arial" w:cs="Arial" w:eastAsia="Arial" w:hAnsi="Arial"/>
                <w:sz w:val="25"/>
                <w:szCs w:val="25"/>
                <w:color w:val="auto"/>
                <w:vertAlign w:val="superscript"/>
              </w:rPr>
              <w:t>(vi)</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040" w:type="dxa"/>
            <w:vAlign w:val="bottom"/>
            <w:gridSpan w:val="2"/>
          </w:tcPr>
          <w:p>
            <w:pPr>
              <w:spacing w:after="0"/>
              <w:rPr>
                <w:sz w:val="20"/>
                <w:szCs w:val="20"/>
                <w:color w:val="auto"/>
              </w:rPr>
            </w:pPr>
            <w:r>
              <w:rPr>
                <w:rFonts w:ascii="Arial" w:cs="Arial" w:eastAsia="Arial" w:hAnsi="Arial"/>
                <w:sz w:val="16"/>
                <w:szCs w:val="16"/>
                <w:color w:val="auto"/>
                <w:w w:val="94"/>
              </w:rPr>
              <w:t>Tax receivable agreement liability adjustment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6,850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040" w:type="dxa"/>
            <w:vAlign w:val="bottom"/>
            <w:gridSpan w:val="2"/>
          </w:tcPr>
          <w:p>
            <w:pPr>
              <w:spacing w:after="0"/>
              <w:rPr>
                <w:sz w:val="20"/>
                <w:szCs w:val="20"/>
                <w:color w:val="auto"/>
              </w:rPr>
            </w:pPr>
            <w:r>
              <w:rPr>
                <w:rFonts w:ascii="Arial" w:cs="Arial" w:eastAsia="Arial" w:hAnsi="Arial"/>
                <w:sz w:val="14"/>
                <w:szCs w:val="14"/>
                <w:color w:val="auto"/>
              </w:rPr>
              <w:t>(vii)</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Stock-based compensation </w:t>
            </w:r>
            <w:r>
              <w:rPr>
                <w:rFonts w:ascii="Arial" w:cs="Arial" w:eastAsia="Arial" w:hAnsi="Arial"/>
                <w:sz w:val="25"/>
                <w:szCs w:val="25"/>
                <w:color w:val="auto"/>
                <w:vertAlign w:val="superscript"/>
              </w:rPr>
              <w:t>(viii)</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40" w:type="dxa"/>
            <w:vAlign w:val="bottom"/>
            <w:gridSpan w:val="2"/>
          </w:tcPr>
          <w:p>
            <w:pPr>
              <w:ind w:left="14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181,845</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241,391</w:t>
            </w:r>
          </w:p>
        </w:tc>
        <w:tc>
          <w:tcPr>
            <w:tcW w:w="1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197,610</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59,901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Predecessor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2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5"/>
              </w:rPr>
              <w:t>For the Year Ended</w:t>
            </w:r>
          </w:p>
        </w:tc>
        <w:tc>
          <w:tcPr>
            <w:tcW w:w="0" w:type="dxa"/>
            <w:vAlign w:val="bottom"/>
          </w:tcPr>
          <w:p>
            <w:pPr>
              <w:spacing w:after="0"/>
              <w:rPr>
                <w:sz w:val="1"/>
                <w:szCs w:val="1"/>
                <w:color w:val="auto"/>
              </w:rPr>
            </w:pPr>
          </w:p>
        </w:tc>
      </w:tr>
      <w:tr>
        <w:trPr>
          <w:trHeight w:val="148"/>
        </w:trPr>
        <w:tc>
          <w:tcPr>
            <w:tcW w:w="13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January 1, 2017</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to May 31,</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1,240</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28,998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18,661</w:t>
            </w:r>
          </w:p>
        </w:tc>
        <w:tc>
          <w:tcPr>
            <w:tcW w:w="0" w:type="dxa"/>
            <w:vAlign w:val="bottom"/>
          </w:tcPr>
          <w:p>
            <w:pPr>
              <w:spacing w:after="0"/>
              <w:rPr>
                <w:sz w:val="1"/>
                <w:szCs w:val="1"/>
                <w:color w:val="auto"/>
              </w:rPr>
            </w:pPr>
          </w:p>
        </w:tc>
      </w:tr>
      <w:tr>
        <w:trPr>
          <w:trHeight w:val="219"/>
        </w:trPr>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33,293</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83,658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37,991</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87,118</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320"/>
            <w:col w:w="2660"/>
          </w:cols>
          <w:pgMar w:left="320" w:top="341" w:right="339" w:bottom="1440" w:gutter="0" w:footer="0" w:header="0"/>
        </w:sectPr>
      </w:pPr>
    </w:p>
    <w:p>
      <w:pPr>
        <w:spacing w:after="0" w:line="29" w:lineRule="exact"/>
        <w:rPr>
          <w:sz w:val="20"/>
          <w:szCs w:val="20"/>
          <w:color w:val="auto"/>
        </w:rPr>
      </w:pPr>
    </w:p>
    <w:p>
      <w:pPr>
        <w:ind w:left="1160" w:hanging="572"/>
        <w:spacing w:after="0" w:line="286"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Transaction and other related expenses incurred in fiscal 2016 relate to legal and other professional fees associated with activities leading to the ATS Merger. For the period from January 1, 2017 to May 31, 2017, we recognized $21.8 million of costs related to the ATS Merger, which consisted of $11.9 million of payments under the Verra Mobility’s 2016 equity plan, $1.3 million of transaction bonus payments, $7.9 million of professional fees and other expenses processed through the funds flow and $0.7 million of professional fees paid directly by Verra Mobility. For the 2017 Successor Period, Verra Mobility recognized approximately $10.2 million of costs related to the ATS Merger, which consisted of $8.0 million of payments for acquisition services to Platinum Equity Advisors, LLC, $1.9 million of professional fees and other expenses processed through the funds flow and $0.3 million of professional fees paid directly by Verra Mobility. For fiscal 2018, Verra Mobility recognized an aggregate of $56.4 million of costs related primarily to the Business Combination, HTA and EPC acquisitions, primarily consisting of $28.4 million for payments under the 2018 participation plan, $9.7 million for acquisition services to Platinum Equity Advisors, LLC, $17.4 million of banking, legal and other professional fees and $0.9 million of other costs. For fiscal 2019, we paid $0.7 million for the Pagatelia acquisition and $1.7 million of offering costs that were incurred by us for the secondary offerings by PE Greenlight Holdings, LLC. For fiscal 2020, we incurred acquisition-related costs for Pagatelia, certain costs for refinancing our debt and deal costs mainly for the pending acquisition of Redflex, discussed below.</w:t>
      </w:r>
    </w:p>
    <w:p>
      <w:pPr>
        <w:spacing w:after="0" w:line="65" w:lineRule="exact"/>
        <w:rPr>
          <w:rFonts w:ascii="Arial" w:cs="Arial" w:eastAsia="Arial" w:hAnsi="Arial"/>
          <w:sz w:val="16"/>
          <w:szCs w:val="16"/>
          <w:color w:val="auto"/>
        </w:rPr>
      </w:pPr>
    </w:p>
    <w:p>
      <w:pPr>
        <w:ind w:left="1160" w:right="120" w:hanging="572"/>
        <w:spacing w:after="0" w:line="254"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Transformation expenses of $3.9 million, $8.8 million and $1.1 million for the 2017 Successor Period, and for fiscal years 2018 and 2020, respectively, represent one-time costs related to optimizing the expense structure and defining Verra Mobility’s growth strategy. For the 2017 Successor Period, these costs included $1.5 million for strategy consultants, $2.1 million for procurement optimization and $0.2 million for IT optimization. For fiscal 2018, these costs included $5.7 million for strategy consultants, $1.0 million for procurement optimization, $0.6 million for severance to employees of acquired businesses, $0.6 million for IT optimization and $0.9 million of other professional fees. For fiscal 2020, we had $1.1 million of severance and other employee separation costs related to exit activities initiated during the period.</w:t>
      </w:r>
    </w:p>
    <w:p>
      <w:pPr>
        <w:spacing w:after="0" w:line="86"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represents an impairment charge on fixed assets during fiscal year 2019 due to a legislation ban of most red-light photo enforcement programs in Texas on June 1, 2019.</w:t>
      </w:r>
    </w:p>
    <w:p>
      <w:pPr>
        <w:spacing w:after="0" w:line="62" w:lineRule="exact"/>
        <w:rPr>
          <w:rFonts w:ascii="Arial" w:cs="Arial" w:eastAsia="Arial" w:hAnsi="Arial"/>
          <w:sz w:val="18"/>
          <w:szCs w:val="18"/>
          <w:color w:val="auto"/>
        </w:rPr>
      </w:pPr>
    </w:p>
    <w:p>
      <w:pPr>
        <w:ind w:left="1160" w:right="60" w:hanging="572"/>
        <w:spacing w:after="0" w:line="263"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represents the loss on extinguishment of debt related to the 2017 Credit Facilities which were replaced by the 2018 Credit Facilities in conjunction with the HTA acquisition and the repayment of the second lien term loan in October 2018 pursuant to the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5" w:name="page46"/>
    <w:bookmarkEnd w:id="45"/>
    <w:p>
      <w:pPr>
        <w:ind w:left="572" w:right="20" w:hanging="572"/>
        <w:spacing w:after="0" w:line="277" w:lineRule="auto"/>
        <w:tabs>
          <w:tab w:leader="none" w:pos="5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incurred management fees and related expenses associated with a previous corporate advisory services agreement with Platinum Equity Advisors, LLC which was terminated in connection with the Business Combination.</w:t>
      </w:r>
    </w:p>
    <w:p>
      <w:pPr>
        <w:spacing w:after="0" w:line="62" w:lineRule="exact"/>
        <w:rPr>
          <w:rFonts w:ascii="Arial" w:cs="Arial" w:eastAsia="Arial" w:hAnsi="Arial"/>
          <w:sz w:val="18"/>
          <w:szCs w:val="18"/>
          <w:color w:val="auto"/>
        </w:rPr>
      </w:pPr>
    </w:p>
    <w:p>
      <w:pPr>
        <w:ind w:left="572" w:hanging="572"/>
        <w:spacing w:after="0" w:line="311" w:lineRule="auto"/>
        <w:tabs>
          <w:tab w:leader="none" w:pos="5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2014, we paid $10.2 million in connection with a tolling contract with a major rental car company. This amount was capitalized and amortized over the term of the contract as a reduction to revenue. As a result of the ATS Merger, and the resultant purchase price allocation, the contract inducement was subsumed into the larger customer relationship intangible asset recorded for this and other customers.</w:t>
      </w:r>
    </w:p>
    <w:p>
      <w:pPr>
        <w:spacing w:after="0" w:line="40" w:lineRule="exact"/>
        <w:rPr>
          <w:rFonts w:ascii="Arial" w:cs="Arial" w:eastAsia="Arial" w:hAnsi="Arial"/>
          <w:sz w:val="16"/>
          <w:szCs w:val="16"/>
          <w:color w:val="auto"/>
        </w:rPr>
      </w:pPr>
    </w:p>
    <w:p>
      <w:pPr>
        <w:ind w:left="572" w:hanging="572"/>
        <w:spacing w:after="0"/>
        <w:tabs>
          <w:tab w:leader="none" w:pos="5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represents adjustments made to the related party tax receivable agreement liability due to changes in estimates.</w:t>
      </w:r>
    </w:p>
    <w:p>
      <w:pPr>
        <w:spacing w:after="0" w:line="117" w:lineRule="exact"/>
        <w:rPr>
          <w:rFonts w:ascii="Arial" w:cs="Arial" w:eastAsia="Arial" w:hAnsi="Arial"/>
          <w:sz w:val="18"/>
          <w:szCs w:val="18"/>
          <w:color w:val="auto"/>
        </w:rPr>
      </w:pPr>
    </w:p>
    <w:p>
      <w:pPr>
        <w:ind w:left="572" w:right="80" w:hanging="572"/>
        <w:spacing w:after="0" w:line="277" w:lineRule="auto"/>
        <w:tabs>
          <w:tab w:leader="none" w:pos="5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Stock-based compensation represents the non-cash charge related to the issuance of awards under the Verra Mobility 2018 equity incentive plan.</w:t>
      </w:r>
    </w:p>
    <w:p>
      <w:pPr>
        <w:spacing w:after="0" w:line="170" w:lineRule="exact"/>
        <w:rPr>
          <w:sz w:val="20"/>
          <w:szCs w:val="20"/>
          <w:color w:val="auto"/>
        </w:rPr>
      </w:pPr>
    </w:p>
    <w:p>
      <w:pPr>
        <w:ind w:left="4952"/>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52"/>
          </w:cols>
          <w:pgMar w:left="908"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5" w:lineRule="exact"/>
        <w:rPr>
          <w:sz w:val="20"/>
          <w:szCs w:val="20"/>
          <w:color w:val="auto"/>
        </w:rPr>
      </w:pPr>
    </w:p>
    <w:p>
      <w:pPr>
        <w:ind w:right="140" w:firstLine="604"/>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that are included in Item 8 of Part II of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“Risk Factors.” Please also refer to the section entitled “Cautionary Note Regarding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ind w:right="40" w:firstLine="604"/>
        <w:spacing w:after="0" w:line="273" w:lineRule="auto"/>
        <w:rPr>
          <w:sz w:val="20"/>
          <w:szCs w:val="20"/>
          <w:color w:val="auto"/>
        </w:rPr>
      </w:pPr>
      <w:r>
        <w:rPr>
          <w:rFonts w:ascii="Arial" w:cs="Arial" w:eastAsia="Arial" w:hAnsi="Arial"/>
          <w:sz w:val="17"/>
          <w:szCs w:val="17"/>
          <w:color w:val="auto"/>
        </w:rPr>
        <w:t>We believe we are a leading provider of smart mobility technology solutions and services throughout the United States, Canada and Europe. These solutions and services include toll and violations management, title and registration, automated safety solutions, and other data-driven solutions, to our customers, which include RACs, FMCs,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COVID-19’s Impact on Our Operating Results</w:t>
      </w:r>
    </w:p>
    <w:p>
      <w:pPr>
        <w:spacing w:after="0" w:line="185" w:lineRule="exact"/>
        <w:rPr>
          <w:sz w:val="20"/>
          <w:szCs w:val="20"/>
          <w:color w:val="auto"/>
        </w:rPr>
      </w:pPr>
    </w:p>
    <w:p>
      <w:pPr>
        <w:ind w:right="260" w:firstLine="604"/>
        <w:spacing w:after="0" w:line="255" w:lineRule="auto"/>
        <w:rPr>
          <w:sz w:val="20"/>
          <w:szCs w:val="20"/>
          <w:color w:val="auto"/>
        </w:rPr>
      </w:pPr>
      <w:r>
        <w:rPr>
          <w:rFonts w:ascii="Arial" w:cs="Arial" w:eastAsia="Arial" w:hAnsi="Arial"/>
          <w:sz w:val="18"/>
          <w:szCs w:val="18"/>
          <w:color w:val="auto"/>
        </w:rPr>
        <w:t>In December 2019, COVID-19 emerged and has since spread throughout the world. The World Health Organization declared COVID-19 a pandemic in March 2020, and it continues to significantly disrupt the global economy. In the United States and abroad, many federal, state and local governments have instituted travel restrictions, stay-at-home orders, social distancing orders, and border closures in order to minimize the spread of the virus. Although we began to see moderate signs of recovery towards the latter half of 2020 due to an increase in travel activity and the availability of COVID-19 vaccines, we expect that COVID-19 will continue to have a significant negative impact on the global economy and travel industry, including RACs in future quarters.</w:t>
      </w:r>
    </w:p>
    <w:p>
      <w:pPr>
        <w:spacing w:after="0" w:line="165" w:lineRule="exact"/>
        <w:rPr>
          <w:sz w:val="20"/>
          <w:szCs w:val="20"/>
          <w:color w:val="auto"/>
        </w:rPr>
      </w:pPr>
    </w:p>
    <w:p>
      <w:pPr>
        <w:ind w:firstLine="604"/>
        <w:spacing w:after="0" w:line="272" w:lineRule="auto"/>
        <w:rPr>
          <w:sz w:val="20"/>
          <w:szCs w:val="20"/>
          <w:color w:val="auto"/>
        </w:rPr>
      </w:pPr>
      <w:r>
        <w:rPr>
          <w:rFonts w:ascii="Arial" w:cs="Arial" w:eastAsia="Arial" w:hAnsi="Arial"/>
          <w:sz w:val="17"/>
          <w:szCs w:val="17"/>
          <w:color w:val="auto"/>
        </w:rPr>
        <w:t>Revenues from RACs in our Commercial Services segment decreased significantly in 2020 as a result of reduced airline travel and widespread travel restrictions related to COVID-19. Our RAC customers have experienced reductions in volume and revenue. Many of these RAC customers have reduced their rental fleet sizes in response to the decline in customer demand. On May 22, 2020, The Hertz Corporation, one of our key Commercial Services customers, filed for bankruptcy protection under Chapter 11 of the U.S. Bankruptcy Code, as amended, in the United States Bankruptcy Court for the District of Delaware. While there were moderate improvements in travel demand towards the latter half of 2020, the full extent and duration of COVID-19’s impact on the RAC industry and the financial health of our key RAC customers cannot be predicted at this time. These trends have had, and are expected to continue to have, a significant negative effect on revenues in our Commercial Services segment.</w:t>
      </w:r>
    </w:p>
    <w:p>
      <w:pPr>
        <w:spacing w:after="0" w:line="137" w:lineRule="exact"/>
        <w:rPr>
          <w:sz w:val="20"/>
          <w:szCs w:val="20"/>
          <w:color w:val="auto"/>
        </w:rPr>
      </w:pPr>
    </w:p>
    <w:p>
      <w:pPr>
        <w:ind w:right="20" w:firstLine="604"/>
        <w:spacing w:after="0" w:line="257" w:lineRule="auto"/>
        <w:rPr>
          <w:sz w:val="20"/>
          <w:szCs w:val="20"/>
          <w:color w:val="auto"/>
        </w:rPr>
      </w:pPr>
      <w:r>
        <w:rPr>
          <w:rFonts w:ascii="Arial" w:cs="Arial" w:eastAsia="Arial" w:hAnsi="Arial"/>
          <w:sz w:val="18"/>
          <w:szCs w:val="18"/>
          <w:color w:val="auto"/>
        </w:rPr>
        <w:t>In our Government Solutions segment, school closures resulting from the COVID-19 pandemic have negatively impacted revenues from our school bus stop arm camera and school zone speed camera products. Reductions in vehicle traffic in jurisdictions where we operate photo enforcement programs, payment rates for photo enforcement tickets and temporary inactivity of school zone speed cameras have all negatively impacted service revenue in our Government Solutions segment. We cannot predict the duration or full impact of COVID-19 on our overall business and results of operations at this time, but we expect the impact to continue into the first half of 2021.</w:t>
      </w:r>
    </w:p>
    <w:p>
      <w:pPr>
        <w:spacing w:after="0" w:line="147" w:lineRule="exact"/>
        <w:rPr>
          <w:sz w:val="20"/>
          <w:szCs w:val="20"/>
          <w:color w:val="auto"/>
        </w:rPr>
      </w:pPr>
    </w:p>
    <w:p>
      <w:pPr>
        <w:ind w:right="20" w:firstLine="604"/>
        <w:spacing w:after="0" w:line="263" w:lineRule="auto"/>
        <w:rPr>
          <w:sz w:val="20"/>
          <w:szCs w:val="20"/>
          <w:color w:val="auto"/>
        </w:rPr>
      </w:pPr>
      <w:r>
        <w:rPr>
          <w:rFonts w:ascii="Arial" w:cs="Arial" w:eastAsia="Arial" w:hAnsi="Arial"/>
          <w:sz w:val="18"/>
          <w:szCs w:val="18"/>
          <w:color w:val="auto"/>
        </w:rPr>
        <w:t>As a precautionary measure in response to COVID-19, we shifted most of our workforce to remote operations in March 2020 and we have implemented changes in our physical locations to ensure social distancing. We have not experienced any significant disruptions in our operations as a result of these measures.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right="240" w:firstLine="589"/>
        <w:spacing w:after="0" w:line="277" w:lineRule="auto"/>
        <w:rPr>
          <w:sz w:val="20"/>
          <w:szCs w:val="20"/>
          <w:color w:val="auto"/>
        </w:rPr>
      </w:pPr>
      <w:r>
        <w:rPr>
          <w:rFonts w:ascii="Arial" w:cs="Arial" w:eastAsia="Arial" w:hAnsi="Arial"/>
          <w:sz w:val="18"/>
          <w:szCs w:val="18"/>
          <w:color w:val="auto"/>
        </w:rPr>
        <w:t>In light of the extraordinary impact of COVID-19 and related containment measures on the global economy and our business, prior trends in our business may not be applicable to our operations for the duration of the pandemic.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On January 21, 2021, we entered into an agreement pursuant to which all of the holders of Redflex’s outstanding equity as of the record date will sell, and we will cause one of our subsidiaries to purchase, one hundred percent (100%) of the outstanding equity of Redflex. The aggregate consideration payable by us under the agreement will be AUD 146.1 million, and the closing of the acquisition is expected to take place in the second quarter of 2021, subject to the satisfaction or waiver of specified conditions. For additional information, see Note 21, </w:t>
      </w:r>
      <w:r>
        <w:rPr>
          <w:rFonts w:ascii="Arial" w:cs="Arial" w:eastAsia="Arial" w:hAnsi="Arial"/>
          <w:sz w:val="18"/>
          <w:szCs w:val="18"/>
          <w:i w:val="1"/>
          <w:iCs w:val="1"/>
          <w:color w:val="auto"/>
        </w:rPr>
        <w:t>Subsequent Event</w:t>
      </w:r>
      <w:r>
        <w:rPr>
          <w:rFonts w:ascii="Arial" w:cs="Arial" w:eastAsia="Arial" w:hAnsi="Arial"/>
          <w:sz w:val="18"/>
          <w:szCs w:val="18"/>
          <w:color w:val="auto"/>
        </w:rPr>
        <w:t>, in Item 8, Financial Statements and Supplementary Data.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85" w:lineRule="exact"/>
        <w:rPr>
          <w:sz w:val="20"/>
          <w:szCs w:val="20"/>
          <w:color w:val="auto"/>
        </w:rPr>
      </w:pPr>
    </w:p>
    <w:p>
      <w:pPr>
        <w:ind w:left="1300" w:right="80" w:hanging="442"/>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Commercial Services segment offers toll and violation management solutions and title and registration services for RACs and FMCs in North America. In Europe, we provide violations processing through EPC and consumer tolling services through Pagatelia.</w:t>
      </w:r>
    </w:p>
    <w:p>
      <w:pPr>
        <w:spacing w:after="0" w:line="123" w:lineRule="exact"/>
        <w:rPr>
          <w:rFonts w:ascii="Arial" w:cs="Arial" w:eastAsia="Arial" w:hAnsi="Arial"/>
          <w:sz w:val="16"/>
          <w:szCs w:val="16"/>
          <w:color w:val="auto"/>
        </w:rPr>
      </w:pPr>
    </w:p>
    <w:p>
      <w:pPr>
        <w:ind w:left="1300" w:right="400" w:hanging="442"/>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Government Solutions segment provides complete, end-to-end red-light, speed, school bus stop arm and bus lane enforcement solutions. We implement and administer traffic safety programs and products for municipalities and local government agencies of all sizes.</w:t>
      </w:r>
    </w:p>
    <w:p>
      <w:pPr>
        <w:spacing w:after="0" w:line="143"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impairment of property and equipment, and stock-based compensation. The measure also excludes interest expense, net, income taxes and certain other transactions and is inclusive of other income, net.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operate with long-term contracts and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76" w:lineRule="exact"/>
        <w:rPr>
          <w:sz w:val="20"/>
          <w:szCs w:val="20"/>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Executed on the growth strategy by completing strategic acquisitions:</w:t>
      </w:r>
    </w:p>
    <w:p>
      <w:pPr>
        <w:spacing w:after="0" w:line="117"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HTA</w:t>
      </w:r>
      <w:r>
        <w:rPr>
          <w:rFonts w:ascii="Arial" w:cs="Arial" w:eastAsia="Arial" w:hAnsi="Arial"/>
          <w:sz w:val="18"/>
          <w:szCs w:val="18"/>
          <w:i w:val="1"/>
          <w:iCs w:val="1"/>
          <w:color w:val="auto"/>
        </w:rPr>
        <w:t xml:space="preserve"> </w:t>
      </w:r>
      <w:r>
        <w:rPr>
          <w:rFonts w:ascii="Arial" w:cs="Arial" w:eastAsia="Arial" w:hAnsi="Arial"/>
          <w:sz w:val="18"/>
          <w:szCs w:val="18"/>
          <w:color w:val="auto"/>
        </w:rPr>
        <w:t>– We acquired HTA during the first quarter of 2018 which strengthened our position in tolling and related services to RAC and FMC</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w:t>
      </w:r>
    </w:p>
    <w:p>
      <w:pPr>
        <w:spacing w:after="0" w:line="6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i w:val="1"/>
          <w:iCs w:val="1"/>
          <w:u w:val="single" w:color="auto"/>
          <w:color w:val="auto"/>
        </w:rPr>
        <w:t>EPC</w:t>
      </w:r>
      <w:r>
        <w:rPr>
          <w:rFonts w:ascii="Arial" w:cs="Arial" w:eastAsia="Arial" w:hAnsi="Arial"/>
          <w:sz w:val="16"/>
          <w:szCs w:val="16"/>
          <w:i w:val="1"/>
          <w:iCs w:val="1"/>
          <w:color w:val="auto"/>
        </w:rPr>
        <w:t xml:space="preserve"> </w:t>
      </w:r>
      <w:r>
        <w:rPr>
          <w:rFonts w:ascii="Arial" w:cs="Arial" w:eastAsia="Arial" w:hAnsi="Arial"/>
          <w:sz w:val="16"/>
          <w:szCs w:val="16"/>
          <w:color w:val="auto"/>
        </w:rPr>
        <w:t>– In the second quarter of 2018, we acquired EPC which provided a platform to expand our RAC and FMC solutions into Europe.</w:t>
      </w:r>
    </w:p>
    <w:p>
      <w:pPr>
        <w:spacing w:after="0" w:line="140" w:lineRule="exact"/>
        <w:rPr>
          <w:rFonts w:ascii="Arial" w:cs="Arial" w:eastAsia="Arial" w:hAnsi="Arial"/>
          <w:sz w:val="18"/>
          <w:szCs w:val="18"/>
          <w:color w:val="auto"/>
        </w:rPr>
      </w:pPr>
    </w:p>
    <w:p>
      <w:pPr>
        <w:ind w:left="1300" w:right="500"/>
        <w:spacing w:after="0" w:line="277"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Pagatelia</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the fourth quarter of 2019, we acquired Pagatelia which provides consumer tolling and parking solutions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accelerating our European expansion.</w:t>
      </w:r>
    </w:p>
    <w:p>
      <w:pPr>
        <w:spacing w:after="0" w:line="62" w:lineRule="exact"/>
        <w:rPr>
          <w:rFonts w:ascii="Arial" w:cs="Arial" w:eastAsia="Arial" w:hAnsi="Arial"/>
          <w:sz w:val="18"/>
          <w:szCs w:val="18"/>
          <w:color w:val="auto"/>
        </w:rPr>
      </w:pPr>
    </w:p>
    <w:p>
      <w:pPr>
        <w:ind w:left="1300" w:right="120" w:hanging="442"/>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Generated total revenue of $393.6 million in fiscal year 2020 compared to $448.7 million in fiscal year 2019. We grew product sales by $25.3 million year over year; however, due to the ongoing impact of COVID-19, our service revenue declined significantly, as discussed below. During fiscal year 2019, we grew total revenue by $78.6 million, from $370.1 million in fiscal year 2018 to $448.7 million in fiscal year 2019. Acquisitions contributed $21.6 million to the revenue growth, while expansion in existing products and customers contributed to the remaining growth.</w:t>
      </w:r>
    </w:p>
    <w:p>
      <w:pPr>
        <w:spacing w:after="0" w:line="187" w:lineRule="exact"/>
        <w:rPr>
          <w:rFonts w:ascii="Arial" w:cs="Arial" w:eastAsia="Arial" w:hAnsi="Arial"/>
          <w:sz w:val="18"/>
          <w:szCs w:val="18"/>
          <w:color w:val="auto"/>
        </w:rPr>
      </w:pPr>
    </w:p>
    <w:p>
      <w:pPr>
        <w:ind w:left="1300" w:right="140" w:hanging="44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Generated cash flows from operating activities of $46.9 million, $133.8 million, and $46.0 million for fiscal years 2020, 2019 and 2018, respectively. Our cash on hand was $120.3 million as of December 31, 2020.</w:t>
      </w:r>
    </w:p>
    <w:p>
      <w:pPr>
        <w:spacing w:after="0" w:line="170" w:lineRule="exact"/>
        <w:rPr>
          <w:rFonts w:ascii="Arial" w:cs="Arial" w:eastAsia="Arial" w:hAnsi="Arial"/>
          <w:sz w:val="18"/>
          <w:szCs w:val="18"/>
          <w:color w:val="auto"/>
        </w:rPr>
      </w:pPr>
    </w:p>
    <w:p>
      <w:pPr>
        <w:ind w:left="1300" w:right="140" w:hanging="442"/>
        <w:spacing w:after="0" w:line="286"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Reduced our financing costs by refinancing our term loan in February 2020, which reduced the applicable margin on our interest rate by 50 basis points. Our interest expense, net was $40.9 million, $60.7 million, and $69.6 million for fiscal years 2020, 2019 and 2018, respectively. We had a $19.9 million decrease in interest expense during fiscal year 2020 compared to fiscal year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operating results and financial performance are influenced by the following merger and acquisitions activity during the periods discussed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right="380" w:firstLine="589"/>
        <w:spacing w:after="0" w:line="259" w:lineRule="auto"/>
        <w:rPr>
          <w:sz w:val="20"/>
          <w:szCs w:val="20"/>
          <w:color w:val="auto"/>
        </w:rPr>
      </w:pPr>
      <w:r>
        <w:rPr>
          <w:rFonts w:ascii="Arial" w:cs="Arial" w:eastAsia="Arial" w:hAnsi="Arial"/>
          <w:sz w:val="18"/>
          <w:szCs w:val="18"/>
          <w:color w:val="auto"/>
        </w:rPr>
        <w:t>We were originally incorporated in Delaware on August 15, 2016 as Gores Holdings II, Inc. (“</w:t>
      </w:r>
      <w:r>
        <w:rPr>
          <w:rFonts w:ascii="Arial" w:cs="Arial" w:eastAsia="Arial" w:hAnsi="Arial"/>
          <w:sz w:val="18"/>
          <w:szCs w:val="18"/>
          <w:b w:val="1"/>
          <w:bCs w:val="1"/>
          <w:i w:val="1"/>
          <w:iCs w:val="1"/>
          <w:color w:val="auto"/>
        </w:rPr>
        <w:t>Gores</w:t>
      </w:r>
      <w:r>
        <w:rPr>
          <w:rFonts w:ascii="Arial" w:cs="Arial" w:eastAsia="Arial" w:hAnsi="Arial"/>
          <w:sz w:val="18"/>
          <w:szCs w:val="18"/>
          <w:color w:val="auto"/>
        </w:rPr>
        <w:t>”), a special purpose acquisition company formed for the purpose of effecting a merger, capital stock exchange, asset acquisition, stock purchase, reorganization, or other similar business combination with one or more target businesses. On January 19, 2017, we consummated our initial public offering, following which our shares began trading on the Nasdaq Capital Market.</w:t>
      </w:r>
    </w:p>
    <w:p>
      <w:pPr>
        <w:spacing w:after="0" w:line="18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June 21, 2018, Gores, First Merger Sub, Second Merger Sub, Greenlight and PE Greenlight Holdings, LLC entered into the Merger Agreement, which provided for, among other things, (i) the First Merger and (ii) immediately following the First Merger and as part of the same overall transaction as the First Merger, the Second Merger. In connection with the closing of this Business Combination on October 17, 2018, we changed our name to Verra Mobility Corporation. As a result of the Business Combination, we became the owner, directly or indirectly, of all of the equity interests of Verra Mobility Holdings, LLC (formerly Second Merger Sub) and its subsidiaries.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HTA Acquisition and Refinancing</w:t>
      </w:r>
    </w:p>
    <w:p>
      <w:pPr>
        <w:spacing w:after="0" w:line="117" w:lineRule="exact"/>
        <w:rPr>
          <w:sz w:val="20"/>
          <w:szCs w:val="20"/>
          <w:color w:val="auto"/>
        </w:rPr>
      </w:pPr>
    </w:p>
    <w:p>
      <w:pPr>
        <w:ind w:right="520" w:firstLine="589"/>
        <w:spacing w:after="0" w:line="279" w:lineRule="auto"/>
        <w:rPr>
          <w:sz w:val="20"/>
          <w:szCs w:val="20"/>
          <w:color w:val="auto"/>
        </w:rPr>
      </w:pPr>
      <w:r>
        <w:rPr>
          <w:rFonts w:ascii="Arial" w:cs="Arial" w:eastAsia="Arial" w:hAnsi="Arial"/>
          <w:sz w:val="17"/>
          <w:szCs w:val="17"/>
          <w:color w:val="auto"/>
        </w:rPr>
        <w:t>On March 1, 2018, we acquired HTA for an aggregate purchase price of $603.3 million, consisting of $525.0 million in cash, $9.7 million in purchase price adjustments, a $11.3 million payment to the sellers for certain tax items, and the issuance of equity in Greenlight with a fair value of approximately $57.3 million. The receipt of the equity was treated for accounting purposes as a capital contribution from Greenlight Acquisition Corporation. We recognized $15.6 million of costs related to the transaction in fiscal year 2018.</w:t>
      </w:r>
    </w:p>
    <w:p>
      <w:pPr>
        <w:spacing w:after="0" w:line="171"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 xml:space="preserve">In connection with the HTA acquisition, we refinanced the 2017 Credit Facilities (defined below) and entered into the 2018 Credit Facilities (defined below), which provided for term loans with an aggregate principal amount of $1.04 billion and a revolver with an aggregate commitment of up to $75.0 million.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in Item 8, Financial Statements and Supplementary Data.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Acquisition</w:t>
      </w:r>
    </w:p>
    <w:p>
      <w:pPr>
        <w:spacing w:after="0" w:line="117" w:lineRule="exact"/>
        <w:rPr>
          <w:sz w:val="20"/>
          <w:szCs w:val="20"/>
          <w:color w:val="auto"/>
        </w:rPr>
      </w:pPr>
    </w:p>
    <w:p>
      <w:pPr>
        <w:ind w:right="180" w:firstLine="589"/>
        <w:spacing w:after="0" w:line="286" w:lineRule="auto"/>
        <w:rPr>
          <w:sz w:val="20"/>
          <w:szCs w:val="20"/>
          <w:color w:val="auto"/>
        </w:rPr>
      </w:pPr>
      <w:r>
        <w:rPr>
          <w:rFonts w:ascii="Arial" w:cs="Arial" w:eastAsia="Arial" w:hAnsi="Arial"/>
          <w:sz w:val="17"/>
          <w:szCs w:val="17"/>
          <w:color w:val="auto"/>
        </w:rPr>
        <w:t>On April 6, 2018, we acquired EPC for an aggregate purchase price of $62.9 million. The purchase consideration consisted primarily of equity in Greenlight and working capital adjustments, which aggregated $2.6 million. The receipt of equity was treated for accounting purposes as a capital contribution from Greenlight Acquisition Corporation. We recognized $3.0 million of costs related to the transaction in fiscal year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Pagatelia Acquisition</w:t>
      </w:r>
    </w:p>
    <w:p>
      <w:pPr>
        <w:spacing w:after="0" w:line="117"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On October 31, 2019, we completed the acquisition of all of the outstanding shares of Pagatelia, a Spanish limited liability company that provides electronic consumer tolling and parking solutions in Spain, Portugal, France and Italy. The purchase consideration for Pagatelia was $26.6 million which we paid during fiscal year 2019. Transaction costs were not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the Government Solutions segment.</w:t>
      </w:r>
    </w:p>
    <w:p>
      <w:pPr>
        <w:spacing w:after="0" w:line="130"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Our Commercial Services segment generates service revenue primarily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ind w:right="600"/>
        <w:spacing w:after="0" w:line="263" w:lineRule="auto"/>
        <w:rPr>
          <w:sz w:val="20"/>
          <w:szCs w:val="20"/>
          <w:color w:val="auto"/>
        </w:rPr>
      </w:pPr>
      <w:r>
        <w:rPr>
          <w:rFonts w:ascii="Arial" w:cs="Arial" w:eastAsia="Arial" w:hAnsi="Arial"/>
          <w:sz w:val="18"/>
          <w:szCs w:val="18"/>
          <w:color w:val="auto"/>
        </w:rPr>
        <w:t>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registrations and violations for our customers.</w:t>
      </w:r>
    </w:p>
    <w:p>
      <w:pPr>
        <w:spacing w:after="0" w:line="15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Our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to certain Government Solutions customers. A small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customers purchase this equipment, and their buying patterns vary greatly from period to period. We recognize product sales revenue when the equipment is accepted or installed.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85"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consists of collection and other professional services provided by third parties and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delivery of certain ancillary services performed by both our Government Solutions and Commercial Services segments.</w:t>
      </w:r>
    </w:p>
    <w:p>
      <w:pPr>
        <w:spacing w:after="0" w:line="143"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w:t>
      </w:r>
    </w:p>
    <w:p>
      <w:pPr>
        <w:spacing w:after="0" w:line="130" w:lineRule="exact"/>
        <w:rPr>
          <w:sz w:val="20"/>
          <w:szCs w:val="20"/>
          <w:color w:val="auto"/>
        </w:rPr>
      </w:pPr>
    </w:p>
    <w:p>
      <w:pPr>
        <w:ind w:right="500" w:firstLine="589"/>
        <w:spacing w:after="0" w:line="342"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Operating expenses include payroll and payroll-related costs (including stock-based compensation), costs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of our call centers and other operational costs, including transaction processing, print, postage and communication costs.</w:t>
      </w:r>
    </w:p>
    <w:p>
      <w:pPr>
        <w:spacing w:after="0" w:line="83" w:lineRule="exact"/>
        <w:rPr>
          <w:sz w:val="20"/>
          <w:szCs w:val="20"/>
          <w:color w:val="auto"/>
        </w:rPr>
      </w:pPr>
    </w:p>
    <w:p>
      <w:pPr>
        <w:ind w:right="300" w:firstLine="589"/>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include payroll and payroll-related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real estate lease expense, insurance costs, professional services fees and general corporate expenses.</w:t>
      </w:r>
    </w:p>
    <w:p>
      <w:pPr>
        <w:spacing w:after="0" w:line="119"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43"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i w:val="1"/>
          <w:iCs w:val="1"/>
          <w:color w:val="auto"/>
        </w:rPr>
        <w:t>Impairment of Property and Equipment</w:t>
      </w:r>
      <w:r>
        <w:rPr>
          <w:rFonts w:ascii="Arial" w:cs="Arial" w:eastAsia="Arial" w:hAnsi="Arial"/>
          <w:sz w:val="18"/>
          <w:szCs w:val="18"/>
          <w:color w:val="auto"/>
        </w:rPr>
        <w:t>. Impairment of property and equipment includes impairment charges for fixed assets which were held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our operations.</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This includes interest expense and amortization of deferred financing costs and discounts and is net of interest income.</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Tax Receivable Agreement Liability Adjustment</w:t>
      </w:r>
      <w:r>
        <w:rPr>
          <w:rFonts w:ascii="Arial" w:cs="Arial" w:eastAsia="Arial" w:hAnsi="Arial"/>
          <w:sz w:val="16"/>
          <w:szCs w:val="16"/>
          <w:color w:val="auto"/>
        </w:rPr>
        <w:t>. This consists of adjustments made to the related party TRA liability due to changes in estimates.</w:t>
      </w:r>
    </w:p>
    <w:p>
      <w:pPr>
        <w:spacing w:after="0" w:line="248"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generally consists of early payment penalties, the write-off of original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deferred financing costs associated with debt extinguishment.</w:t>
      </w:r>
    </w:p>
    <w:p>
      <w:pPr>
        <w:spacing w:after="0" w:line="130"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earned from total spend on purchasing cards and gain or loss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to Fiscal Year 2019</w:t>
      </w:r>
    </w:p>
    <w:p>
      <w:pPr>
        <w:spacing w:after="0" w:line="11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206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91"/>
              </w:rPr>
              <w:t>2020 vs 2019</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336,274</w:t>
            </w: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416,723</w:t>
            </w: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85.4%</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92.9%</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(80,449)</w:t>
            </w:r>
          </w:p>
        </w:tc>
        <w:tc>
          <w:tcPr>
            <w:tcW w:w="26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32,014</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7.1%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25,305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393,593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448,737</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(55,144)</w:t>
            </w:r>
          </w:p>
        </w:tc>
        <w:tc>
          <w:tcPr>
            <w:tcW w:w="26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5,561</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(1,594)</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13,919</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7.5%</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3.1%</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15,654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112.5%</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115,729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125,640</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29.4%</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28.0%</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(9,911)</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Selling, general and administrative expenses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85,493</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22.8%</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19.1%</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rPr>
                <w:sz w:val="20"/>
                <w:szCs w:val="20"/>
                <w:color w:val="auto"/>
              </w:rPr>
            </w:pPr>
            <w:r>
              <w:rPr>
                <w:rFonts w:ascii="Arial" w:cs="Arial" w:eastAsia="Arial" w:hAnsi="Arial"/>
                <w:sz w:val="17"/>
                <w:szCs w:val="17"/>
                <w:color w:val="auto"/>
                <w:w w:val="97"/>
              </w:rPr>
              <w:t>Depreciation, amortization and (gain) loss 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116,844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115,771</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29.7%</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25.8%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1,073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8"/>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(5,898)</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1.0%</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355,777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352,282</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90.4%</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78.5%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3,495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(60.8)%</w:t>
            </w: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96,455</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9.6%</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21.5%</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(58,639)</w:t>
            </w:r>
          </w:p>
        </w:tc>
        <w:tc>
          <w:tcPr>
            <w:tcW w:w="26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40,865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60,729</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13.5%</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(19,864)</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Tax receivable agreement liability adjustment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(106)</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1.7%</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0.0%</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6,956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6562.3%</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(11,885)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(11,092)</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(793)</w:t>
            </w: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49,531</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9.1%</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11.1%</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(13,701)</w:t>
            </w:r>
          </w:p>
        </w:tc>
        <w:tc>
          <w:tcPr>
            <w:tcW w:w="26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Income before income tax provision</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(95.8)%</w:t>
            </w: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46,924</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0.5%</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(44,938)</w:t>
            </w:r>
          </w:p>
        </w:tc>
        <w:tc>
          <w:tcPr>
            <w:tcW w:w="2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13,581</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w:t>
            </w: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3.0%</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(8,150)</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(loss)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(3,445)</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33,343</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(0.9)%</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7.4%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(36,788)</w:t>
            </w:r>
          </w:p>
        </w:tc>
        <w:tc>
          <w:tcPr>
            <w:tcW w:w="2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Service revenue decreased by $80.4 million, or 19.3%, to $336.3 million for fiscal year 2020 from $416.7 million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2019, representing 85.4% and 92.9% of total revenue, respectively. The following table depicts service revenue by segment: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Percentage of Revenue</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4"/>
          </w:tcPr>
          <w:p>
            <w:pPr>
              <w:jc w:val="center"/>
              <w:ind w:right="21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1"/>
              </w:rPr>
              <w:t>2020 vs 2019</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3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180,856</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276,479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46.0%</w:t>
            </w:r>
          </w:p>
        </w:tc>
        <w:tc>
          <w:tcPr>
            <w:tcW w:w="6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61.6%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(95,623)</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155,418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39.4%</w:t>
            </w: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31.3%</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336,274</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416,723</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85.4%</w:t>
            </w:r>
          </w:p>
        </w:tc>
        <w:tc>
          <w:tcPr>
            <w:tcW w:w="6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92.9%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180"/>
              <w:spacing w:after="0"/>
              <w:rPr>
                <w:sz w:val="20"/>
                <w:szCs w:val="20"/>
                <w:color w:val="auto"/>
              </w:rPr>
            </w:pPr>
            <w:r>
              <w:rPr>
                <w:rFonts w:ascii="Arial" w:cs="Arial" w:eastAsia="Arial" w:hAnsi="Arial"/>
                <w:sz w:val="18"/>
                <w:szCs w:val="18"/>
                <w:color w:val="auto"/>
                <w:w w:val="83"/>
              </w:rPr>
              <w:t>(80,449)</w:t>
            </w:r>
          </w:p>
        </w:tc>
        <w:tc>
          <w:tcPr>
            <w:tcW w:w="2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Commercial Services service revenue includes toll and violation management revenues from commercial fleet and rental car companies. Commercial Services service revenue decreased by $95.6 million, or 34.6%, from $276.5 million in fiscal year 2019 to $180.9 million in fiscal year 2020. This decrease was primarily due to the COVID-19 pandemic and related containment measures, which continue to have a significant negative impact on the RAC industry beginning in March 2020. As a result, our revenue declined 55% from the first quarter of 2020 to $27.3 million in the second quarter of 2020 which was the bulk of the decline. We have seen sequential improvement in service revenue to $44.2 million and $48.2 million in the third and fourth quarters of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jc w:val="both"/>
        <w:ind w:right="20"/>
        <w:spacing w:after="0" w:line="286" w:lineRule="auto"/>
        <w:rPr>
          <w:sz w:val="20"/>
          <w:szCs w:val="20"/>
          <w:color w:val="auto"/>
        </w:rPr>
      </w:pPr>
      <w:r>
        <w:rPr>
          <w:rFonts w:ascii="Arial" w:cs="Arial" w:eastAsia="Arial" w:hAnsi="Arial"/>
          <w:sz w:val="17"/>
          <w:szCs w:val="17"/>
          <w:color w:val="auto"/>
        </w:rPr>
        <w:t>respectively which could be attributed to typical seasonality or to signs of recovery. Although increased availability and distribution of COVID-19 vaccines and the gradual lifting of travel restrictions could positively impact the travel industry in 2021, we anticipate that the impact from COVID-19 will result in year over year revenue declines through March 2021 and that full year 2021 service revenue may not recover to 2019 levels.</w:t>
      </w:r>
    </w:p>
    <w:p>
      <w:pPr>
        <w:spacing w:after="0" w:line="125"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Government Solutions service revenue includes revenue from red-light, speed, school bus stop arm and bus lane photo enforcement systems. Service revenue increased by $15.2 million to $155.4 million for fiscal year 2020 from 140.2 million in fiscal year 2019. Our red-light photo enforcement service revenue declined $6.7 million during fiscal year 2020 compared to fiscal year 2019. This was primarily due to a $3.5 million decline from the loss of certain Texas programs on June 1, 2019 due to a legislative change that banned most red-light photo enforcement programs in the state. The remainder of the decline was primarily attributed to the impact from COVID-19 on variable rate clients. We also had a $4.3 million decrease in service revenue from the suspension of school bus stop arm cameras as most school buses were not operating for much of this period. These declines were mainly offset by speed program revenue, which grew approximately $25.7 million in fiscal year 2020, compared to the same period in 2019, due to an increase in the total number of camera systems installed.</w:t>
      </w:r>
    </w:p>
    <w:p>
      <w:pPr>
        <w:spacing w:after="0" w:line="151"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There was an average of 4,027 active camera systems during fiscal year 2020 compared to an average of 4,738 for fiscal year 2019. The decline in active camera systems was primarily due to 1,347 cameras that were temporarily inactive due to COVID-19, and the loss of Texas programs noted above. These declines were partially offset by the expansion of speed enforcement systems with existing customers.</w:t>
      </w:r>
    </w:p>
    <w:p>
      <w:pPr>
        <w:spacing w:after="0" w:line="1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Service revenue for the year was negatively impacted from COVID-19 beginning in March 2020 which led to reduction in vehicle traffic as a result of stay-at-home orders and early school closures and delayed re-openings in certain jurisdictions in which we operate. We saw growth in our speed program revenue in 2020 and aniticipate continued growth in 2021 based on the full year impact of 2020 camera installations. However, we anticipate the negative impacts of COVID-19 will continue to impact our other revenue programs in future quarters.</w:t>
      </w:r>
    </w:p>
    <w:p>
      <w:pPr>
        <w:spacing w:after="0" w:line="14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were $57.3 million and $32.0 million for fiscal years 2020 and 2019, respectively, which relate to revenue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Government Solutions customers who purchase their equipment. Product sales increased by $25.3 million which was primarily driven by sales to a single customer that is currently expanding its existing school zone speed program. A small number of customers purchase this equipment, and their buying patterns vary greatly from period to period. Without a specific notice to proceed with additional installation, we anticipate product revenue for 2021 to be in line with 2018.</w:t>
      </w:r>
    </w:p>
    <w:p>
      <w:pPr>
        <w:spacing w:after="0" w:line="16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decreased year over year, from $5.6 million for fiscal year 2019 to $4.0 million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decrease resulted from decreased costs of collection and other third-party professional services and associated with the delivery of certain ancillary services performed by both of our segments.</w:t>
      </w:r>
    </w:p>
    <w:p>
      <w:pPr>
        <w:spacing w:after="0" w:line="143"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$15.7 million from $13.9 million in fiscal year 2019 to $29.6 million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was driven by the increase in product sales volume.</w:t>
      </w:r>
    </w:p>
    <w:p>
      <w:pPr>
        <w:spacing w:after="0" w:line="130"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decreased by $9.9 million, or 7.9%, from $125.6 million for fiscal year 2019 to $115.7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2020. This decrease was primarily attributable to decreases of $4.6 million in employee wages due to furloughs, reduced headcount and bonus expense, and $9.1 million in transaction processing and other volume related costs, which were partially offset by increases in subcontractor expenses and operational equipment costs. Operating expenses as a percentage of total revenue increased from 28.0% to 29.4% in fiscal years 2019 and 2020, respectively. The following table presents operating expenses by segment: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4"/>
          </w:tcPr>
          <w:p>
            <w:pPr>
              <w:jc w:val="center"/>
              <w:ind w:right="21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1"/>
              </w:rPr>
              <w:t>2020 vs 2019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52,505</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66,916</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(14,411)</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57,905</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3360" w:type="dxa"/>
            <w:vAlign w:val="bottom"/>
            <w:gridSpan w:val="2"/>
          </w:tcPr>
          <w:p>
            <w:pPr>
              <w:spacing w:after="0"/>
              <w:rPr>
                <w:sz w:val="20"/>
                <w:szCs w:val="20"/>
                <w:color w:val="auto"/>
              </w:rPr>
            </w:pPr>
            <w:r>
              <w:rPr>
                <w:rFonts w:ascii="Arial" w:cs="Arial" w:eastAsia="Arial" w:hAnsi="Arial"/>
                <w:sz w:val="18"/>
                <w:szCs w:val="18"/>
                <w:color w:val="auto"/>
                <w:w w:val="92"/>
              </w:rPr>
              <w:t>Total operating expenses before stock-based</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114,892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124,821</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(9,929)</w:t>
            </w: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115,729</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125,640</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(9,911)</w:t>
            </w:r>
          </w:p>
        </w:tc>
        <w:tc>
          <w:tcPr>
            <w:tcW w:w="2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right="40" w:firstLine="589"/>
        <w:spacing w:after="0" w:line="25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$4.2 million to $89.7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2020 compared to $85.5 million for fiscal year 2019. We recorded a $14.4 million credit loss expense during the year as a result of the new credit loss accounting standard, which contributed to a $6.3 million year over year increase. We also had increases to stock based compensation and consulting fees of $2.6 million and $1.5 million, respectively. These increases were partially offset by an aggregate $7.6 million of cost-cutting measures including the elimination of the bonus payout and the related expense along with reductions to marketing and non-essential travel. Selling, general and administrative expenses as a percentage of total revenue increased from 19.1% to 22.8% in fiscal years 2019 and 2020, respectively. The following table presents selling, general and administrative expenses by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4"/>
          </w:tcPr>
          <w:p>
            <w:pPr>
              <w:jc w:val="center"/>
              <w:ind w:right="21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2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1"/>
              </w:rPr>
              <w:t>2020 vs 2019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40" w:type="dxa"/>
            <w:vAlign w:val="bottom"/>
            <w:tcBorders>
              <w:top w:val="single" w:sz="8" w:color="CFF0FC"/>
            </w:tcBorders>
            <w:gridSpan w:val="2"/>
            <w:shd w:val="clear" w:color="auto" w:fill="CFF0FC"/>
          </w:tcPr>
          <w:p>
            <w:pPr>
              <w:spacing w:after="0" w:line="198" w:lineRule="exact"/>
              <w:rPr>
                <w:sz w:val="20"/>
                <w:szCs w:val="20"/>
                <w:color w:val="auto"/>
              </w:rPr>
            </w:pPr>
            <w:r>
              <w:rPr>
                <w:rFonts w:ascii="Arial" w:cs="Arial" w:eastAsia="Arial" w:hAnsi="Arial"/>
                <w:sz w:val="18"/>
                <w:szCs w:val="18"/>
                <w:b w:val="1"/>
                <w:bCs w:val="1"/>
                <w:color w:val="auto"/>
              </w:rPr>
              <w:t>Selling, general and administrative</w:t>
            </w: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40,978</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41,384</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32,696</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9"/>
        </w:trPr>
        <w:tc>
          <w:tcPr>
            <w:tcW w:w="3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expenses before stock-based compensation</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77,912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76,300</w:t>
            </w:r>
          </w:p>
        </w:tc>
        <w:tc>
          <w:tcPr>
            <w:tcW w:w="2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19.8%</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2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9,193</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9"/>
        </w:trPr>
        <w:tc>
          <w:tcPr>
            <w:tcW w:w="3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85,493</w:t>
            </w:r>
          </w:p>
        </w:tc>
        <w:tc>
          <w:tcPr>
            <w:tcW w:w="2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22.8%</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4,171</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0" w:firstLine="589"/>
        <w:spacing w:after="0" w:line="311" w:lineRule="auto"/>
        <w:rPr>
          <w:sz w:val="20"/>
          <w:szCs w:val="20"/>
          <w:color w:val="auto"/>
        </w:rPr>
      </w:pPr>
      <w:r>
        <w:rPr>
          <w:rFonts w:ascii="Arial" w:cs="Arial" w:eastAsia="Arial" w:hAnsi="Arial"/>
          <w:sz w:val="16"/>
          <w:szCs w:val="16"/>
          <w:i w:val="1"/>
          <w:iCs w:val="1"/>
          <w:color w:val="auto"/>
        </w:rPr>
        <w:t xml:space="preserve">Depreciation, Amortization and (Gain) Loss on Disposal of Assets, Net. </w:t>
      </w:r>
      <w:r>
        <w:rPr>
          <w:rFonts w:ascii="Arial" w:cs="Arial" w:eastAsia="Arial" w:hAnsi="Arial"/>
          <w:sz w:val="16"/>
          <w:szCs w:val="16"/>
          <w:color w:val="auto"/>
        </w:rPr>
        <w:t>Depreciation, amortization and (gain) loss on disposal of assets, net,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from $115.8 million in fiscal year 2019 to $116.8 million in fiscal year 2020. The increase is primarily due to the increased depreciation and amortization expense resulting from the Pagatelia acquisition included in the entire fiscal year 2020 compared to only two months in 2019.</w:t>
      </w:r>
    </w:p>
    <w:p>
      <w:pPr>
        <w:spacing w:after="0" w:line="14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i w:val="1"/>
          <w:iCs w:val="1"/>
          <w:color w:val="auto"/>
        </w:rPr>
        <w:t>Impairment of Property and Equipment</w:t>
      </w:r>
      <w:r>
        <w:rPr>
          <w:rFonts w:ascii="Arial" w:cs="Arial" w:eastAsia="Arial" w:hAnsi="Arial"/>
          <w:sz w:val="18"/>
          <w:szCs w:val="18"/>
          <w:color w:val="auto"/>
        </w:rPr>
        <w:t>. Impairment of property and equipment for the fiscal year 2019 included a $5.9 million impairment charge</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legislation that banned most red-light photo enforcement programs in Texas on June 1, 2019, which was in the Government Solutions segment.</w:t>
      </w:r>
    </w:p>
    <w:p>
      <w:pPr>
        <w:spacing w:after="0" w:line="143"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decreased by $19.9 million from $60.7 million in fiscal year 2019 to $40.9 million in fiscal year 2020.</w:t>
      </w:r>
      <w:r>
        <w:rPr>
          <w:rFonts w:ascii="Arial" w:cs="Arial" w:eastAsia="Arial" w:hAnsi="Arial"/>
          <w:sz w:val="16"/>
          <w:szCs w:val="16"/>
          <w:i w:val="1"/>
          <w:iCs w:val="1"/>
          <w:color w:val="auto"/>
        </w:rPr>
        <w:t xml:space="preserve"> </w:t>
      </w:r>
      <w:r>
        <w:rPr>
          <w:rFonts w:ascii="Arial" w:cs="Arial" w:eastAsia="Arial" w:hAnsi="Arial"/>
          <w:sz w:val="16"/>
          <w:szCs w:val="16"/>
          <w:color w:val="auto"/>
        </w:rPr>
        <w:t>This decrease was primarily as a result of lower interest rates coupled with the refinancing of our New First Lien Term Loan (as defined and discussed below) in February 2020, which reduced the applicable margin on the interest rate by 50 basis points.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below.</w:t>
      </w:r>
    </w:p>
    <w:p>
      <w:pPr>
        <w:spacing w:after="0" w:line="122"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We recorded a $6.8 million charge in fiscal year 2020 and income of $0.1 million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adjustment in 2020 reflects the impact of an increase to the Company’s deferred tax rate arising from higher estimated state tax rates due to a change in apportionment.</w:t>
      </w:r>
    </w:p>
    <w:p>
      <w:pPr>
        <w:spacing w:after="0" w:line="143"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was $11.9 million in fiscal year 2020 compared to $11.1 million in fiscal year 2019. The increase of $0.8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was primarily due to a $1.4 million gain related to the HTA Settlement Agreement and another $1.4 million gain for the receipt of insurance proceeds related to this matter, both of which are further discussed in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partially offset by the decreased volume in purchasing card rebates resulting from COVID-19’s impact on toll usage.</w:t>
      </w:r>
    </w:p>
    <w:p>
      <w:pPr>
        <w:spacing w:after="0" w:line="146"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Income tax provision was $5.4 million representing an effective tax rate of 273.4% for fiscal year 2020 compared to $13.6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representing an effective tax rate of 28.9% for fiscal year 2019. The effective tax rate change was primarily due to lower pre-tax income in 2020, resulting in the Company’s permanent book and tax differences having a proportionately greater impact on the effective tax rate in the current year.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340" w:firstLine="589"/>
        <w:spacing w:after="0" w:line="263"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We had a net loss of $3.4 million for fiscal year 2020 compared to net income of $33.3 million for 2019. The $36.8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income was primarily due to the decline in revenue from the impact of COVID-19 on our RAC customers, and the other statement of operations activity discussed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to Fiscal Year 2018</w:t>
      </w:r>
    </w:p>
    <w:p>
      <w:pPr>
        <w:spacing w:after="0" w:line="11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0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91"/>
              </w:rPr>
              <w:t>2019 vs 2018</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416,723</w:t>
            </w: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365,076</w:t>
            </w: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92.9%</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98.6%</w:t>
            </w:r>
          </w:p>
        </w:tc>
        <w:tc>
          <w:tcPr>
            <w:tcW w:w="8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51,647</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5,070</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7.1%</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26,944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531.4%</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448,737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370,146</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78,591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5,788</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(227)</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3,447</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3.1%</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0.9%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10,472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303.8%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108,883</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28.0%</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16,757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Selling, general and administrative expenses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85,493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136,069</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19.1%</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(50,576)</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rPr>
                <w:sz w:val="20"/>
                <w:szCs w:val="20"/>
                <w:color w:val="auto"/>
              </w:rPr>
            </w:pPr>
            <w:r>
              <w:rPr>
                <w:rFonts w:ascii="Arial" w:cs="Arial" w:eastAsia="Arial" w:hAnsi="Arial"/>
                <w:sz w:val="17"/>
                <w:szCs w:val="17"/>
                <w:color w:val="auto"/>
                <w:w w:val="97"/>
              </w:rPr>
              <w:t>Depreciation, amortization and (gain) loss 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115,771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103,353</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25.8%</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12,418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8"/>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352,282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357,540</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78.5%</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96.6%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(5,258)</w:t>
            </w:r>
          </w:p>
        </w:tc>
        <w:tc>
          <w:tcPr>
            <w:tcW w:w="2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665.2%</w:t>
            </w: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96,455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12,606</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21.5%</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83,849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60,729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69,550</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13.5%</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(8,821)</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Tax receivable agreement liability adjustment</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0.0%</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(106)</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26,486</w:t>
            </w: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(26,486)</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(11,092)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(8,795)</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(2.4)%</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(2,297)</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(43.2)%</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87,241</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11.1%</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(37,710)</w:t>
            </w:r>
          </w:p>
        </w:tc>
        <w:tc>
          <w:tcPr>
            <w:tcW w:w="2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tcBorders>
              <w:top w:val="single" w:sz="8" w:color="CFF0FC"/>
            </w:tcBorders>
            <w:gridSpan w:val="2"/>
            <w:shd w:val="clear" w:color="auto" w:fill="CFF0FC"/>
          </w:tcPr>
          <w:p>
            <w:pPr>
              <w:spacing w:after="0" w:line="192" w:lineRule="exact"/>
              <w:rPr>
                <w:sz w:val="20"/>
                <w:szCs w:val="20"/>
                <w:color w:val="auto"/>
              </w:rPr>
            </w:pPr>
            <w:r>
              <w:rPr>
                <w:rFonts w:ascii="Arial" w:cs="Arial" w:eastAsia="Arial" w:hAnsi="Arial"/>
                <w:sz w:val="17"/>
                <w:szCs w:val="17"/>
                <w:color w:val="auto"/>
              </w:rPr>
              <w:t>Income (loss) before income tax provision</w:t>
            </w: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(benefit)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(74,635)</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10.4%</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121,559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162.9%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Income tax provision (benefit)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(16,241)</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29,822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Net income (loss)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33,343</w:t>
            </w:r>
          </w:p>
        </w:tc>
        <w:tc>
          <w:tcPr>
            <w:tcW w:w="16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(58,394)</w:t>
            </w:r>
          </w:p>
        </w:tc>
        <w:tc>
          <w:tcPr>
            <w:tcW w:w="260" w:type="dxa"/>
            <w:vAlign w:val="bottom"/>
            <w:vMerge w:val="continue"/>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7.4%</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(15.8)%</w:t>
            </w:r>
          </w:p>
        </w:tc>
        <w:tc>
          <w:tcPr>
            <w:tcW w:w="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91,737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Service revenue increased by $51.6 million, or 14.1%, to $416.7 million for fiscal year 2019 from $365.1 million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2018, representing 92.9% and 98.6% of total revenue, respectively. The following table depicts service revenue by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w w:val="98"/>
              </w:rPr>
              <w:t>Percentage of Revenue</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6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64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4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1"/>
              </w:rPr>
              <w:t>2019 vs 2018</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360"/>
              <w:spacing w:after="0" w:line="142" w:lineRule="exact"/>
              <w:rPr>
                <w:sz w:val="20"/>
                <w:szCs w:val="20"/>
                <w:color w:val="auto"/>
              </w:rPr>
            </w:pPr>
            <w:r>
              <w:rPr>
                <w:rFonts w:ascii="Arial" w:cs="Arial" w:eastAsia="Arial" w:hAnsi="Arial"/>
                <w:sz w:val="14"/>
                <w:szCs w:val="14"/>
                <w:b w:val="1"/>
                <w:bCs w:val="1"/>
                <w:color w:val="auto"/>
                <w:w w:val="96"/>
              </w:rPr>
              <w:t>2019</w:t>
            </w:r>
          </w:p>
        </w:tc>
        <w:tc>
          <w:tcPr>
            <w:tcW w:w="13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10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276,479</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222,611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61.6%</w:t>
            </w:r>
          </w:p>
        </w:tc>
        <w:tc>
          <w:tcPr>
            <w:tcW w:w="6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53,868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142,465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31.3%</w:t>
            </w:r>
          </w:p>
        </w:tc>
        <w:tc>
          <w:tcPr>
            <w:tcW w:w="6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38.5%</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(2,221)</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7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223"/>
        </w:trPr>
        <w:tc>
          <w:tcPr>
            <w:tcW w:w="26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416,723</w:t>
            </w:r>
          </w:p>
        </w:tc>
        <w:tc>
          <w:tcPr>
            <w:tcW w:w="24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365,076</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92.9%</w:t>
            </w:r>
          </w:p>
        </w:tc>
        <w:tc>
          <w:tcPr>
            <w:tcW w:w="6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98.6%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51,647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Commercial Services service revenue includes toll and violation management revenues from commercial fleet and rental car companies. Service revenue increased by $53.9 million, or 24.2%, from $222.6 million for fiscal year 2018 to $276.5 million for fiscal year 2019. We acquired HTA, a toll and violation processor, on March 1, 2018,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ind w:right="400"/>
        <w:spacing w:after="0" w:line="263" w:lineRule="auto"/>
        <w:rPr>
          <w:sz w:val="20"/>
          <w:szCs w:val="20"/>
          <w:color w:val="auto"/>
        </w:rPr>
      </w:pPr>
      <w:r>
        <w:rPr>
          <w:rFonts w:ascii="Arial" w:cs="Arial" w:eastAsia="Arial" w:hAnsi="Arial"/>
          <w:sz w:val="18"/>
          <w:szCs w:val="18"/>
          <w:color w:val="auto"/>
        </w:rPr>
        <w:t>EPC, a European violations processor, on April 6, 2018. These acquisitions contributed $21.6 million to service revenue growth during the period presented. The remaining service revenue was mainly due to a $28.9 million increase from improved volumes in both billable days and tolls processed across our tolling products.</w:t>
      </w:r>
    </w:p>
    <w:p>
      <w:pPr>
        <w:spacing w:after="0" w:line="18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Government Solutions service revenue includes revenue from red-light, speed, school bus arm and bus lane photo enforcement systems. Service revenue decreased by $2.2 million, to $140.2 million for fiscal year 2019 from $142.5 million for fiscal year 2018. Our red-light photo enforcement service revenue declined $9.5 million compared to fiscal year 2018. This was primarily due to a $2.7 million decline from the loss of certain Florida programs and $4.5 million due to the loss of Texas programs on June 1, 2019 due to a legislative change that banned most red-light photo enforcement programs in the state. The loss of most of our red-light programs in Texas has negatively impacted year over year service revenue comparison for the next two quarters. The remaining decline resulted from lower price per system in variable contracts. Pricing of red-light photo enforcement programs can be impacted by timing of transaction volume in our variable contracts as well as the pricing of contract renewals. The Company exited its street light maintenance offering at the end of the first quarter of 2019, resulting in a $2.5 million decrease year over year. This street light maintenance offering was not part of our core business and did not meet our profitability criteria. These declines were offset by speed program revenue, which grew approximately $10 million due to increases in the total number of camera systems installed and higher average pricing.</w:t>
      </w:r>
    </w:p>
    <w:p>
      <w:pPr>
        <w:spacing w:after="0" w:line="185"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Our previous reporting of installed camera systems included systems connected to suspended programs or spare systems at client locations. We re-evaluated our metric during the first quarter of 2019, and only reported installed camera systems that generated revenue, as we believe this is a more meaningful presentation. There were an average of 4,738 camera systems installed during fiscal year 2019 compared to an average of 4,306 for fiscal year 2018. The increase in camera systems was primarily due to new installations of school bus arm systems and the expansion of speed enforcement systems with existing customers. This increase was partially offset by a decline in red-light photo enforcement systems primarily due to the loss of certain Florida and Texas programs noted above.</w:t>
      </w:r>
    </w:p>
    <w:p>
      <w:pPr>
        <w:spacing w:after="0" w:line="233"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of $32.0 million and $5.1 million for fiscal years 2019 and 2018, respectively, included revenue generated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Solutions customers who purchased their equipment. Product sales increased by $26.9 million primarily driven by sales to a single customer who was expanding their existing school zone speed program.</w:t>
      </w:r>
    </w:p>
    <w:p>
      <w:pPr>
        <w:spacing w:after="0" w:line="211" w:lineRule="exact"/>
        <w:rPr>
          <w:sz w:val="20"/>
          <w:szCs w:val="20"/>
          <w:color w:val="auto"/>
        </w:rPr>
      </w:pPr>
    </w:p>
    <w:p>
      <w:pPr>
        <w:ind w:right="40" w:firstLine="589"/>
        <w:spacing w:after="0" w:line="308" w:lineRule="auto"/>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decreased slightly by $0.2 million, to $5.6 million for fiscal year 2019 from $5.8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2018. The decline in cost was consistent with a slight decline in ancillary revenue generated from supporting red-light programs.</w:t>
      </w:r>
    </w:p>
    <w:p>
      <w:pPr>
        <w:spacing w:after="0" w:line="18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$10.5 million, to $13.9 million for fiscal year 2019 compared to $3.4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2018, and was consistent with the change in product sales.</w:t>
      </w:r>
    </w:p>
    <w:p>
      <w:pPr>
        <w:spacing w:after="0" w:line="211"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$125.6 million for fiscal year 2019, which increased $16.8 million from $108.9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2018 mainly due to the inclusion of HTA and EPC operations for the full year compared to only ten months and nine months, respectively, in 2018, but have decreased as a percentage of revenue from 29.4% to 28.0% in fiscal years 2018 and 2019, respectively. Operating expenses by segment appear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Percentage of Revenue</w:t>
            </w:r>
          </w:p>
        </w:tc>
        <w:tc>
          <w:tcPr>
            <w:tcW w:w="300" w:type="dxa"/>
            <w:vAlign w:val="bottom"/>
          </w:tcPr>
          <w:p>
            <w:pPr>
              <w:spacing w:after="0"/>
              <w:rPr>
                <w:sz w:val="11"/>
                <w:szCs w:val="11"/>
                <w:color w:val="auto"/>
              </w:rPr>
            </w:pPr>
          </w:p>
        </w:tc>
        <w:tc>
          <w:tcPr>
            <w:tcW w:w="2040" w:type="dxa"/>
            <w:vAlign w:val="bottom"/>
            <w:gridSpan w:val="4"/>
          </w:tcPr>
          <w:p>
            <w:pPr>
              <w:jc w:val="center"/>
              <w:ind w:right="21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1"/>
              </w:rPr>
              <w:t>2019 vs 2018</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66,916</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51,221</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15,695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57,525</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3400" w:type="dxa"/>
            <w:vAlign w:val="bottom"/>
            <w:gridSpan w:val="2"/>
          </w:tcPr>
          <w:p>
            <w:pPr>
              <w:spacing w:after="0"/>
              <w:rPr>
                <w:sz w:val="20"/>
                <w:szCs w:val="20"/>
                <w:color w:val="auto"/>
              </w:rPr>
            </w:pPr>
            <w:r>
              <w:rPr>
                <w:rFonts w:ascii="Arial" w:cs="Arial" w:eastAsia="Arial" w:hAnsi="Arial"/>
                <w:sz w:val="18"/>
                <w:szCs w:val="18"/>
                <w:color w:val="auto"/>
                <w:w w:val="93"/>
              </w:rPr>
              <w:t>Total operating expenses before stock-based</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124,821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108,746</w:t>
            </w:r>
          </w:p>
        </w:tc>
        <w:tc>
          <w:tcPr>
            <w:tcW w:w="2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16,075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223"/>
        </w:trPr>
        <w:tc>
          <w:tcPr>
            <w:tcW w:w="3400" w:type="dxa"/>
            <w:vAlign w:val="bottom"/>
            <w:gridSpan w:val="2"/>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125,640</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108,883</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16,757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right="140" w:firstLine="589"/>
        <w:spacing w:after="0" w:line="293"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were $85.5 million for fiscal year 2019. Expenses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line item decreased by $50.6 million from $136.1 million in fiscal year 2018 primarily due to $56.4 million of transaction expenses for the Business Combination, HTA and EPC acquisitions, non-recurring expenses of $8.8 million and $5.4 million related to fees paid under a corporate advisory services agreement in fiscal year 2018 for which there were no comparable amounts in fiscal year 2019. The decrease was partially offset by the increase in stock-based compensation expense recorded in fiscal year 2019. Selling, general and administrative expenses as a percentage of total revenue decreased from 36.8% to 19.1% for fiscal years 2018 and 2019, respectively, and are presented by segment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4"/>
          </w:tcPr>
          <w:p>
            <w:pPr>
              <w:jc w:val="center"/>
              <w:ind w:right="21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2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40" w:type="dxa"/>
            <w:vAlign w:val="bottom"/>
            <w:tcBorders>
              <w:top w:val="single" w:sz="8" w:color="CFF0FC"/>
            </w:tcBorders>
            <w:gridSpan w:val="2"/>
            <w:shd w:val="clear" w:color="auto" w:fill="CFF0FC"/>
          </w:tcPr>
          <w:p>
            <w:pPr>
              <w:spacing w:after="0" w:line="198" w:lineRule="exact"/>
              <w:rPr>
                <w:sz w:val="20"/>
                <w:szCs w:val="20"/>
                <w:color w:val="auto"/>
              </w:rPr>
            </w:pPr>
            <w:r>
              <w:rPr>
                <w:rFonts w:ascii="Arial" w:cs="Arial" w:eastAsia="Arial" w:hAnsi="Arial"/>
                <w:sz w:val="18"/>
                <w:szCs w:val="18"/>
                <w:b w:val="1"/>
                <w:bCs w:val="1"/>
                <w:color w:val="auto"/>
              </w:rPr>
              <w:t>Selling, general and administrative</w:t>
            </w: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41,384</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55,370</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(13,986)</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50,737</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(48,517)</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9"/>
        </w:trPr>
        <w:tc>
          <w:tcPr>
            <w:tcW w:w="3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expenses before stock-based compensation</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133,934</w:t>
            </w:r>
          </w:p>
        </w:tc>
        <w:tc>
          <w:tcPr>
            <w:tcW w:w="2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36.2%</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(57,634)</w:t>
            </w: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32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2,135</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9"/>
        </w:trPr>
        <w:tc>
          <w:tcPr>
            <w:tcW w:w="3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136,069</w:t>
            </w:r>
          </w:p>
        </w:tc>
        <w:tc>
          <w:tcPr>
            <w:tcW w:w="2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(50,576)</w:t>
            </w: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$115.8 million for fiscal year 2019 included $22.8 million of depreciation and $92.8 million of amortization. The increase of $12.4 million from $103.4 million in fiscal year 2018 is primarily due to the inclusion of amortization expense resulting from the HTA and EPC acquisitions for the entire fiscal year 2019 compared to partial periods in the 2018 period.</w:t>
      </w:r>
    </w:p>
    <w:p>
      <w:pPr>
        <w:spacing w:after="0" w:line="227" w:lineRule="exact"/>
        <w:rPr>
          <w:sz w:val="20"/>
          <w:szCs w:val="20"/>
          <w:color w:val="auto"/>
        </w:rPr>
      </w:pPr>
    </w:p>
    <w:p>
      <w:pPr>
        <w:ind w:right="20" w:firstLine="589"/>
        <w:spacing w:after="0" w:line="342" w:lineRule="auto"/>
        <w:rPr>
          <w:sz w:val="20"/>
          <w:szCs w:val="20"/>
          <w:color w:val="auto"/>
        </w:rPr>
      </w:pPr>
      <w:r>
        <w:rPr>
          <w:rFonts w:ascii="Arial" w:cs="Arial" w:eastAsia="Arial" w:hAnsi="Arial"/>
          <w:sz w:val="16"/>
          <w:szCs w:val="16"/>
          <w:i w:val="1"/>
          <w:iCs w:val="1"/>
          <w:color w:val="auto"/>
        </w:rPr>
        <w:t xml:space="preserve">Impairment of Property and Equipment. </w:t>
      </w:r>
      <w:r>
        <w:rPr>
          <w:rFonts w:ascii="Arial" w:cs="Arial" w:eastAsia="Arial" w:hAnsi="Arial"/>
          <w:sz w:val="16"/>
          <w:szCs w:val="16"/>
          <w:color w:val="auto"/>
        </w:rPr>
        <w:t>Impairment of property and equipment for fiscal year 2019 consists of a $5.9 million impairment charge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a legislation ban of most red-light photo enforcement programs in Texas on June 1, 2019, which was in the Government Solutions segment.</w:t>
      </w:r>
    </w:p>
    <w:p>
      <w:pPr>
        <w:spacing w:after="0" w:line="12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$8.8 million from $69.5 million in fiscal year 2018 to $60.7 million in 2019.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debt balances as of December 31, 2018 and 2019 were $887.8 million and $899.7 million, respectively. Although the average debt balances remained relatively consistent, interest expense was higher in the 2018 period due to the New Second Lien Term Loan, which had a higher interest rate. The decrease in interest expense in 2019 is due to the full payoff of the New Second Lien Term Loan in the fourth quarter of 2018 and increase in interest income of $1.1 million during fiscal year 2019.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88"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We recorded $0.1 million of income in fiscal year 2019 resulting from changes in taxable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tax rates.</w:t>
      </w:r>
    </w:p>
    <w:p>
      <w:pPr>
        <w:spacing w:after="0" w:line="170"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This represents the loss on extinguishment of debt related to the 2017 Credit Facilities which were replaced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2018 Credit facilities in conjunction with the HTA acquisition and the repayment of the New Second Lien Term Loan in October 2018 pursuant to the Business Combination.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84"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increased $2.3 million, from $8.8 million in fiscal year 2018 to $11.1 million for fiscal year 2019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increased purchasing card rebates resulting from the inclusion of HTA operations for the entire period in fiscal year 2019 compared to ten months in the 2018 period. We pay a high volume of tolls on behalf of our customers with purchasing cards which generate rebates based on volume, payment terms and rebate frequency.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120" w:firstLine="589"/>
        <w:spacing w:after="0" w:line="293" w:lineRule="auto"/>
        <w:rPr>
          <w:sz w:val="20"/>
          <w:szCs w:val="20"/>
          <w:color w:val="auto"/>
        </w:rPr>
      </w:pPr>
      <w:r>
        <w:rPr>
          <w:rFonts w:ascii="Arial" w:cs="Arial" w:eastAsia="Arial" w:hAnsi="Arial"/>
          <w:sz w:val="16"/>
          <w:szCs w:val="16"/>
          <w:i w:val="1"/>
          <w:iCs w:val="1"/>
          <w:color w:val="auto"/>
        </w:rPr>
        <w:t xml:space="preserve">Income Tax Provision (Benefit). </w:t>
      </w:r>
      <w:r>
        <w:rPr>
          <w:rFonts w:ascii="Arial" w:cs="Arial" w:eastAsia="Arial" w:hAnsi="Arial"/>
          <w:sz w:val="16"/>
          <w:szCs w:val="16"/>
          <w:color w:val="auto"/>
        </w:rPr>
        <w:t>The income tax provision was $13.6 million for fiscal year 2019 compared to an income tax benefit of $(16.2)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fiscal year 2018. The effective tax rate was 28.9% in 2019 compared to an effective tax benefit rate of (21.8)% for 2018. Our effective tax rate for 2019 was higher compared to 2018 primarily due to the impact of permanent items on pre-tax book income in 2019, which increased the effective tax rate, versus the impact of permanent items on a pre-tax book loss in 2018, which had the impact of decreasing the effective tax rate. Our effective tax rate differed from the statutory federal income tax rate in 2019 and 2018 primarily due to state taxes, the impact of permanent items such as transaction costs, executive compensation, changes in uncertain tax positions, changes in the valuation allowance, lobbying expenses and meals.</w:t>
      </w:r>
    </w:p>
    <w:p>
      <w:pPr>
        <w:spacing w:after="0" w:line="164"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i w:val="1"/>
          <w:iCs w:val="1"/>
          <w:color w:val="auto"/>
        </w:rPr>
        <w:t xml:space="preserve">Net Income (Loss). </w:t>
      </w:r>
      <w:r>
        <w:rPr>
          <w:rFonts w:ascii="Arial" w:cs="Arial" w:eastAsia="Arial" w:hAnsi="Arial"/>
          <w:sz w:val="17"/>
          <w:szCs w:val="17"/>
          <w:color w:val="auto"/>
        </w:rPr>
        <w:t>We had net income of $33.3 million for fiscal year 2019, compared to a net loss of $58.4 million for 2018. The increase in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was primarily due to expenses in the 2018 period related to an aggregate of $97.1 million of acquisition, refinancing (including loss on extinguishment of debt) and integration costs associated with the HTA and EPC acquisitions for which there were no comparable amounts in fiscal year 2019. This increase was partially offset by related amortization expense and an impairment charge, noted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principal sources of liquidity are cash flow from operations and borrowings under our 2018 Credit Facilities (as defined below).</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incurred significant long-term debt as a result of acquisitions completed in prior years.</w:t>
      </w:r>
    </w:p>
    <w:p>
      <w:pPr>
        <w:spacing w:after="0" w:line="185"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We believe that our existing cash and cash equivalents, cash flows provided by operating activities and our availability to borrow under our New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New Revolver, or equity financings, all of which may not be available to us on favorable terms or at all. Please also see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3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We have the ability to borrow under our New Revolver to meet obligations as they come due. As of December 31, 2020, we had $48.8 million available for borrowing, net of letters of credit, under our New Revolver.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8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 xml:space="preserve">As of December 31, 2020, NYCDOT represented 58.9% of accounts receivable, net. The Company provides photo enforcement services to NYCDOT under the Legacy Contract and the Emergency Contract. At December 31, 2020, the Legacy Contract had an open receivable balance of $28.8 million, of which $20.5 million had aged beyond NYCDOT’s 45-day payment terms. As of December 31, 2020, the Company had invoiced NYCDOT for $52.6 million in product revenue and $17.4 million in service revenue under the Emergency Contract. NYCDOT has not made any payments against the Emergency Contract to date. In late January 2021, we were informed that the City of New York is investigating matters related to our past installation practices, and it is unclear whether this investigation will impact the timing of the payments. Refer to </w:t>
      </w:r>
      <w:r>
        <w:rPr>
          <w:rFonts w:ascii="Arial" w:cs="Arial" w:eastAsia="Arial" w:hAnsi="Arial"/>
          <w:sz w:val="17"/>
          <w:szCs w:val="17"/>
          <w:i w:val="1"/>
          <w:iCs w:val="1"/>
          <w:color w:val="auto"/>
        </w:rPr>
        <w:t>Concentration of Credit Risk</w:t>
      </w:r>
      <w:r>
        <w:rPr>
          <w:rFonts w:ascii="Arial" w:cs="Arial" w:eastAsia="Arial" w:hAnsi="Arial"/>
          <w:sz w:val="17"/>
          <w:szCs w:val="17"/>
          <w:color w:val="auto"/>
        </w:rPr>
        <w:t xml:space="preserve"> within Note 2 to the consolidated financial statements for additional information on significant customers’ revenue concentration. For information on the risks and uncertainties relating to our contracts with NYCDOT and other government entities, please see the risk factors entitled “</w:t>
      </w:r>
      <w:r>
        <w:rPr>
          <w:rFonts w:ascii="Arial" w:cs="Arial" w:eastAsia="Arial" w:hAnsi="Arial"/>
          <w:sz w:val="17"/>
          <w:szCs w:val="17"/>
          <w:i w:val="1"/>
          <w:iCs w:val="1"/>
          <w:color w:val="auto"/>
        </w:rPr>
        <w:t>The New York City Law Department recently</w:t>
      </w:r>
      <w:r>
        <w:rPr>
          <w:rFonts w:ascii="Arial" w:cs="Arial" w:eastAsia="Arial" w:hAnsi="Arial"/>
          <w:sz w:val="17"/>
          <w:szCs w:val="17"/>
          <w:color w:val="auto"/>
        </w:rPr>
        <w:t xml:space="preserve"> </w:t>
      </w:r>
      <w:r>
        <w:rPr>
          <w:rFonts w:ascii="Arial" w:cs="Arial" w:eastAsia="Arial" w:hAnsi="Arial"/>
          <w:sz w:val="17"/>
          <w:szCs w:val="17"/>
          <w:i w:val="1"/>
          <w:iCs w:val="1"/>
          <w:color w:val="auto"/>
        </w:rPr>
        <w:t>advised us that the City of New York is investigating certain aspects of our installation work for our largest customer, NYCDOT</w:t>
      </w:r>
      <w:r>
        <w:rPr>
          <w:rFonts w:ascii="Arial" w:cs="Arial" w:eastAsia="Arial" w:hAnsi="Arial"/>
          <w:sz w:val="17"/>
          <w:szCs w:val="17"/>
          <w:color w:val="auto"/>
        </w:rPr>
        <w:t>” and “</w:t>
      </w:r>
      <w:r>
        <w:rPr>
          <w:rFonts w:ascii="Arial" w:cs="Arial" w:eastAsia="Arial" w:hAnsi="Arial"/>
          <w:sz w:val="17"/>
          <w:szCs w:val="17"/>
          <w:i w:val="1"/>
          <w:iCs w:val="1"/>
          <w:color w:val="auto"/>
        </w:rPr>
        <w:t>Our government contracts are subject to unique risks and uncertainties, including termination rights, delays in payment, audits and investigations, any of which could have a material adverse effect on our business</w:t>
      </w:r>
      <w:r>
        <w:rPr>
          <w:rFonts w:ascii="Arial" w:cs="Arial" w:eastAsia="Arial" w:hAnsi="Arial"/>
          <w:sz w:val="17"/>
          <w:szCs w:val="17"/>
          <w:color w:val="auto"/>
        </w:rPr>
        <w:t>” set forth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 w:name="page58"/>
    <w:bookmarkEnd w:id="57"/>
    <w:p>
      <w:pPr>
        <w:ind w:left="600"/>
        <w:spacing w:after="0"/>
        <w:rPr>
          <w:sz w:val="20"/>
          <w:szCs w:val="20"/>
          <w:color w:val="auto"/>
        </w:rPr>
      </w:pPr>
      <w:r>
        <w:rPr>
          <w:rFonts w:ascii="Arial" w:cs="Arial" w:eastAsia="Arial" w:hAnsi="Arial"/>
          <w:sz w:val="18"/>
          <w:szCs w:val="18"/>
          <w:color w:val="auto"/>
        </w:rPr>
        <w:t>The following table sets forth certain captions on our statements of cash flows for the respective periods: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8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For the Year Ended December 31,</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1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1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1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46,909</w:t>
            </w: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133,802</w:t>
            </w: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(24,153)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(54,973)</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(562,857)</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(34,004)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(14,520)</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Cash provided by operating activities decreased by $86.9 million, from $133.8 million in fiscal year 2019 to $46.9 million in fiscal year 2020. Net income year over year decreased by $36.8 million, from $33.3 million income in 2019 to a $3.4 million loss in 2020. The aggregate adjustments to net (loss) income increased $15.4 million mainly due to a $6.3 million increase in credit loss expense related to the credit loss standard, the $7.0 million increase in the tax receivable agreement liability adjustment and a $6.1 million change in deferred income taxes. These increases were partially offset by a $5.9 million impairment of property and equipment in fiscal year 2019 with no comparable amount in 2020.</w:t>
      </w:r>
    </w:p>
    <w:p>
      <w:pPr>
        <w:spacing w:after="0" w:line="136"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There was an aggregate $65.5 million decrease year over year in the changes in operating assets and liabilities, which was driven primarily by a $77.9 million increase in accounts receivables primarily due to collection delays on the accounts receivable associated with our fixed speed camera product sales to NYCDOT, combined with a decrease in accounts payable and accrued liabilities due to the payout of the 2019 bonus accrual with no accrual for fiscal year 2020 and a decrease in other accruals which was consistent with our decrease in certain revenue streams. For additional information on NYCDOT’s impact on our cash provided by operating activities, please see the risk factor entitled “</w:t>
      </w:r>
      <w:r>
        <w:rPr>
          <w:rFonts w:ascii="Arial" w:cs="Arial" w:eastAsia="Arial" w:hAnsi="Arial"/>
          <w:sz w:val="18"/>
          <w:szCs w:val="18"/>
          <w:i w:val="1"/>
          <w:iCs w:val="1"/>
          <w:color w:val="auto"/>
        </w:rPr>
        <w:t>The New York City Law Department recently advised us</w:t>
      </w:r>
      <w:r>
        <w:rPr>
          <w:rFonts w:ascii="Arial" w:cs="Arial" w:eastAsia="Arial" w:hAnsi="Arial"/>
          <w:sz w:val="18"/>
          <w:szCs w:val="18"/>
          <w:color w:val="auto"/>
        </w:rPr>
        <w:t xml:space="preserve"> </w:t>
      </w:r>
      <w:r>
        <w:rPr>
          <w:rFonts w:ascii="Arial" w:cs="Arial" w:eastAsia="Arial" w:hAnsi="Arial"/>
          <w:sz w:val="18"/>
          <w:szCs w:val="18"/>
          <w:i w:val="1"/>
          <w:iCs w:val="1"/>
          <w:color w:val="auto"/>
        </w:rPr>
        <w:t>that the City of New York is investigating certain aspects of our installation work for our largest customer, NYCDOT</w:t>
      </w:r>
      <w:r>
        <w:rPr>
          <w:rFonts w:ascii="Arial" w:cs="Arial" w:eastAsia="Arial" w:hAnsi="Arial"/>
          <w:sz w:val="18"/>
          <w:szCs w:val="18"/>
          <w:color w:val="auto"/>
        </w:rPr>
        <w:t>” set forth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68"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Cash provided by operating activities increased $87.8 million from $46.0 million in fiscal year 2018 to $133.8 million in fiscal year 2019. The change in cash provided by operating activities year over year was primarily due to a net income increase of $91.7 million from a loss of $58.4 million in fiscal year 2018 to income of $33.3 million in fiscal year 2019. The growth in net income was driven by the inclusion of the results of HTA and EPC operations for the full year in 2019 versus only partial periods in the 2018 period. It is also attributable to $97.1 million of transaction (the Business Combination, HTA and EPC acquisitions), non-recurring transformation, sponsor fee expenses and loss on extinguishment of debt in fiscal year 2018 for which there were no comparable amounts in fiscal year 2019.</w:t>
      </w:r>
    </w:p>
    <w:p>
      <w:pPr>
        <w:spacing w:after="0" w:line="15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Aggregate adjustments to reconcile net income (loss) to net cash provided by operations increased by $12.5 million. The increase was primarily due to inclusion of the amortization of intangibles associated with the HTA and EPC acquisitions and stock-based compensation for the full year in 2019 versus partial periods in 2018. The $26.5 million loss on extinguishment of debt in fiscal year 2018 for which there was no comparable amount in 2019 was offset by a $5.9 million impairment charge in the 2019 period for which there were no comparable amount in 2018. There was an aggregate $16.5 million decrease in the change in operating assets and liabilities which was primarily driven by an increase in prepaid expenses and the change in accrued liabilities offset by the change in accounts receivables.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right="160" w:firstLine="604"/>
        <w:spacing w:after="0" w:line="277" w:lineRule="auto"/>
        <w:rPr>
          <w:sz w:val="20"/>
          <w:szCs w:val="20"/>
          <w:color w:val="auto"/>
        </w:rPr>
      </w:pPr>
      <w:r>
        <w:rPr>
          <w:rFonts w:ascii="Arial" w:cs="Arial" w:eastAsia="Arial" w:hAnsi="Arial"/>
          <w:sz w:val="18"/>
          <w:szCs w:val="18"/>
          <w:color w:val="auto"/>
        </w:rPr>
        <w:t>Cash used in investing activities was $24.2 million in fiscal year 2020 which was mainly related to purchases of installation and service parts and property and equipment.</w:t>
      </w:r>
    </w:p>
    <w:p>
      <w:pPr>
        <w:spacing w:after="0" w:line="143" w:lineRule="exact"/>
        <w:rPr>
          <w:sz w:val="20"/>
          <w:szCs w:val="20"/>
          <w:color w:val="auto"/>
        </w:rPr>
      </w:pPr>
    </w:p>
    <w:p>
      <w:pPr>
        <w:ind w:right="60" w:firstLine="604"/>
        <w:spacing w:after="0" w:line="259" w:lineRule="auto"/>
        <w:rPr>
          <w:sz w:val="20"/>
          <w:szCs w:val="20"/>
          <w:color w:val="auto"/>
        </w:rPr>
      </w:pPr>
      <w:r>
        <w:rPr>
          <w:rFonts w:ascii="Arial" w:cs="Arial" w:eastAsia="Arial" w:hAnsi="Arial"/>
          <w:sz w:val="18"/>
          <w:szCs w:val="18"/>
          <w:color w:val="auto"/>
        </w:rPr>
        <w:t>Cash used in investing activities was $55.0 million and $562.9 million for fiscal years 2019 and 2018, respectively. The change in cash used in investing activities year over year was primarily due to acquisitions. Cash paid for the Pagatelia acquisition in fiscal year 2019 was $26.6 million, net of $1.1 million of cash acquired. Cash consideration for the HTA acquisition was $531.7 million net of $3.0 million of cash acquired, and for EPC it was $2.6 million, net of $9.0 million of cash acquired.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Cash used in financing activities was $34.0 million and $14.5 million for fiscal years 2020 and 2019, respectively. The cash used in 2020 increased primarily as a result of a $19.7 million mandatory prepayment of excess cash flows made pursuant to the terms of the New First Lien Term Loan (as defined below), and costs associated with refinancing the New First Lien Term Loan in February 2020.</w:t>
      </w:r>
    </w:p>
    <w:p>
      <w:pPr>
        <w:spacing w:after="0" w:line="7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Cash provided by financing activities was $574.3 million for fiscal year 2018 and was due to our entering into the 2018 Credit Facilities to fund the HTA acquisition and to repay the outstanding balance on the 2017 Credit Facilities, which totaled approximately $450.5 million, as well as the repayment of the New Second Lien Term Loan in full and the $70.0 million increase to the New First Lien Term Loan in conjunction with the Business Combination. Additionally, cash received in connection with the Business Combination was $803.3 million. Cash payments made in connection with the issuance of the 2018 Credit Facilities, the repayment of the 2017 Credit Facilities and the Business Combination were $29.5 million, $8.2 million and $24.0 million, respectively. Additionally, there was a $779.2 million distribution to the selling shareholders in the Business Combination that was partially offset by a $169.3 million capital contribution from Greenlight.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connection with the an acquisition, VM Consolidated, Inc., our wholly-owned subsidiary, entered into a First Lien Term Loan Credit Agreement (the “</w:t>
      </w:r>
      <w:r>
        <w:rPr>
          <w:rFonts w:ascii="Arial" w:cs="Arial" w:eastAsia="Arial" w:hAnsi="Arial"/>
          <w:sz w:val="18"/>
          <w:szCs w:val="18"/>
          <w:b w:val="1"/>
          <w:bCs w:val="1"/>
          <w:i w:val="1"/>
          <w:iCs w:val="1"/>
          <w:color w:val="auto"/>
        </w:rPr>
        <w:t>New First Lien Term Loan</w:t>
      </w:r>
      <w:r>
        <w:rPr>
          <w:rFonts w:ascii="Arial" w:cs="Arial" w:eastAsia="Arial" w:hAnsi="Arial"/>
          <w:sz w:val="18"/>
          <w:szCs w:val="18"/>
          <w:color w:val="auto"/>
        </w:rPr>
        <w:t>”), a Second Lien Term Loan Credit Agreement (the “</w:t>
      </w:r>
      <w:r>
        <w:rPr>
          <w:rFonts w:ascii="Arial" w:cs="Arial" w:eastAsia="Arial" w:hAnsi="Arial"/>
          <w:sz w:val="18"/>
          <w:szCs w:val="18"/>
          <w:b w:val="1"/>
          <w:bCs w:val="1"/>
          <w:i w:val="1"/>
          <w:iCs w:val="1"/>
          <w:color w:val="auto"/>
        </w:rPr>
        <w:t>New Second Lien Term Loan</w:t>
      </w:r>
      <w:r>
        <w:rPr>
          <w:rFonts w:ascii="Arial" w:cs="Arial" w:eastAsia="Arial" w:hAnsi="Arial"/>
          <w:sz w:val="18"/>
          <w:szCs w:val="18"/>
          <w:color w:val="auto"/>
        </w:rPr>
        <w:t>” and together with the New First Lien Term Loan, the “</w:t>
      </w:r>
      <w:r>
        <w:rPr>
          <w:rFonts w:ascii="Arial" w:cs="Arial" w:eastAsia="Arial" w:hAnsi="Arial"/>
          <w:sz w:val="18"/>
          <w:szCs w:val="18"/>
          <w:b w:val="1"/>
          <w:bCs w:val="1"/>
          <w:i w:val="1"/>
          <w:iCs w:val="1"/>
          <w:color w:val="auto"/>
        </w:rPr>
        <w:t>New Term Loans</w:t>
      </w:r>
      <w:r>
        <w:rPr>
          <w:rFonts w:ascii="Arial" w:cs="Arial" w:eastAsia="Arial" w:hAnsi="Arial"/>
          <w:sz w:val="18"/>
          <w:szCs w:val="18"/>
          <w:color w:val="auto"/>
        </w:rPr>
        <w:t>”) and a Revolving Credit Agreement (the “</w:t>
      </w:r>
      <w:r>
        <w:rPr>
          <w:rFonts w:ascii="Arial" w:cs="Arial" w:eastAsia="Arial" w:hAnsi="Arial"/>
          <w:sz w:val="18"/>
          <w:szCs w:val="18"/>
          <w:b w:val="1"/>
          <w:bCs w:val="1"/>
          <w:i w:val="1"/>
          <w:iCs w:val="1"/>
          <w:color w:val="auto"/>
        </w:rPr>
        <w:t>New Revolver</w:t>
      </w:r>
      <w:r>
        <w:rPr>
          <w:rFonts w:ascii="Arial" w:cs="Arial" w:eastAsia="Arial" w:hAnsi="Arial"/>
          <w:sz w:val="18"/>
          <w:szCs w:val="18"/>
          <w:color w:val="auto"/>
        </w:rPr>
        <w:t>,” and together with the New Term Loans, the “</w:t>
      </w:r>
      <w:r>
        <w:rPr>
          <w:rFonts w:ascii="Arial" w:cs="Arial" w:eastAsia="Arial" w:hAnsi="Arial"/>
          <w:sz w:val="18"/>
          <w:szCs w:val="18"/>
          <w:b w:val="1"/>
          <w:bCs w:val="1"/>
          <w:i w:val="1"/>
          <w:iCs w:val="1"/>
          <w:color w:val="auto"/>
        </w:rPr>
        <w:t>2018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with a syndicate of lenders. The 2018 Credit Facilities initially provided for committed senior secured financing of $1.115 billion, consisting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aggregate principal amount of $1.04 billion under the New Term Loans and an aggregate revolving commitment of up to $75 million available for loans and letters of credit under the New Revolver (subject to borrowing eligibility requirements as described below). In July 2018, we amended the New First Lien Term Loan to expand the aggregate principal loan amount from $840 million to $910 million. The additional $70 million, along with funds contributed by Platinum Equity, LLC, were used to repay the $200 million New Second Lien Term Loan in full contemporaneously with the closing of the Business Combination on October 17, 2018. The New First Lien Term Loan represents the only debt outstanding under the 2018 Credit Facilities as of December 31, 2020.</w:t>
      </w:r>
    </w:p>
    <w:p>
      <w:pPr>
        <w:spacing w:after="0" w:line="19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2018 Credit Facilities replaced the previous First Lien Term Loan Credit Agreement (the “</w:t>
      </w:r>
      <w:r>
        <w:rPr>
          <w:rFonts w:ascii="Arial" w:cs="Arial" w:eastAsia="Arial" w:hAnsi="Arial"/>
          <w:sz w:val="18"/>
          <w:szCs w:val="18"/>
          <w:b w:val="1"/>
          <w:bCs w:val="1"/>
          <w:i w:val="1"/>
          <w:iCs w:val="1"/>
          <w:color w:val="auto"/>
        </w:rPr>
        <w:t>Old First Lien</w:t>
      </w:r>
      <w:r>
        <w:rPr>
          <w:rFonts w:ascii="Arial" w:cs="Arial" w:eastAsia="Arial" w:hAnsi="Arial"/>
          <w:sz w:val="18"/>
          <w:szCs w:val="18"/>
          <w:color w:val="auto"/>
        </w:rPr>
        <w:t>”), the Second Lien Term Loan Credit Agreement (the “</w:t>
      </w:r>
      <w:r>
        <w:rPr>
          <w:rFonts w:ascii="Arial" w:cs="Arial" w:eastAsia="Arial" w:hAnsi="Arial"/>
          <w:sz w:val="18"/>
          <w:szCs w:val="18"/>
          <w:b w:val="1"/>
          <w:bCs w:val="1"/>
          <w:i w:val="1"/>
          <w:iCs w:val="1"/>
          <w:color w:val="auto"/>
        </w:rPr>
        <w:t>Old Second Lien</w:t>
      </w:r>
      <w:r>
        <w:rPr>
          <w:rFonts w:ascii="Arial" w:cs="Arial" w:eastAsia="Arial" w:hAnsi="Arial"/>
          <w:sz w:val="18"/>
          <w:szCs w:val="18"/>
          <w:color w:val="auto"/>
        </w:rPr>
        <w:t>” and together with the Old First Lien, the “</w:t>
      </w:r>
      <w:r>
        <w:rPr>
          <w:rFonts w:ascii="Arial" w:cs="Arial" w:eastAsia="Arial" w:hAnsi="Arial"/>
          <w:sz w:val="18"/>
          <w:szCs w:val="18"/>
          <w:b w:val="1"/>
          <w:bCs w:val="1"/>
          <w:i w:val="1"/>
          <w:iCs w:val="1"/>
          <w:color w:val="auto"/>
        </w:rPr>
        <w:t>Old Term Loans</w:t>
      </w:r>
      <w:r>
        <w:rPr>
          <w:rFonts w:ascii="Arial" w:cs="Arial" w:eastAsia="Arial" w:hAnsi="Arial"/>
          <w:sz w:val="18"/>
          <w:szCs w:val="18"/>
          <w:i w:val="1"/>
          <w:iCs w:val="1"/>
          <w:color w:val="auto"/>
        </w:rPr>
        <w:t>”</w:t>
      </w:r>
      <w:r>
        <w:rPr>
          <w:rFonts w:ascii="Arial" w:cs="Arial" w:eastAsia="Arial" w:hAnsi="Arial"/>
          <w:sz w:val="18"/>
          <w:szCs w:val="18"/>
          <w:color w:val="auto"/>
        </w:rPr>
        <w:t>), which were repaid concurrent with the closing on the 2018 Credit Facilities, and a preexisting Revolving Credit Agreement (the “</w:t>
      </w:r>
      <w:r>
        <w:rPr>
          <w:rFonts w:ascii="Arial" w:cs="Arial" w:eastAsia="Arial" w:hAnsi="Arial"/>
          <w:sz w:val="18"/>
          <w:szCs w:val="18"/>
          <w:b w:val="1"/>
          <w:bCs w:val="1"/>
          <w:i w:val="1"/>
          <w:iCs w:val="1"/>
          <w:color w:val="auto"/>
        </w:rPr>
        <w:t>Old Revolver</w:t>
      </w:r>
      <w:r>
        <w:rPr>
          <w:rFonts w:ascii="Arial" w:cs="Arial" w:eastAsia="Arial" w:hAnsi="Arial"/>
          <w:sz w:val="18"/>
          <w:szCs w:val="18"/>
          <w:color w:val="auto"/>
        </w:rPr>
        <w:t>”, collectively with the Old Term Loans, the “</w:t>
      </w:r>
      <w:r>
        <w:rPr>
          <w:rFonts w:ascii="Arial" w:cs="Arial" w:eastAsia="Arial" w:hAnsi="Arial"/>
          <w:sz w:val="18"/>
          <w:szCs w:val="18"/>
          <w:b w:val="1"/>
          <w:bCs w:val="1"/>
          <w:i w:val="1"/>
          <w:iCs w:val="1"/>
          <w:color w:val="auto"/>
        </w:rPr>
        <w:t>2017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which was undrawn at close. The outstanding balances at the date of close on the Old Term Loans, which were repaid in full with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2018 Credit Facilities were $323 million and $125 million, respectively.</w:t>
      </w:r>
    </w:p>
    <w:p>
      <w:pPr>
        <w:spacing w:after="0" w:line="147"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The New First Lien Term Loan is repayable at 1.0% per annum of the amount initially borrowed, paid in quarterly installments. The New First Lien Term Loan matures on February 28, 2025. We refinanced the entire outstanding amount under the New First Lien Term Loan on February 20, 2020, which reduced the previous applicable margin by 50 basis points. The New First Lien Term Loan now bears interest based, at our option, on either (1) LIBOR plus an applicable margin of 3.25% per annum, or (2) an alternate base rate plus an applicable margin of 2.25% per annum. As of December 31, 2020, the interest rate on the New First Lien Term Loan was 3.4%.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240" w:firstLine="589"/>
        <w:spacing w:after="0" w:line="255" w:lineRule="auto"/>
        <w:rPr>
          <w:sz w:val="20"/>
          <w:szCs w:val="20"/>
          <w:color w:val="auto"/>
        </w:rPr>
      </w:pPr>
      <w:r>
        <w:rPr>
          <w:rFonts w:ascii="Arial" w:cs="Arial" w:eastAsia="Arial" w:hAnsi="Arial"/>
          <w:sz w:val="18"/>
          <w:szCs w:val="18"/>
          <w:color w:val="auto"/>
        </w:rPr>
        <w:t>In addition, the New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tbl>
      <w:tblPr>
        <w:tblLayout w:type="fixed"/>
        <w:tblInd w:w="0" w:type="dxa"/>
        <w:tblCellMar>
          <w:top w:w="0" w:type="dxa"/>
          <w:left w:w="0" w:type="dxa"/>
          <w:bottom w:w="0" w:type="dxa"/>
          <w:right w:w="0" w:type="dxa"/>
        </w:tblCellMar>
      </w:tblPr>
      <w:tr>
        <w:trPr>
          <w:trHeight w:val="142"/>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89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Consolidated first lien net leverage ratio (as defined by the New First Lien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We made a $19.7 million mandatory prepayment of excess cash flow during the first quarter of fiscal year 2020, which was classified as current portion of long-term debt in the consolidated balance sheet at December 31, 2019. We did not have a mandatory prepayment of excess cash flow for the fiscal year ended December 31, 2020.</w:t>
      </w:r>
    </w:p>
    <w:p>
      <w:pPr>
        <w:spacing w:after="0" w:line="143"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New Revolver matures on February 28, 2023. The terms of the New Revolver were not affected by the refinancing of the New First Lien Term Loan discussed above. Borrowing eligibility under the New Revolver is subject to a monthly borrowing base calculation based on (i) certain percentages of eligible accounts receivable and inventory, less (ii) certain reserve items, including outstanding letters of credit and other reserves. We may at any time, on not more than five occasions, request an increase to the New Revolver of up to an aggregate amount of $50 million. The New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December 31, 2020, we had no outstanding borrowings on the New Revolver and our availability to borrow was $48.8 million, net of $6.3 million of outstanding letters of credit.</w:t>
      </w:r>
    </w:p>
    <w:p>
      <w:pPr>
        <w:spacing w:after="0" w:line="178"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Interest on the unused portion of the New Revolver is payable quarterly at 0.375% and we are also required to pay participation and fronting fees at 1.38% on $6.3 million of outstanding letters of credit as of December 31, 2020.</w:t>
      </w:r>
    </w:p>
    <w:p>
      <w:pPr>
        <w:spacing w:after="0" w:line="170"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December 31, 2020, we were compliant with the 2018 Credit Facilities covenants. Substantially all of our assets are pledged as collateral to secure the Company’s indebtedness under the 2018 Credit Facilities.</w:t>
      </w:r>
    </w:p>
    <w:p>
      <w:pPr>
        <w:spacing w:after="0" w:line="160"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We recorded interest expense, including amortization of deferred financing costs and discounts, of $40.9 million, $60.7 million and $69.6 million for fiscal years 2020, 2019 and 2018 respectively.</w:t>
      </w:r>
    </w:p>
    <w:p>
      <w:pPr>
        <w:spacing w:after="0" w:line="130"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In connection with the refinancing of the New First Lien Term Loan in February 2020, which we determined was to be accounted for as a modification, we incurred $0.8 million of lender fees which were capitalized as deferred financing costs and amortized over the remaining life of the New First Lien Term Loan, and $0.2 million of legal fees that were expensed as selling, general and administrative expenses on the consolidated statement of operations in the fiscal year ended December 31, 2020.</w:t>
      </w:r>
    </w:p>
    <w:p>
      <w:pPr>
        <w:spacing w:after="0" w:line="18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recognized a charge of $10.2 million in fiscal year 2018 consisting of a $3.8 million prepayment penalty on the Old Term Loan balances, a $2.0 million write-off of preexisting deferred financing costs and $4.4 million of lender and third-party costs associated with the issuance of the 2018 Credit Facilities. We also recorded a loss on extinguishment of the New Second Lien Term Loan of $16.3 million in fiscal year 2018 consisting of a $4.0 million prepayment penalty, a $3.4 million write-off of pre-existing deferred financing costs and $8.9 million of lender and third-party costs associated with the issuance of the loan.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have issued various letters of credit under contractual arrangements with certain of our vendors and customers. Outstanding letters of credit under these arrangements totaled $6.3 million and $0.1 million at December 31, 2020 and 2019, respectively. The letters of credit are not released until all services have been provided or the contract has been canceled.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commitments at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900"/>
              <w:spacing w:after="0"/>
              <w:rPr>
                <w:sz w:val="20"/>
                <w:szCs w:val="20"/>
                <w:color w:val="auto"/>
              </w:rPr>
            </w:pPr>
            <w:r>
              <w:rPr>
                <w:rFonts w:ascii="Arial" w:cs="Arial" w:eastAsia="Arial" w:hAnsi="Arial"/>
                <w:sz w:val="14"/>
                <w:szCs w:val="14"/>
                <w:b w:val="1"/>
                <w:bCs w:val="1"/>
                <w:color w:val="auto"/>
                <w:w w:val="90"/>
              </w:rPr>
              <w:t>Payments due by period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2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1 year</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2 - 3 years</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23"/>
              <w:spacing w:after="0" w:line="142" w:lineRule="exact"/>
              <w:rPr>
                <w:sz w:val="20"/>
                <w:szCs w:val="20"/>
                <w:color w:val="auto"/>
              </w:rPr>
            </w:pPr>
            <w:r>
              <w:rPr>
                <w:rFonts w:ascii="Arial" w:cs="Arial" w:eastAsia="Arial" w:hAnsi="Arial"/>
                <w:sz w:val="14"/>
                <w:szCs w:val="14"/>
                <w:b w:val="1"/>
                <w:bCs w:val="1"/>
                <w:color w:val="auto"/>
              </w:rPr>
              <w:t>4 - 5 years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FF0FC"/>
          </w:tcPr>
          <w:p>
            <w:pPr>
              <w:spacing w:after="0" w:line="223" w:lineRule="exact"/>
              <w:rPr>
                <w:sz w:val="20"/>
                <w:szCs w:val="20"/>
                <w:color w:val="auto"/>
              </w:rPr>
            </w:pPr>
            <w:r>
              <w:rPr>
                <w:rFonts w:ascii="Arial" w:cs="Arial" w:eastAsia="Arial" w:hAnsi="Arial"/>
                <w:sz w:val="15"/>
                <w:szCs w:val="15"/>
                <w:color w:val="auto"/>
              </w:rPr>
              <w:t xml:space="preserve">Long-term debt, including current maturities </w:t>
            </w:r>
            <w:r>
              <w:rPr>
                <w:rFonts w:ascii="Arial" w:cs="Arial" w:eastAsia="Arial" w:hAnsi="Arial"/>
                <w:sz w:val="25"/>
                <w:szCs w:val="25"/>
                <w:color w:val="auto"/>
                <w:vertAlign w:val="superscript"/>
              </w:rPr>
              <w:t>(1)</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865,642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9,104</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838,330</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Interest on long-term debt </w:t>
            </w:r>
            <w:r>
              <w:rPr>
                <w:rFonts w:ascii="Arial" w:cs="Arial" w:eastAsia="Arial" w:hAnsi="Arial"/>
                <w:sz w:val="25"/>
                <w:szCs w:val="25"/>
                <w:color w:val="auto"/>
                <w:vertAlign w:val="superscript"/>
              </w:rPr>
              <w:t>(2)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lease payments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43,485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20" w:type="dxa"/>
            <w:vAlign w:val="bottom"/>
            <w:gridSpan w:val="2"/>
          </w:tcPr>
          <w:p>
            <w:pPr>
              <w:spacing w:after="0"/>
              <w:rPr>
                <w:sz w:val="20"/>
                <w:szCs w:val="20"/>
                <w:color w:val="auto"/>
              </w:rPr>
            </w:pPr>
            <w:r>
              <w:rPr>
                <w:rFonts w:ascii="Arial" w:cs="Arial" w:eastAsia="Arial" w:hAnsi="Arial"/>
                <w:sz w:val="16"/>
                <w:szCs w:val="16"/>
                <w:color w:val="auto"/>
              </w:rPr>
              <w:t>Purchase obligations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160" w:hanging="572"/>
        <w:spacing w:after="0"/>
        <w:tabs>
          <w:tab w:leader="none" w:pos="1160" w:val="left"/>
        </w:tabs>
        <w:numPr>
          <w:ilvl w:val="0"/>
          <w:numId w:val="27"/>
        </w:numPr>
        <w:rPr>
          <w:rFonts w:ascii="Arial" w:cs="Arial" w:eastAsia="Arial" w:hAnsi="Arial"/>
          <w:sz w:val="13"/>
          <w:szCs w:val="13"/>
          <w:color w:val="auto"/>
        </w:rPr>
      </w:pPr>
      <w:r>
        <w:rPr>
          <w:rFonts w:ascii="Arial" w:cs="Arial" w:eastAsia="Arial" w:hAnsi="Arial"/>
          <w:sz w:val="16"/>
          <w:szCs w:val="16"/>
          <w:color w:val="auto"/>
        </w:rPr>
        <w:t>Amounts for 2021, 2022-2023, and 2024-2025 represent quarterly installment payments with respect to the New First Lien Term Loan.</w:t>
      </w:r>
    </w:p>
    <w:p>
      <w:pPr>
        <w:spacing w:after="0" w:line="140" w:lineRule="exact"/>
        <w:rPr>
          <w:rFonts w:ascii="Arial" w:cs="Arial" w:eastAsia="Arial" w:hAnsi="Arial"/>
          <w:sz w:val="13"/>
          <w:szCs w:val="13"/>
          <w:color w:val="auto"/>
        </w:rPr>
      </w:pPr>
    </w:p>
    <w:p>
      <w:pPr>
        <w:ind w:left="1160" w:hanging="572"/>
        <w:spacing w:after="0"/>
        <w:tabs>
          <w:tab w:leader="none" w:pos="11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This reflects the interest rate for the New First Lien Term Loan in effect at December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do not have any material off-balance sheet financing arrangements nor do we have any interest in entities referred to as variable interest entities as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Management believes that its estimates and assumptions are reasonable in the circumstances; however, actual results could differ materially from those estimates.</w:t>
      </w:r>
    </w:p>
    <w:p>
      <w:pPr>
        <w:spacing w:after="0" w:line="184"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Item 8, Financial Statements and Supplementary Data, of this Annual Report on Form 10-K. We believe that the critical accounting policies listed below involve our more significant judgments, assumptions, and estimates and, therefore, could have the greatest potential impact on the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i w:val="1"/>
          <w:iCs w:val="1"/>
          <w:color w:val="auto"/>
        </w:rPr>
        <w:t>Commercial Services</w:t>
      </w:r>
      <w:r>
        <w:rPr>
          <w:rFonts w:ascii="Arial" w:cs="Arial" w:eastAsia="Arial" w:hAnsi="Arial"/>
          <w:sz w:val="17"/>
          <w:szCs w:val="17"/>
          <w:color w:val="auto"/>
        </w:rPr>
        <w:t>. The Commercial Services segment offers toll and violation management solutions for the commercial fleet and rental car</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We have determined our performance obligation is a distinct stand-ready obligation as there is an unspecified quantity of services provided that does not diminish, and the customer is being charged only when it uses our services, such as toll payment, title and registration, etc. Payment terms for contracts with commercial fleet and rental car companies vary, but are usually billed as services are performed.</w:t>
      </w:r>
    </w:p>
    <w:p>
      <w:pPr>
        <w:spacing w:after="0" w:line="171"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i w:val="1"/>
          <w:iCs w:val="1"/>
          <w:color w:val="auto"/>
        </w:rPr>
        <w:t xml:space="preserve">Government Solutions. </w:t>
      </w:r>
      <w:r>
        <w:rPr>
          <w:rFonts w:ascii="Arial" w:cs="Arial" w:eastAsia="Arial" w:hAnsi="Arial"/>
          <w:sz w:val="17"/>
          <w:szCs w:val="17"/>
          <w:color w:val="auto"/>
        </w:rPr>
        <w:t>The Government Solutions segment principally generates revenue by providing complete, end-to-end red-light, speed,</w:t>
      </w:r>
      <w:r>
        <w:rPr>
          <w:rFonts w:ascii="Arial" w:cs="Arial" w:eastAsia="Arial" w:hAnsi="Arial"/>
          <w:sz w:val="17"/>
          <w:szCs w:val="17"/>
          <w:i w:val="1"/>
          <w:iCs w:val="1"/>
          <w:color w:val="auto"/>
        </w:rPr>
        <w:t xml:space="preserve"> </w:t>
      </w:r>
      <w:r>
        <w:rPr>
          <w:rFonts w:ascii="Arial" w:cs="Arial" w:eastAsia="Arial" w:hAnsi="Arial"/>
          <w:sz w:val="17"/>
          <w:szCs w:val="17"/>
          <w:color w:val="auto"/>
        </w:rPr>
        <w:t>school bus stop arm, and bus lane enforcement solutions. Products, when sold, 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76"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For bundled packages, we account for individual products and services separately if they are distinct – i.e., if a product or service is separately identifiable from other items in the bundle and if a customer can benefit from it as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color w:val="auto"/>
        </w:rPr>
        <w:t>stand-alone item. The consideration is allocated between separate products and services in a bundle based on their stand-alone selling prices (“</w:t>
      </w:r>
      <w:r>
        <w:rPr>
          <w:rFonts w:ascii="Arial" w:cs="Arial" w:eastAsia="Arial" w:hAnsi="Arial"/>
          <w:sz w:val="18"/>
          <w:szCs w:val="18"/>
          <w:b w:val="1"/>
          <w:bCs w:val="1"/>
          <w:i w:val="1"/>
          <w:iCs w:val="1"/>
          <w:color w:val="auto"/>
        </w:rPr>
        <w:t>SSP</w:t>
      </w:r>
      <w:r>
        <w:rPr>
          <w:rFonts w:ascii="Arial" w:cs="Arial" w:eastAsia="Arial" w:hAnsi="Arial"/>
          <w:sz w:val="18"/>
          <w:szCs w:val="18"/>
          <w:color w:val="auto"/>
        </w:rPr>
        <w:t>”). We estimate the SSP of our services based upon observable evidence, market conditions and other relevant inputs.</w:t>
      </w:r>
    </w:p>
    <w:p>
      <w:pPr>
        <w:spacing w:after="0" w:line="62" w:lineRule="exact"/>
        <w:rPr>
          <w:sz w:val="20"/>
          <w:szCs w:val="20"/>
          <w:color w:val="auto"/>
        </w:rPr>
      </w:pPr>
    </w:p>
    <w:p>
      <w:pPr>
        <w:ind w:left="1160" w:right="40" w:hanging="572"/>
        <w:spacing w:after="0" w:line="263"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sales (sale of camera and installation) – we recognize revenue when the installation process is completed and the camera is ready to perform the services as expected by the customer. Generally, this occurs at site acceptance or first citation. We recognize revenue for the sale of the camera and installation services at a point in time.</w:t>
      </w:r>
    </w:p>
    <w:p>
      <w:pPr>
        <w:spacing w:after="0" w:line="75" w:lineRule="exact"/>
        <w:rPr>
          <w:rFonts w:ascii="Arial" w:cs="Arial" w:eastAsia="Arial" w:hAnsi="Arial"/>
          <w:sz w:val="18"/>
          <w:szCs w:val="18"/>
          <w:color w:val="auto"/>
        </w:rPr>
      </w:pPr>
    </w:p>
    <w:p>
      <w:pPr>
        <w:ind w:left="1160" w:right="160" w:hanging="572"/>
        <w:spacing w:after="0" w:line="288" w:lineRule="auto"/>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Service revenue – we have determined our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We determined certain of the promises to our customers are capable of being distinct as they are capable of providing some measure of benefit to the customer either on their own or together with other resources that are readily available to the customer. However, we have determined the promises to our customers do not meet the criterion of being distinct within the context of our contracts. We would not be able to fulfill our promises individually as our customers could not obtain the intended benefit from the contract without us fulfilling all promises. Accordingly, we concluded that each contract represents one service offering and is a single performance obligation to our customer. Further, we account for all the services as a single continuous service. We applied the series guidance for those services as we stand ready to deliver those services over the contract period. We recognize revenue from services over time, as they are performed.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As of December 31, 2020, we had approximately $0.2 million of remaining performance obligations in the Government Solutions segment, which includes amounts that will be invoiced and recognized in future periods. The remaining performance obligations are limited only to arrangements that meet the definition of a contract as of December 31, 2020. As these amounts relate to the initial deferral of revenue under a contract, we expect to recognize these amounts over a two-month period at the end of the contract.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Under the new revenue standard, significant judgments are required in order to identify contracts with customers and estimate transaction prices. Additional judgments are required for identifying the performance obligations and determining whether the services provided are able to be distinct, determining the transaction price as it relates to the different variable consideration structures identified in our contracts, the estimation of the SSP and the allocation of the transaction price by relative SSPs. Assumptions regarding timing of when control transfers to the customer also requires significant judgment in order to recognize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In accordance with the current expected credit losses standard discussed in Note 2 to our consolidated financial statements, we review historical loss rates, customer payment trends and collection rates on customer balances. Estimated loss rates are developed as of the balance sheet date using historical credit loss experience and adjusted for future expectations using probability-weighted assumptions about potential outcomes. Receivables are written off against the allowance for credit loss when it is probable that amounts will not be collected based on terms of the customer contracts, and subsequent recoveries reverse the previous write-off and apply to the receivable in the period recovered. The Company periodically evaluates the adequacy of its allowance for expected credit losses by comparing its actual historical write-offs to its previously recorded estimates, and adjusts appropriately. This includes evaluation by portfolio segment the changes in expectations based on the newest information available on customer payment trends and risk characteristics, and adjusting the probability-weighting either upward or downward that is most representative of the expected credit losses.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We apply the asset acquisition method to account for business acquisitions. We allocate the fair value of the purchase price consideration to assets acquired and liabilities assumed based on their estimated fair values. The excess of the purchase consideration over the fair value of the identifiable assets and liabilities is recorded as goodwill.</w:t>
      </w:r>
    </w:p>
    <w:p>
      <w:pPr>
        <w:spacing w:after="0" w:line="184"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The determination and allocation of fair values to the identifiable assets acquired and liabilities assumed is based on various assumptions and valuation methodologies requiring considerable management judgment and includes the use of independent valuation specialists to assist us in estimating fair values of acquired tangible and intangible assets. Fair values of acquired assets and their respective useful lives are based on, among other factors, estimates of expected cash flows, customer turnover, discount rates and royalty cost savings. Although we believe that the assumptions applied in the determination are reasonable based on information available at the date of acquisition, actual results may differ from estimates. Differences between estimates and actual results may result in adjustment to goodwill and acquisition date fair values of assets and liabilities during a measurement period or upon a final determination of asset and liability fair values, whichever occurs first. Adjustments to fair values of assets and liabilities made after the end of the measurement period are recognized within our consolidated statements of operations as a current period gain or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 xml:space="preserve">We assess goodwill for impairment annually on October 1, or more frequently if events or circumstances indicate that the carrying amounts may not be fully recoverable. We first consider the option to assess qualitative factors to determine whether it is more likely than not that the fair value of the reporting unit is less than its carrying amount. If we conclude that it is more likely than not that the fair value is less than the carrying amount, we then perform a one-step quantitative impairment test by comparing the reporting unit’s fair value with its carrying value in accordance with ASU 2017-04, which we adopted as of January 1, 2020.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for more information on our adoption of ASU 2017-04. Pursuant to ASU 2017-04, an impairment loss is recognized for the amount by which the reporting units’ carrying value exceeds its fair value, up to the total amount of goodwill allocated to the reporting unit. No impairment is recognized if the fair value of the reporting unit exceeds its carrying value.</w:t>
      </w:r>
    </w:p>
    <w:p>
      <w:pPr>
        <w:spacing w:after="0" w:line="16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process of evaluating goodwill requires significant judgment including the identification of reporting units and the determination of the fair value of each reporting unit. If necessary, we determine fair values of our reporting units based on an income approach or more specifically, a discounted cash flow method (“</w:t>
      </w:r>
      <w:r>
        <w:rPr>
          <w:rFonts w:ascii="Arial" w:cs="Arial" w:eastAsia="Arial" w:hAnsi="Arial"/>
          <w:sz w:val="17"/>
          <w:szCs w:val="17"/>
          <w:b w:val="1"/>
          <w:bCs w:val="1"/>
          <w:i w:val="1"/>
          <w:iCs w:val="1"/>
          <w:color w:val="auto"/>
        </w:rPr>
        <w:t>DCF Method</w:t>
      </w:r>
      <w:r>
        <w:rPr>
          <w:rFonts w:ascii="Arial" w:cs="Arial" w:eastAsia="Arial" w:hAnsi="Arial"/>
          <w:sz w:val="17"/>
          <w:szCs w:val="17"/>
          <w:color w:val="auto"/>
        </w:rPr>
        <w:t>”). The DCF Method is based on projected future cash flows and terminal value estimates discounted to their present values. Terminal value represents a present value an investor would pay on the valuation date for the rights to the cash flows of the business for the years subsequent to the discrete cash flow projection period. We consider the DCF Method to be the most appropriate valuation technique since it is based on our long-term financial projections. In addition to determining the fair value of our reporting units based on the DCF method, we also compare the aggregate values of our net corporate assets and the reporting unit fair values to our overall market capitalization and use certain market-based valuation techniques to assess the reasonableness of the reporting unit fair values determined in accordance with the DCF Method. The key inputs used in the DCF Method include revenue growth rates, gross margin percentage, selling, general and administrative expense percentage and discount rates that are at or above our weighted-average cost of capital. We apply discount rates that are commensurate with the risks and uncertainties inherent in the respective reporting units and our internally developed projections of future cash flows.</w:t>
      </w:r>
    </w:p>
    <w:p>
      <w:pPr>
        <w:spacing w:after="0" w:line="182"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During the first half of fiscal 2020, our market capitalization declined significantly compared to December 31, 2019. Over the same period, the equity value of our key Commercial Services customers, our peer group companies and the overall U.S. stock market also declined significantly amid market volatility. These declines were driven by the uncertainty surrounding the outbreak of COVID-19 and other macroeconomic events. Based on these factors, we concluded that a triggering event occurred and, accordingly, interim quantitative impairment tests were performed as of March 31, 2020 and as of June 30, 2020. In connection with these tests, we concluded the fair values of the Government Solutions and Commercial Services reporting units exceeded their respective carrying values and that an adjustment to goodwill was not required. The fair values of our reporting units as of March 31, 2020 and June 30, 2020 were determined in accordance with the DCF Method described above using our most currently available financial forecasts assuming a long-term growth rate of 2% and a discount rate of 12%. To understand the sensitivity that a change in discount rate could have on our reporting units’ fair values, the Company also applied discount rates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right="60"/>
        <w:spacing w:after="0" w:line="291" w:lineRule="auto"/>
        <w:rPr>
          <w:sz w:val="20"/>
          <w:szCs w:val="20"/>
          <w:color w:val="auto"/>
        </w:rPr>
      </w:pPr>
      <w:r>
        <w:rPr>
          <w:rFonts w:ascii="Arial" w:cs="Arial" w:eastAsia="Arial" w:hAnsi="Arial"/>
          <w:sz w:val="16"/>
          <w:szCs w:val="16"/>
          <w:color w:val="auto"/>
        </w:rPr>
        <w:t>ranging from 11% to 14% and concluded the fair values of the both reporting units exceeded their respective carrying values in each instance. In addition, we completed our annual goodwill impairment test as of October 1, 2020 for our two reporting units. In doing so, we conducted a qualitative assessment and concluded no adjustment to goodwill was necessary because our most current long-term financial forecasts continued to meet or exceed the forecasted results used in connection with the interim quantitative impairment tests performed at March 31 and June 30, 2020. In addition, there were no indicators of impairment based on the qualitative analysis performed as of the fiscal years ended December 31, 2019 and 2018. The current economic conditions due to COVID-19 are still evolving and any significant adverse changes in future periods to our internal forecasts or the external market conditions, if any, could reasonably be expected to negatively affect our key assumptions and may result in a future goodwill impairment charge, which could be material.</w:t>
      </w:r>
    </w:p>
    <w:p>
      <w:pPr>
        <w:spacing w:after="0" w:line="16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review our long-lived assets other than goodwill, for impairment whenever events or circumstances indicate that the carrying amount of an asset or asset group may not be fully recoverable. We assess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 Our estimates of cash flows are subjective judgments based on past experiences adjusted for trends and future expectation, and can be significantly impacted by changes in our business or economic conditions. The determination of asset group fair value is also subject to significant judgment and utilizes valuation techniques including discounting estimated future cash flows and market-based analyses. If our estimates or underlying assumptions change in the future, our operating results may be materially impacted.</w:t>
      </w:r>
    </w:p>
    <w:p>
      <w:pPr>
        <w:spacing w:after="0" w:line="19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The state of Texas passed legislation as of June 1, 2019 to ban red-light photo enforcement programs across the state, with certain carve-outs for some existing programs. We considered this a triggering event for potential impairment and evaluated the recoverability of property and equipment used in the operations of red-light photo enforcement programs in Texas. As a result, we recognized an impairment charge in the Government Solutions segment of $5.9 million for the year ended December 31, 2019, which is included in impairment of property and equipment in the consolidated statements of operations. We did not have impairment losses on long-lived assets for the years ended December 31, 2020 or December 31,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We account for income taxes under the asset and liability method. This approach requires the recognition of deferred tax assets and liabilities for the expected future tax consequences of differences between the tax basis of assets or liabilities and their carrying amounts in the financial statements. Deferred tax assets generally represent items that can be used as a tax deduction or credit in our tax return in future years, while deferred tax liabilities generally represent items that generate a future tax liability for items where deductions have been accelerated for tax purposes. We provide a valuation allowance for deferred tax assets if it is more likely than not that some portion or all of the tax assets will not be realized.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and tax planning alternatives and strategies that may be available.</w:t>
      </w:r>
    </w:p>
    <w:p>
      <w:pPr>
        <w:spacing w:after="0" w:line="168"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Our effective tax rate is based on income, statutory tax rates, differences in the deductibility of certain expenses and inclusion of certain income items between financial statement and tax return purposes, and tax planning opportunities available to us in the various jurisdictions in which we operate. Under GAAP, if we determine that a tax position is more likely than not of being sustained upon audit, based solely on the technical merits of the position, we recognize the benefit. Tax code and regulations require certain items to be included in the tax return at different times than when those items are required to be recorded in the consolidated financial statements. As a result, our effective tax rate reflected in our consolidated financial statements is different from that reported in our tax returns. Some of these differences are permanent, such as meals and entertainment expenses that are not fully deductible on our tax returns, and some are temporary differences, such as depreciation expense. Temporary differences create deferred tax assets and liabilities.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jc w:val="both"/>
        <w:ind w:right="60" w:firstLine="589"/>
        <w:spacing w:after="0" w:line="263" w:lineRule="auto"/>
        <w:rPr>
          <w:sz w:val="20"/>
          <w:szCs w:val="20"/>
          <w:color w:val="auto"/>
        </w:rPr>
      </w:pPr>
      <w:r>
        <w:rPr>
          <w:rFonts w:ascii="Arial" w:cs="Arial" w:eastAsia="Arial" w:hAnsi="Arial"/>
          <w:sz w:val="18"/>
          <w:szCs w:val="18"/>
          <w:color w:val="auto"/>
        </w:rPr>
        <w:t>We recognize benefits on uncertain tax positions if it is more likely than not that such positions will be sustained upon examination based solely on their technical merits. Our policy is to recognize interest and penalties related to the underpayment of income taxes as a component of income tax expense or benefit.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At the closing of the Business Combination, we entered into the Tax Receivable Agreement (“</w:t>
      </w:r>
      <w:r>
        <w:rPr>
          <w:rFonts w:ascii="Arial" w:cs="Arial" w:eastAsia="Arial" w:hAnsi="Arial"/>
          <w:sz w:val="17"/>
          <w:szCs w:val="17"/>
          <w:b w:val="1"/>
          <w:bCs w:val="1"/>
          <w:i w:val="1"/>
          <w:iCs w:val="1"/>
          <w:color w:val="auto"/>
        </w:rPr>
        <w:t>TRA</w:t>
      </w:r>
      <w:r>
        <w:rPr>
          <w:rFonts w:ascii="Arial" w:cs="Arial" w:eastAsia="Arial" w:hAnsi="Arial"/>
          <w:sz w:val="17"/>
          <w:szCs w:val="17"/>
          <w:color w:val="auto"/>
        </w:rPr>
        <w:t>”) with the Platinum Stockholder and Greenlight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our acquisition of HTA prior to the Business Combination. We generally will retain the benefit of the remaining 50% of these cash savings. We estimated the potential maximum benefit to be paid will be approximately $70 million, and recorded an initial liability and corresponding charge to equity at the closing of the Business Combination. Subsequently, we made adjustments to this amount.</w:t>
      </w:r>
    </w:p>
    <w:p>
      <w:pPr>
        <w:spacing w:after="0" w:line="69" w:lineRule="exact"/>
        <w:rPr>
          <w:sz w:val="20"/>
          <w:szCs w:val="20"/>
          <w:color w:val="auto"/>
        </w:rPr>
      </w:pPr>
    </w:p>
    <w:p>
      <w:pPr>
        <w:ind w:right="500" w:firstLine="589"/>
        <w:spacing w:after="0" w:line="263" w:lineRule="auto"/>
        <w:rPr>
          <w:sz w:val="20"/>
          <w:szCs w:val="20"/>
          <w:color w:val="auto"/>
        </w:rPr>
      </w:pPr>
      <w:r>
        <w:rPr>
          <w:rFonts w:ascii="Arial" w:cs="Arial" w:eastAsia="Arial" w:hAnsi="Arial"/>
          <w:sz w:val="18"/>
          <w:szCs w:val="18"/>
          <w:color w:val="auto"/>
        </w:rPr>
        <w:t>We recorded a $6.8 million expense in fiscal year 2020 and $0.1 million of income in fiscal year 2019 to tax receivable agreement liability adjustment in the consolidated statements of operations. The adjustment in 2020 reflects the impact of an increase to the Company’s deferred tax rate arising from higher estimated state tax rates due to a change in apportionment.</w:t>
      </w:r>
    </w:p>
    <w:p>
      <w:pPr>
        <w:spacing w:after="0" w:line="7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At December 31, 2020, the TRA liability was approximately $72.7 million of which $4.8 million was the current portion and $67.9 million was the non-current portion both of which are included in the respective payable to related party pursuant to tax receivable agreement line items on the consolidated balance sheets. The remaining tax life of these intangible assets is approximately 14 years. The ultimate timing of payments of the TRA liability is uncertain due to the realization of the benefits from the HTA intangibles involving uncertainties in the amount and timing of our future taxable income. We expect to fund future payments through cash flow from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 xml:space="preserve">For a discussion of recent accounting pronouncements,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Item 8, Financial Statements and Supplementary Data.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We are exposed to interest rate market risk due to the variable interest rate on the New First Lien Term Loan described in “Item 7.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30"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Interest rate risk represents our exposure to fluctuations in interest rates associated with the variable rate debt represented by the New First Lien Term Loan, which has an outstanding balance of $865.6 million at December 31, 2020. We refinanced the entire amount outstanding on the New First Lien Term Loan in February 2020 which reduced the previous applicable margin by 50 basis points. The New First Lien Term Loan now bears interest based, at our option, on either (1) LIBOR plus an applicable margin of 3.25% per annum, or (2) an alternate base rate plus an applicable margin of 2.25% per annum. At December 31, 2020, the interest rate on the New First Lien Term Loan was 3.4%. Based on the December 31, 2020 balance outstanding, each 1% movement in interest rates will result in an approximately $8.7 million change in annual interest expense.</w:t>
      </w:r>
    </w:p>
    <w:p>
      <w:pPr>
        <w:spacing w:after="0" w:line="15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We have not engaged in any hedging activities during fiscal year 2020. We do not expect to engage in any hedging activities with respect to the market risk to which we are exposed.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VERRA MOBILITY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INDEX TO CONSOLIDATED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5480" w:type="dxa"/>
            <w:vAlign w:val="bottom"/>
            <w:vMerge w:val="restart"/>
          </w:tcPr>
          <w:p>
            <w:pPr>
              <w:ind w:left="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Reports of Independent Registered Public Accounting Firm</w:t>
              </w:r>
            </w:hyperlink>
          </w:p>
        </w:tc>
        <w:tc>
          <w:tcPr>
            <w:tcW w:w="5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vMerge w:val="continue"/>
          </w:tcPr>
          <w:p>
            <w:pPr>
              <w:spacing w:after="0"/>
              <w:rPr>
                <w:sz w:val="19"/>
                <w:szCs w:val="19"/>
                <w:color w:val="auto"/>
              </w:rPr>
            </w:pPr>
          </w:p>
        </w:tc>
        <w:tc>
          <w:tcPr>
            <w:tcW w:w="5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6"/>
        </w:trPr>
        <w:tc>
          <w:tcPr>
            <w:tcW w:w="5480" w:type="dxa"/>
            <w:vAlign w:val="bottom"/>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w:t>
              </w:r>
            </w:hyperlink>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6"/>
        </w:trPr>
        <w:tc>
          <w:tcPr>
            <w:tcW w:w="5480" w:type="dxa"/>
            <w:vAlign w:val="bottom"/>
          </w:tcPr>
          <w:p>
            <w:pPr>
              <w:ind w:left="20"/>
              <w:spacing w:after="0"/>
              <w:rPr>
                <w:rFonts w:ascii="Arial" w:cs="Arial" w:eastAsia="Arial" w:hAnsi="Arial"/>
                <w:sz w:val="18"/>
                <w:szCs w:val="18"/>
                <w:u w:val="single" w:color="auto"/>
                <w:color w:val="0000EE"/>
                <w:w w:val="90"/>
              </w:rPr>
            </w:pPr>
            <w:hyperlink w:anchor="page71">
              <w:r>
                <w:rPr>
                  <w:rFonts w:ascii="Arial" w:cs="Arial" w:eastAsia="Arial" w:hAnsi="Arial"/>
                  <w:sz w:val="18"/>
                  <w:szCs w:val="18"/>
                  <w:u w:val="single" w:color="auto"/>
                  <w:color w:val="0000EE"/>
                  <w:w w:val="90"/>
                </w:rPr>
                <w:t>Consolidated Statements of Operations and Comprehensive (Loss) Income</w:t>
              </w:r>
            </w:hyperlink>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Stockholders’ Equity</w:t>
              </w:r>
            </w:hyperlink>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Cash Flows</w:t>
              </w:r>
            </w:hyperlink>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Notes to Consolidated Financial Statements</w:t>
              </w:r>
            </w:hyperlink>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75"/>
        </w:trPr>
        <w:tc>
          <w:tcPr>
            <w:tcW w:w="5480" w:type="dxa"/>
            <w:vAlign w:val="bottom"/>
          </w:tcPr>
          <w:p>
            <w:pPr>
              <w:spacing w:after="0"/>
              <w:rPr>
                <w:sz w:val="24"/>
                <w:szCs w:val="24"/>
                <w:color w:val="auto"/>
              </w:rPr>
            </w:pPr>
          </w:p>
        </w:tc>
        <w:tc>
          <w:tcPr>
            <w:tcW w:w="5200" w:type="dxa"/>
            <w:vAlign w:val="bottom"/>
          </w:tcPr>
          <w:p>
            <w:pPr>
              <w:jc w:val="right"/>
              <w:ind w:right="487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Verra Mobility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sheets of Verra Mobility Corporation (the Company) as of December 31, 2020 and 2019, and the related consolidated statements of operations and comprehensive (loss) income, stockholders’ equity, and cash flows for each of the three years in the period ended December 31, 2020, and the related notes and the financial statement schedule listed in the Index at Item 15(a) (collectively referred to as the “financial statements”). In our opinion, the financial statements present fairly, in all material respects, the consolidated financial position of the Company at December 31, 2020 and 2019, and the consolidated results of its operations and its cash flows for each of the three years in the period ended December 31, 2020, in conformity with U.S. generally accepted accounting principles.</w:t>
      </w:r>
    </w:p>
    <w:p>
      <w:pPr>
        <w:spacing w:after="0" w:line="209"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60"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212529"/>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Services Revenue</w:t>
      </w:r>
    </w:p>
    <w:p>
      <w:pPr>
        <w:spacing w:after="0" w:line="223" w:lineRule="exact"/>
        <w:rPr>
          <w:sz w:val="20"/>
          <w:szCs w:val="20"/>
          <w:color w:val="auto"/>
        </w:rPr>
      </w:pPr>
    </w:p>
    <w:p>
      <w:pPr>
        <w:jc w:val="both"/>
        <w:ind w:left="1820" w:right="20" w:hanging="1808"/>
        <w:spacing w:after="0" w:line="274" w:lineRule="auto"/>
        <w:rPr>
          <w:sz w:val="20"/>
          <w:szCs w:val="20"/>
          <w:color w:val="auto"/>
        </w:rPr>
      </w:pPr>
      <w:r>
        <w:rPr>
          <w:rFonts w:ascii="Arial" w:cs="Arial" w:eastAsia="Arial" w:hAnsi="Arial"/>
          <w:sz w:val="17"/>
          <w:szCs w:val="17"/>
          <w:i w:val="1"/>
          <w:iCs w:val="1"/>
          <w:color w:val="auto"/>
        </w:rPr>
        <w:t xml:space="preserve">Description of the Matter </w:t>
      </w:r>
      <w:r>
        <w:rPr>
          <w:rFonts w:ascii="Arial" w:cs="Arial" w:eastAsia="Arial" w:hAnsi="Arial"/>
          <w:sz w:val="17"/>
          <w:szCs w:val="17"/>
          <w:color w:val="auto"/>
        </w:rPr>
        <w:t>As described in Notes 2 and 18 to the consolidated financial statements, the Company generated commercial services revenue of $180.9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2020.</w:t>
      </w:r>
    </w:p>
    <w:p>
      <w:pPr>
        <w:spacing w:after="0" w:line="161" w:lineRule="exact"/>
        <w:rPr>
          <w:sz w:val="20"/>
          <w:szCs w:val="20"/>
          <w:color w:val="auto"/>
        </w:rPr>
      </w:pPr>
    </w:p>
    <w:p>
      <w:pPr>
        <w:jc w:val="both"/>
        <w:ind w:left="1820"/>
        <w:spacing w:after="0" w:line="297" w:lineRule="auto"/>
        <w:rPr>
          <w:sz w:val="20"/>
          <w:szCs w:val="20"/>
          <w:color w:val="auto"/>
        </w:rPr>
      </w:pPr>
      <w:r>
        <w:rPr>
          <w:rFonts w:ascii="Arial" w:cs="Arial" w:eastAsia="Arial" w:hAnsi="Arial"/>
          <w:sz w:val="15"/>
          <w:szCs w:val="15"/>
          <w:color w:val="auto"/>
        </w:rPr>
        <w:t>The Company‘s commercial services revenue recognition process involves several applications and data sources needed for the initiation, processing, and recording of transactions from the Company’s various commercial services revenue sources, as well as the calculation of commercial services revenue in accordance with the Company’s accounting policy. Auditing the Company's accounting for commercial services revenue from contracts with customers was challenging and complex primarily due to the high volume of transactions, as well as the multiple applications and data sources associated with the commercial services revenue recognition process.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tabs>
          <w:tab w:leader="none" w:pos="1800" w:val="left"/>
        </w:tabs>
        <w:rPr>
          <w:sz w:val="20"/>
          <w:szCs w:val="20"/>
          <w:color w:val="auto"/>
        </w:rPr>
      </w:pPr>
      <w:r>
        <w:rPr>
          <w:rFonts w:ascii="Arial" w:cs="Arial" w:eastAsia="Arial" w:hAnsi="Arial"/>
          <w:sz w:val="17"/>
          <w:szCs w:val="17"/>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the Company’s controls over the</w:t>
      </w:r>
    </w:p>
    <w:p>
      <w:pPr>
        <w:spacing w:after="0" w:line="21" w:lineRule="exact"/>
        <w:rPr>
          <w:sz w:val="20"/>
          <w:szCs w:val="20"/>
          <w:color w:val="auto"/>
        </w:rPr>
      </w:pPr>
    </w:p>
    <w:p>
      <w:pPr>
        <w:jc w:val="both"/>
        <w:ind w:left="1820" w:hanging="1808"/>
        <w:spacing w:after="0" w:line="276" w:lineRule="auto"/>
        <w:tabs>
          <w:tab w:leader="none" w:pos="1800" w:val="left"/>
        </w:tabs>
        <w:rPr>
          <w:sz w:val="20"/>
          <w:szCs w:val="20"/>
          <w:color w:val="auto"/>
        </w:rPr>
      </w:pPr>
      <w:r>
        <w:rPr>
          <w:rFonts w:ascii="Arial" w:cs="Arial" w:eastAsia="Arial" w:hAnsi="Arial"/>
          <w:sz w:val="17"/>
          <w:szCs w:val="17"/>
          <w:i w:val="1"/>
          <w:iCs w:val="1"/>
          <w:color w:val="auto"/>
        </w:rPr>
        <w:t>Matter in Our Audit</w:t>
      </w:r>
      <w:r>
        <w:rPr>
          <w:sz w:val="20"/>
          <w:szCs w:val="20"/>
          <w:color w:val="auto"/>
        </w:rPr>
        <w:tab/>
      </w:r>
      <w:r>
        <w:rPr>
          <w:rFonts w:ascii="Arial" w:cs="Arial" w:eastAsia="Arial" w:hAnsi="Arial"/>
          <w:sz w:val="16"/>
          <w:szCs w:val="16"/>
          <w:color w:val="auto"/>
        </w:rPr>
        <w:t>commercial services revenue recognition process. This included testing controls over the completeness and accuracy of data within the commercial services revenue systems, the interfaces of data between relevant systems, testing of relevant IT application controls and testing of relevant IT general controls over the IT applications supporting the commercial services revenue recognition process.</w:t>
      </w:r>
    </w:p>
    <w:p>
      <w:pPr>
        <w:spacing w:after="0" w:line="161" w:lineRule="exact"/>
        <w:rPr>
          <w:sz w:val="20"/>
          <w:szCs w:val="20"/>
          <w:color w:val="auto"/>
        </w:rPr>
      </w:pPr>
    </w:p>
    <w:p>
      <w:pPr>
        <w:jc w:val="both"/>
        <w:ind w:left="1820"/>
        <w:spacing w:after="0" w:line="257" w:lineRule="auto"/>
        <w:rPr>
          <w:sz w:val="20"/>
          <w:szCs w:val="20"/>
          <w:color w:val="auto"/>
        </w:rPr>
      </w:pPr>
      <w:r>
        <w:rPr>
          <w:rFonts w:ascii="Arial" w:cs="Arial" w:eastAsia="Arial" w:hAnsi="Arial"/>
          <w:sz w:val="17"/>
          <w:szCs w:val="17"/>
          <w:color w:val="auto"/>
        </w:rPr>
        <w:t>To test the Company’s accounting for commercial services revenue from contracts with customers, we performed substantive audit procedures that included, among others, testing on a sample basis the completeness and accuracy of the underlying data within the commercial services revenue systems, performing data analytics to test recorded revenue amounts, tracing a sample of sales transactions to supporting documentation, and testing a sample of cash to billings reconciliations.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impairment considerations</w:t>
      </w:r>
    </w:p>
    <w:p>
      <w:pPr>
        <w:spacing w:after="0" w:line="210" w:lineRule="exact"/>
        <w:rPr>
          <w:sz w:val="20"/>
          <w:szCs w:val="20"/>
          <w:color w:val="auto"/>
        </w:rPr>
      </w:pPr>
    </w:p>
    <w:p>
      <w:pPr>
        <w:jc w:val="both"/>
        <w:ind w:left="1820" w:hanging="1808"/>
        <w:spacing w:after="0" w:line="274" w:lineRule="auto"/>
        <w:rPr>
          <w:sz w:val="20"/>
          <w:szCs w:val="20"/>
          <w:color w:val="auto"/>
        </w:rPr>
      </w:pPr>
      <w:r>
        <w:rPr>
          <w:rFonts w:ascii="Arial" w:cs="Arial" w:eastAsia="Arial" w:hAnsi="Arial"/>
          <w:sz w:val="16"/>
          <w:szCs w:val="16"/>
          <w:i w:val="1"/>
          <w:iCs w:val="1"/>
          <w:color w:val="auto"/>
        </w:rPr>
        <w:t xml:space="preserve">Description of the Matter </w:t>
      </w:r>
      <w:r>
        <w:rPr>
          <w:rFonts w:ascii="Arial" w:cs="Arial" w:eastAsia="Arial" w:hAnsi="Arial"/>
          <w:sz w:val="16"/>
          <w:szCs w:val="16"/>
          <w:color w:val="auto"/>
        </w:rPr>
        <w:t>As described in Notes 2 and 6 to the consolidated financial statements, the Company completed interim quantitative goodwill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tests as of March 31, 2020 and June 30, 2020, due to identified triggering events. Fair value is estimated by management based on an income approach using a discounted cash flow model which is corroborated with an implied fair value of the reporting units using a market-based approach. Based upon the results of its interim impairment tests, the Company concluded that the fair values of both the commercial services and government solutions reporting units exceeded their carrying values.</w:t>
      </w:r>
    </w:p>
    <w:p>
      <w:pPr>
        <w:spacing w:after="0" w:line="165" w:lineRule="exact"/>
        <w:rPr>
          <w:sz w:val="20"/>
          <w:szCs w:val="20"/>
          <w:color w:val="auto"/>
        </w:rPr>
      </w:pPr>
    </w:p>
    <w:p>
      <w:pPr>
        <w:jc w:val="both"/>
        <w:ind w:left="1820"/>
        <w:spacing w:after="0" w:line="302" w:lineRule="auto"/>
        <w:rPr>
          <w:sz w:val="20"/>
          <w:szCs w:val="20"/>
          <w:color w:val="auto"/>
        </w:rPr>
      </w:pPr>
      <w:r>
        <w:rPr>
          <w:rFonts w:ascii="Arial" w:cs="Arial" w:eastAsia="Arial" w:hAnsi="Arial"/>
          <w:sz w:val="15"/>
          <w:szCs w:val="15"/>
          <w:color w:val="auto"/>
        </w:rPr>
        <w:t>Auditing the interim quantitative goodwill impairment analyses was complex due to the significant estimation uncertainty in determining the fair values of the commercial services and government solutions reporting units. The significant assumptions used to form the basis of the forecasted results included revenue growth rates, operating margins, discount rates and long-term growth rates. These significant assumptions were forward-looking and could be affected by future economic and market conditions, including the COVID-19 pandemic.</w:t>
      </w:r>
    </w:p>
    <w:p>
      <w:pPr>
        <w:spacing w:after="0" w:line="144"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i w:val="1"/>
          <w:iCs w:val="1"/>
          <w:color w:val="auto"/>
        </w:rPr>
        <w:t>How We Addressed the</w:t>
      </w:r>
      <w:r>
        <w:rPr>
          <w:sz w:val="20"/>
          <w:szCs w:val="20"/>
          <w:color w:val="auto"/>
        </w:rPr>
        <w:tab/>
      </w:r>
      <w:r>
        <w:rPr>
          <w:rFonts w:ascii="Arial" w:cs="Arial" w:eastAsia="Arial" w:hAnsi="Arial"/>
          <w:sz w:val="15"/>
          <w:szCs w:val="15"/>
          <w:color w:val="auto"/>
        </w:rPr>
        <w:t>We obtained an understanding, evaluated the design and tested the operating effectiveness of the Company’s controls over its interim</w:t>
      </w:r>
    </w:p>
    <w:p>
      <w:pPr>
        <w:spacing w:after="0" w:line="21" w:lineRule="exact"/>
        <w:rPr>
          <w:sz w:val="20"/>
          <w:szCs w:val="20"/>
          <w:color w:val="auto"/>
        </w:rPr>
      </w:pPr>
    </w:p>
    <w:p>
      <w:pPr>
        <w:ind w:left="1820" w:hanging="1808"/>
        <w:spacing w:after="0" w:line="257" w:lineRule="auto"/>
        <w:tabs>
          <w:tab w:leader="none" w:pos="1800" w:val="left"/>
        </w:tabs>
        <w:rPr>
          <w:sz w:val="20"/>
          <w:szCs w:val="20"/>
          <w:color w:val="auto"/>
        </w:rPr>
      </w:pPr>
      <w:r>
        <w:rPr>
          <w:rFonts w:ascii="Arial" w:cs="Arial" w:eastAsia="Arial" w:hAnsi="Arial"/>
          <w:sz w:val="17"/>
          <w:szCs w:val="17"/>
          <w:i w:val="1"/>
          <w:iCs w:val="1"/>
          <w:color w:val="auto"/>
        </w:rPr>
        <w:t>Matter in Our Audit</w:t>
      </w:r>
      <w:r>
        <w:rPr>
          <w:sz w:val="20"/>
          <w:szCs w:val="20"/>
          <w:color w:val="auto"/>
        </w:rPr>
        <w:tab/>
      </w:r>
      <w:r>
        <w:rPr>
          <w:rFonts w:ascii="Arial" w:cs="Arial" w:eastAsia="Arial" w:hAnsi="Arial"/>
          <w:sz w:val="17"/>
          <w:szCs w:val="17"/>
          <w:color w:val="auto"/>
        </w:rPr>
        <w:t>goodwill impairment assessments. This included testing controls over the estimation process supporting management’s judgment and evaluation of underlying assumptions and estimates with regards to the fair values of each reporting unit.</w:t>
      </w:r>
    </w:p>
    <w:p>
      <w:pPr>
        <w:spacing w:after="0" w:line="175" w:lineRule="exact"/>
        <w:rPr>
          <w:sz w:val="20"/>
          <w:szCs w:val="20"/>
          <w:color w:val="auto"/>
        </w:rPr>
      </w:pPr>
    </w:p>
    <w:p>
      <w:pPr>
        <w:jc w:val="both"/>
        <w:ind w:left="1820"/>
        <w:spacing w:after="0" w:line="252" w:lineRule="auto"/>
        <w:rPr>
          <w:sz w:val="20"/>
          <w:szCs w:val="20"/>
          <w:color w:val="auto"/>
        </w:rPr>
      </w:pPr>
      <w:r>
        <w:rPr>
          <w:rFonts w:ascii="Arial" w:cs="Arial" w:eastAsia="Arial" w:hAnsi="Arial"/>
          <w:sz w:val="17"/>
          <w:szCs w:val="17"/>
          <w:color w:val="auto"/>
        </w:rPr>
        <w:t>To test the estimated fair values of each reporting unit, our audit procedures included, among others, the evaluation of the Company’s valuation methodology and testing of the significant assumptions described above. For example, we compared the significant assumptions to current industry and market trends, analyst reports, historical actuals and annual financial forecasts presented to the Board of Directors. We performed sensitivity analyses of these significant assumptions to evaluate the changes in the fair value that would result from changes in the assumptions. We also evaluated the reconciliation of the estimated aggregate fair value of the reporting units to the market capitalization of the Company. Additionally, we tested the completeness and accuracy of the underlying data supporting the significant assumptions and estimates.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March 1, 2021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Verra Mobility Corporation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have audited Verra Mobility Corporation’s internal control over financial reporting as of December 31, 2020, based on criteria established in Internal Control— Integrated Framework issued by the Committee of Sponsoring Organizations of the Treadway Commission (2013 framework) (the COSO criteria). In our opinion, Verra Mobility Corporation (the Company) maintained, in all material respects, effective internal control over financial reporting as of December 31, 2020, based on the COSO criteria.</w:t>
      </w:r>
    </w:p>
    <w:p>
      <w:pPr>
        <w:spacing w:after="0" w:line="203"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and the related consolidated statements of operations and comprehensive (loss) income, stockholders’ equity, and cash flows for each of the three years in the period ended December 31, 2020, and the related notes and the financial statement schedule listed in the Index at Item 15(a) and our report dated March 1, 2021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1, 2021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4120"/>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53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1"/>
              <w:spacing w:after="0" w:line="158"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1"/>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120,259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5"/>
              </w:rPr>
              <w:t>Accounts receivable (net of allowance for credit loss of $11.5 million and $7.6 million at December</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31, 2020 and 2019,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168,783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328,037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342,139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1,367,325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1,407,426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34,509</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Payable to related party pursuant to tax receivable agreement, current portion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64,040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832,941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Payable to related party pursuant to tax receivable agreement, net of current portion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67,869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Asset retirement obligation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1,020,887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17)</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8"/>
                <w:szCs w:val="18"/>
                <w:color w:val="auto"/>
                <w:w w:val="94"/>
              </w:rPr>
              <w:t>Preferred stock, $.0001 par value, 1,000 shares authorized with no shares issued and outstanding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and 2019</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2"/>
              </w:rPr>
              <w:t>Common stock, $.0001 par value, 260,000 shares authorized with 162,269 and 159,150 shares issued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and outstanding at December 31, 2020 and 2019,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Common stock contingent consideration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(84,359)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(80,220)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346,438</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1,367,325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1,407,426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 INCOME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4"/>
                <w:szCs w:val="14"/>
                <w:b w:val="1"/>
                <w:bCs w:val="1"/>
                <w:color w:val="auto"/>
              </w:rPr>
              <w:t>For the Year Ended 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40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336,274</w:t>
            </w:r>
          </w:p>
        </w:tc>
        <w:tc>
          <w:tcPr>
            <w:tcW w:w="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Product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57,319</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393,593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115,729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125,640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Depreciation, amortization and (gain) loss on disposal of assets,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116,844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355,777</w:t>
            </w:r>
          </w:p>
        </w:tc>
        <w:tc>
          <w:tcPr>
            <w:tcW w:w="3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352,282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37,816</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40,865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receivable agreement liability adjustment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(11,885)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(11,092)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Total other expenses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35,830</w:t>
            </w:r>
          </w:p>
        </w:tc>
        <w:tc>
          <w:tcPr>
            <w:tcW w:w="3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 income tax provision (benefit)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foreign currency translation adjustment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63"/>
        </w:trPr>
        <w:tc>
          <w:tcPr>
            <w:tcW w:w="63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b w:val="1"/>
                <w:bCs w:val="1"/>
                <w:color w:val="auto"/>
              </w:rPr>
              <w:t>Total comprehensive (loss) income</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3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(64,215)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 income per share: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161,632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161,632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Common</w:t>
            </w:r>
          </w:p>
        </w:tc>
        <w:tc>
          <w:tcPr>
            <w:tcW w:w="9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Stock</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Contingent</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740" w:type="dxa"/>
            <w:vAlign w:val="bottom"/>
          </w:tcPr>
          <w:p>
            <w:pPr>
              <w:spacing w:after="0"/>
              <w:rPr>
                <w:sz w:val="12"/>
                <w:szCs w:val="12"/>
                <w:color w:val="auto"/>
              </w:rPr>
            </w:pPr>
          </w:p>
        </w:tc>
        <w:tc>
          <w:tcPr>
            <w:tcW w:w="68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Consideration</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2017</w:t>
            </w: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60,484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129,020</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18,238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(58,394)</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(58,394)</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issued in exchange for business acquisitions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Equity infusion from Gores</w:t>
            </w:r>
          </w:p>
        </w:tc>
        <w:tc>
          <w:tcPr>
            <w:tcW w:w="680" w:type="dxa"/>
            <w:vAlign w:val="bottom"/>
          </w:tcPr>
          <w:p>
            <w:pPr>
              <w:jc w:val="right"/>
              <w:spacing w:after="0"/>
              <w:rPr>
                <w:sz w:val="20"/>
                <w:szCs w:val="20"/>
                <w:color w:val="auto"/>
              </w:rPr>
            </w:pPr>
            <w:r>
              <w:rPr>
                <w:rFonts w:ascii="Arial" w:cs="Arial" w:eastAsia="Arial" w:hAnsi="Arial"/>
                <w:sz w:val="16"/>
                <w:szCs w:val="16"/>
                <w:color w:val="auto"/>
              </w:rPr>
              <w:t>39,675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403,290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403,294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placement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43,478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399,995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Gores Holdings rollover equity</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 contribution from Greenlight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169,259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Return of capital to Greenlight stockholders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(779,270)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(779,270)</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contingent consideration</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73,150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(73,150)</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Tax receivable payable to Greenlight stockholders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(69,996)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(69,996)</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Underwriting fees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(15,345)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(15,345)</w:t>
            </w: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Transaction costs incurred by Gores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(8,728)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(8,728)</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2018</w:t>
            </w: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40" w:type="dxa"/>
            <w:vAlign w:val="bottom"/>
            <w:gridSpan w:val="2"/>
            <w:vMerge w:val="continue"/>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156,057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73,150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348,017</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(113,306)</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(5,821)</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302,056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Cumulative effect of adoption of the new revenue</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accounting standard</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(257)</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Adjustment to equity infusion from Gores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Adjustment to tax receivable agreement liability</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Earn-out shares issued to Platinum Stockholder</w:t>
            </w:r>
          </w:p>
        </w:tc>
        <w:tc>
          <w:tcPr>
            <w:tcW w:w="680" w:type="dxa"/>
            <w:vAlign w:val="bottom"/>
          </w:tcPr>
          <w:p>
            <w:pPr>
              <w:jc w:val="right"/>
              <w:spacing w:after="0"/>
              <w:rPr>
                <w:sz w:val="20"/>
                <w:szCs w:val="20"/>
                <w:color w:val="auto"/>
              </w:rPr>
            </w:pPr>
            <w:r>
              <w:rPr>
                <w:rFonts w:ascii="Arial" w:cs="Arial" w:eastAsia="Arial" w:hAnsi="Arial"/>
                <w:sz w:val="16"/>
                <w:szCs w:val="16"/>
                <w:color w:val="auto"/>
              </w:rPr>
              <w:t>2,500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(18,288)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640" w:type="dxa"/>
            <w:vAlign w:val="bottom"/>
            <w:gridSpan w:val="2"/>
          </w:tcPr>
          <w:p>
            <w:pPr>
              <w:spacing w:after="0"/>
              <w:rPr>
                <w:sz w:val="20"/>
                <w:szCs w:val="20"/>
                <w:color w:val="auto"/>
              </w:rPr>
            </w:pPr>
            <w:r>
              <w:rPr>
                <w:rFonts w:ascii="Arial" w:cs="Arial" w:eastAsia="Arial" w:hAnsi="Arial"/>
                <w:sz w:val="16"/>
                <w:szCs w:val="16"/>
                <w:color w:val="auto"/>
              </w:rPr>
              <w:t>Payment of employee tax withholding related to</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6"/>
                <w:szCs w:val="16"/>
                <w:color w:val="auto"/>
              </w:rPr>
              <w:t>RSUs vesting</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comprehensive income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2019</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54,862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367,266</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(80,220)</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(2,577)</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339,347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(3,445)</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20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Cumulative effect of adoption of the credit loss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accounting standard, net of tax</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(694)</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3"/>
        </w:trPr>
        <w:tc>
          <w:tcPr>
            <w:tcW w:w="3640" w:type="dxa"/>
            <w:vAlign w:val="bottom"/>
            <w:gridSpan w:val="2"/>
          </w:tcPr>
          <w:p>
            <w:pPr>
              <w:spacing w:after="0"/>
              <w:rPr>
                <w:sz w:val="20"/>
                <w:szCs w:val="20"/>
                <w:color w:val="auto"/>
              </w:rPr>
            </w:pPr>
            <w:r>
              <w:rPr>
                <w:rFonts w:ascii="Arial" w:cs="Arial" w:eastAsia="Arial" w:hAnsi="Arial"/>
                <w:sz w:val="16"/>
                <w:szCs w:val="16"/>
                <w:color w:val="auto"/>
              </w:rPr>
              <w:t>Earn-out shares issued to Platinum Stockholder</w:t>
            </w:r>
          </w:p>
        </w:tc>
        <w:tc>
          <w:tcPr>
            <w:tcW w:w="680" w:type="dxa"/>
            <w:vAlign w:val="bottom"/>
          </w:tcPr>
          <w:p>
            <w:pPr>
              <w:jc w:val="right"/>
              <w:spacing w:after="0"/>
              <w:rPr>
                <w:sz w:val="20"/>
                <w:szCs w:val="20"/>
                <w:color w:val="auto"/>
              </w:rPr>
            </w:pPr>
            <w:r>
              <w:rPr>
                <w:rFonts w:ascii="Arial" w:cs="Arial" w:eastAsia="Arial" w:hAnsi="Arial"/>
                <w:sz w:val="16"/>
                <w:szCs w:val="16"/>
                <w:color w:val="auto"/>
              </w:rPr>
              <w:t>2,500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(18,287)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RSUs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640" w:type="dxa"/>
            <w:vAlign w:val="bottom"/>
            <w:gridSpan w:val="2"/>
          </w:tcPr>
          <w:p>
            <w:pPr>
              <w:spacing w:after="0"/>
              <w:rPr>
                <w:sz w:val="20"/>
                <w:szCs w:val="20"/>
                <w:color w:val="auto"/>
              </w:rPr>
            </w:pPr>
            <w:r>
              <w:rPr>
                <w:rFonts w:ascii="Arial" w:cs="Arial" w:eastAsia="Arial" w:hAnsi="Arial"/>
                <w:sz w:val="16"/>
                <w:szCs w:val="16"/>
                <w:color w:val="auto"/>
              </w:rPr>
              <w:t>Payment of employee tax withholding related to</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6"/>
                <w:szCs w:val="16"/>
                <w:color w:val="auto"/>
              </w:rPr>
              <w:t>RSUs vesting</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(4,147)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comprehensive income, net of tax</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2020</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162,269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36,575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393,995</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(84,359)</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gridSpan w:val="2"/>
          </w:tcPr>
          <w:p>
            <w:pPr>
              <w:spacing w:after="0" w:line="142"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in thousands)</w:t>
            </w:r>
          </w:p>
        </w:tc>
        <w:tc>
          <w:tcPr>
            <w:tcW w:w="300" w:type="dxa"/>
            <w:vAlign w:val="bottom"/>
          </w:tcPr>
          <w:p>
            <w:pPr>
              <w:spacing w:after="0"/>
              <w:rPr>
                <w:sz w:val="12"/>
                <w:szCs w:val="12"/>
                <w:color w:val="auto"/>
              </w:rPr>
            </w:pPr>
          </w:p>
        </w:tc>
        <w:tc>
          <w:tcPr>
            <w:tcW w:w="1060" w:type="dxa"/>
            <w:vAlign w:val="bottom"/>
          </w:tcPr>
          <w:p>
            <w:pPr>
              <w:jc w:val="right"/>
              <w:ind w:right="45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CFF0FC"/>
            </w:tcBorders>
            <w:shd w:val="clear" w:color="auto" w:fill="000000"/>
          </w:tcPr>
          <w:p>
            <w:pPr>
              <w:spacing w:after="0" w:line="20" w:lineRule="exact"/>
              <w:rPr>
                <w:sz w:val="1"/>
                <w:szCs w:val="1"/>
                <w:color w:val="auto"/>
              </w:rPr>
            </w:pPr>
          </w:p>
        </w:tc>
        <w:tc>
          <w:tcPr>
            <w:tcW w:w="55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(3,445)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33,343</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(58,394)</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116,570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115,566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Amortization of deferred financing costs and discounts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Impairment of property and equipment</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Tax receivable agreement liability adjustment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Credit loss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(4,746)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(10,894)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(24,435)</w:t>
            </w: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Installation and service parts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Accretion expense</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Loss on disposal of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(90,588)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(12,662)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Unbilled receivables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(6,428)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(6,124)</w:t>
            </w: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(7,150)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(16,867)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(8,194)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(4,281)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46,909</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133,802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46,017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Acquisitions, net of cash and restricted cash acquired</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(25,519)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(536,699)</w:t>
            </w: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Purchases of installation and service parts and property and equipment</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(24,260)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(29,685)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(26,576)</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Cash proceeds from the sale of assets</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(24,153)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(54,973)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(562,857)</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Borrowings on revolver</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Repayment on revolver</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Borrowings of long-term debt</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1,103,800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Repayment of long-term debt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(28,779)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(9,104)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(654,851)</w:t>
            </w: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(31,753)</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Payment of debt extinguishment costs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(12,187)</w:t>
            </w: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Payment of employee tax withholding related to RSUs vesting</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(4,990)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Capitalization from merger with Gores Holdings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Payment of underwriting and transaction costs</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(24,024)</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Capital contribution from Greenlight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Distribution to selling shareholders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(779,270)</w:t>
            </w:r>
          </w:p>
        </w:tc>
        <w:tc>
          <w:tcPr>
            <w:tcW w:w="0" w:type="dxa"/>
            <w:vAlign w:val="bottom"/>
          </w:tcPr>
          <w:p>
            <w:pPr>
              <w:spacing w:after="0"/>
              <w:rPr>
                <w:sz w:val="1"/>
                <w:szCs w:val="1"/>
                <w:color w:val="auto"/>
              </w:rPr>
            </w:pPr>
          </w:p>
        </w:tc>
      </w:tr>
      <w:tr>
        <w:trPr>
          <w:trHeight w:val="20"/>
        </w:trPr>
        <w:tc>
          <w:tcPr>
            <w:tcW w:w="636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36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(34,004)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(14,520)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0"/>
        </w:trPr>
        <w:tc>
          <w:tcPr>
            <w:tcW w:w="636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36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(11,538)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Cash, cash equivalents and restricted cash - beginning of period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132,430</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67,081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cash equivalents and restricted cash - end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120,892</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132,430</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FF0FC"/>
            </w:tcBorders>
          </w:tcPr>
          <w:p>
            <w:pPr>
              <w:spacing w:after="0" w:line="20" w:lineRule="exact"/>
              <w:rPr>
                <w:sz w:val="1"/>
                <w:szCs w:val="1"/>
                <w:color w:val="auto"/>
              </w:rPr>
            </w:pPr>
          </w:p>
        </w:tc>
        <w:tc>
          <w:tcPr>
            <w:tcW w:w="55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204"/>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10"/>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102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35,822</w:t>
            </w:r>
          </w:p>
        </w:tc>
        <w:tc>
          <w:tcPr>
            <w:tcW w:w="3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55,197</w:t>
            </w:r>
          </w:p>
        </w:tc>
        <w:tc>
          <w:tcPr>
            <w:tcW w:w="3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60,441</w:t>
            </w:r>
          </w:p>
        </w:tc>
        <w:tc>
          <w:tcPr>
            <w:tcW w:w="100" w:type="dxa"/>
            <w:vAlign w:val="bottom"/>
          </w:tcPr>
          <w:p>
            <w:pPr>
              <w:spacing w:after="0"/>
              <w:rPr>
                <w:sz w:val="18"/>
                <w:szCs w:val="18"/>
                <w:color w:val="auto"/>
              </w:rPr>
            </w:pPr>
          </w:p>
        </w:tc>
      </w:tr>
      <w:tr>
        <w:trPr>
          <w:trHeight w:val="21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Income taxes paid, net of refunds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12,638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24,357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FF0FC"/>
          </w:tcPr>
          <w:p>
            <w:pPr>
              <w:spacing w:after="0"/>
              <w:rPr>
                <w:sz w:val="19"/>
                <w:szCs w:val="19"/>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Supplemental non-cash investing and financing activities: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Earn-out shares issued to Platinum Stockholder</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18,287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Additions to ARO, property and equipment, and other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r>
      <w:tr>
        <w:trPr>
          <w:trHeight w:val="20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1"/>
              </w:rPr>
              <w:t>Purchases of installation and service parts and property and equipment in accounts payable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 accrued liabilities at year-end</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3,179</w:t>
            </w:r>
          </w:p>
        </w:tc>
        <w:tc>
          <w:tcPr>
            <w:tcW w:w="100" w:type="dxa"/>
            <w:vAlign w:val="bottom"/>
            <w:shd w:val="clear" w:color="auto" w:fill="CFF0FC"/>
          </w:tcPr>
          <w:p>
            <w:pPr>
              <w:spacing w:after="0"/>
              <w:rPr>
                <w:sz w:val="18"/>
                <w:szCs w:val="18"/>
                <w:color w:val="auto"/>
              </w:rPr>
            </w:pP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Tenant improvement allowance included in property and equipment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Gores equity infusion working capital adjustment payable to related party</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Reduction to tax receivable agreement liability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Capital contributions received in Greenlight Acquisition Corporation common stock</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117,555</w:t>
            </w:r>
          </w:p>
        </w:tc>
        <w:tc>
          <w:tcPr>
            <w:tcW w:w="100" w:type="dxa"/>
            <w:vAlign w:val="bottom"/>
            <w:shd w:val="clear" w:color="auto" w:fill="CFF0FC"/>
          </w:tcPr>
          <w:p>
            <w:pPr>
              <w:spacing w:after="0"/>
              <w:rPr>
                <w:sz w:val="19"/>
                <w:szCs w:val="19"/>
                <w:color w:val="auto"/>
              </w:rPr>
            </w:pPr>
          </w:p>
        </w:tc>
      </w:tr>
      <w:tr>
        <w:trPr>
          <w:trHeight w:val="210"/>
        </w:trPr>
        <w:tc>
          <w:tcPr>
            <w:tcW w:w="6140" w:type="dxa"/>
            <w:vAlign w:val="bottom"/>
          </w:tcPr>
          <w:p>
            <w:pPr>
              <w:ind w:left="140"/>
              <w:spacing w:after="0"/>
              <w:rPr>
                <w:sz w:val="20"/>
                <w:szCs w:val="20"/>
                <w:color w:val="auto"/>
              </w:rPr>
            </w:pPr>
            <w:r>
              <w:rPr>
                <w:rFonts w:ascii="Arial" w:cs="Arial" w:eastAsia="Arial" w:hAnsi="Arial"/>
                <w:sz w:val="16"/>
                <w:szCs w:val="16"/>
                <w:color w:val="auto"/>
              </w:rPr>
              <w:t>Tax receivable agreement established upon merger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69,996</w:t>
            </w:r>
          </w:p>
        </w:tc>
        <w:tc>
          <w:tcPr>
            <w:tcW w:w="100" w:type="dxa"/>
            <w:vAlign w:val="bottom"/>
          </w:tcPr>
          <w:p>
            <w:pPr>
              <w:spacing w:after="0"/>
              <w:rPr>
                <w:sz w:val="18"/>
                <w:szCs w:val="18"/>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w:t>
      </w:r>
      <w:r>
        <w:rPr>
          <w:rFonts w:ascii="Arial" w:cs="Arial" w:eastAsia="Arial" w:hAnsi="Arial"/>
          <w:sz w:val="17"/>
          <w:szCs w:val="17"/>
          <w:b w:val="1"/>
          <w:bCs w:val="1"/>
          <w:i w:val="1"/>
          <w:iCs w:val="1"/>
          <w:color w:val="auto"/>
        </w:rPr>
        <w:t>Greenlight</w:t>
      </w:r>
      <w:r>
        <w:rPr>
          <w:rFonts w:ascii="Arial" w:cs="Arial" w:eastAsia="Arial" w:hAnsi="Arial"/>
          <w:sz w:val="17"/>
          <w:szCs w:val="17"/>
          <w:color w:val="auto"/>
        </w:rPr>
        <w:t>”), PE Greenlight Holdings, LLC, AM Merger Sub I, Inc., a direct, wholly-owned subsidiary of Gores and AM Merger Sub II, LLC, a direct, wholly-owned subsidiary of Gores. On October 17, 2018, the transactions contemplated by the Merger Agreement (the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Combination</w:t>
      </w:r>
      <w:r>
        <w:rPr>
          <w:rFonts w:ascii="Arial" w:cs="Arial" w:eastAsia="Arial" w:hAnsi="Arial"/>
          <w:sz w:val="17"/>
          <w:szCs w:val="17"/>
          <w:color w:val="auto"/>
        </w:rPr>
        <w:t>”) were consummated. In connection with the closing of the Business Combination, Gores changed its name to Verra Mobility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result of the Business Combination, Verra Mobility Corporation became the owner, directly or indirectly, of all of the equity interests of Verra Mobility Holdings, LLC and its subsidiaries.</w:t>
      </w:r>
    </w:p>
    <w:p>
      <w:pPr>
        <w:spacing w:after="0" w:line="158"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Verra Mobility offers integrated technology solutions and services to commercial fleets, rental car companies and state and local governments. The Company has customers located throughout the United States, Canada and Europe. The Company is organized into two operating segments: Commercial Services and Government Solutions (see Note 18).</w:t>
      </w:r>
    </w:p>
    <w:p>
      <w:pPr>
        <w:spacing w:after="0" w:line="143"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6"/>
          <w:szCs w:val="16"/>
          <w:b w:val="1"/>
          <w:bCs w:val="1"/>
          <w:i w:val="1"/>
          <w:iCs w:val="1"/>
          <w:color w:val="auto"/>
        </w:rPr>
        <w:t>EPC</w:t>
      </w:r>
      <w:r>
        <w:rPr>
          <w:rFonts w:ascii="Arial" w:cs="Arial" w:eastAsia="Arial" w:hAnsi="Arial"/>
          <w:sz w:val="16"/>
          <w:szCs w:val="16"/>
          <w:color w:val="auto"/>
        </w:rPr>
        <w:t>”) and consumer tolling services through Pagatelia S.L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w:t>
      </w:r>
    </w:p>
    <w:p>
      <w:pPr>
        <w:spacing w:after="0" w:line="126" w:lineRule="exact"/>
        <w:rPr>
          <w:sz w:val="20"/>
          <w:szCs w:val="20"/>
          <w:color w:val="auto"/>
        </w:rPr>
      </w:pPr>
    </w:p>
    <w:p>
      <w:pPr>
        <w:jc w:val="both"/>
        <w:ind w:right="140" w:firstLine="589"/>
        <w:spacing w:after="0" w:line="286" w:lineRule="auto"/>
        <w:rPr>
          <w:sz w:val="20"/>
          <w:szCs w:val="20"/>
          <w:color w:val="auto"/>
        </w:rPr>
      </w:pPr>
      <w:r>
        <w:rPr>
          <w:rFonts w:ascii="Arial" w:cs="Arial" w:eastAsia="Arial" w:hAnsi="Arial"/>
          <w:sz w:val="17"/>
          <w:szCs w:val="17"/>
          <w:color w:val="auto"/>
        </w:rPr>
        <w:t>The Government Solutions segment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269"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the Company prepared in accordance with GAAP. All intercompany balances and transactions have been eliminated in consolidation. In the opinion of the Company’s management, the consolidated financial statements reflect all adjustments, which are normal and recurring in nature, necessary for fair financial statement presentation.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credit loss, valuation allowances on deferred tax assets, asset retirement obligations, contingent consideration and the recognition and measurement of loss contingencies.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ind w:right="200" w:firstLine="589"/>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The Company considers all highly liquid investments purchased with a remaining maturity of three months or less when acquired to be cash equivalents.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40" w:firstLine="589"/>
        <w:spacing w:after="0" w:line="286" w:lineRule="auto"/>
        <w:rPr>
          <w:sz w:val="20"/>
          <w:szCs w:val="20"/>
          <w:color w:val="auto"/>
        </w:rPr>
      </w:pPr>
      <w:r>
        <w:rPr>
          <w:rFonts w:ascii="Arial" w:cs="Arial" w:eastAsia="Arial" w:hAnsi="Arial"/>
          <w:sz w:val="17"/>
          <w:szCs w:val="17"/>
          <w:color w:val="auto"/>
        </w:rPr>
        <w:t>The Company collects citation fees for customers under certain contracts, which it deposits daily into Company bank accounts and transfers to customer-owned bank accounts on a continuous basis. Restricted cash represents customer cash collected but not yet remitted to the customer. Restricted cash is classified as a current asset and the corresponding liability due to customers is classified in current liabilities.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60" w:firstLine="589"/>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and cash equivalents, accounts receivable and unbilled receivables. The Company limits cash and cash equivalents to highly rated financial institutions.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Significant customers are those which represent more than 10% of the Company’s total revenue and accounts receivable. Revenue from one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Government Solutions customers as a percent of total revenue is presented below for the years ended December 31, 2020, 2019 and 2018, respectively:</w:t>
      </w:r>
    </w:p>
    <w:p>
      <w:pPr>
        <w:spacing w:after="0" w:line="306"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City of New York Department of Transportation</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31.3%</w:t>
            </w: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r>
    </w:tbl>
    <w:p>
      <w:pPr>
        <w:spacing w:after="0" w:line="269"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As of December 31, 2020, the City of New York Department of Transportation (“</w:t>
      </w:r>
      <w:r>
        <w:rPr>
          <w:rFonts w:ascii="Arial" w:cs="Arial" w:eastAsia="Arial" w:hAnsi="Arial"/>
          <w:sz w:val="16"/>
          <w:szCs w:val="16"/>
          <w:b w:val="1"/>
          <w:bCs w:val="1"/>
          <w:i w:val="1"/>
          <w:iCs w:val="1"/>
          <w:color w:val="auto"/>
        </w:rPr>
        <w:t>NYCDOT</w:t>
      </w:r>
      <w:r>
        <w:rPr>
          <w:rFonts w:ascii="Arial" w:cs="Arial" w:eastAsia="Arial" w:hAnsi="Arial"/>
          <w:sz w:val="16"/>
          <w:szCs w:val="16"/>
          <w:color w:val="auto"/>
        </w:rPr>
        <w:t>”) represented 58.9% of accounts receivable, net. The Company provides photo enforcement services to NYCDOT under two primary agreements, (i) a legacy contract relating to photo enforcement cameras that were installed prior to fiscal year 2020 (the “</w:t>
      </w:r>
      <w:r>
        <w:rPr>
          <w:rFonts w:ascii="Arial" w:cs="Arial" w:eastAsia="Arial" w:hAnsi="Arial"/>
          <w:sz w:val="16"/>
          <w:szCs w:val="16"/>
          <w:b w:val="1"/>
          <w:bCs w:val="1"/>
          <w:i w:val="1"/>
          <w:iCs w:val="1"/>
          <w:color w:val="auto"/>
        </w:rPr>
        <w:t>Legacy Contract</w:t>
      </w:r>
      <w:r>
        <w:rPr>
          <w:rFonts w:ascii="Arial" w:cs="Arial" w:eastAsia="Arial" w:hAnsi="Arial"/>
          <w:sz w:val="16"/>
          <w:szCs w:val="16"/>
          <w:color w:val="auto"/>
        </w:rPr>
        <w:t>”), and (ii) an emergency contract for the purchase, installation, maintenance and operation of the expanded speed camera program beginning in 2020 (the “</w:t>
      </w:r>
      <w:r>
        <w:rPr>
          <w:rFonts w:ascii="Arial" w:cs="Arial" w:eastAsia="Arial" w:hAnsi="Arial"/>
          <w:sz w:val="16"/>
          <w:szCs w:val="16"/>
          <w:b w:val="1"/>
          <w:bCs w:val="1"/>
          <w:i w:val="1"/>
          <w:iCs w:val="1"/>
          <w:color w:val="auto"/>
        </w:rPr>
        <w:t>Emergency Contract</w:t>
      </w:r>
      <w:r>
        <w:rPr>
          <w:rFonts w:ascii="Arial" w:cs="Arial" w:eastAsia="Arial" w:hAnsi="Arial"/>
          <w:sz w:val="16"/>
          <w:szCs w:val="16"/>
          <w:color w:val="auto"/>
        </w:rPr>
        <w:t>”). At December 31, 2020, the Legacy Contract had an open receivable balance of $28.8 million, of which $20.5 million had aged beyond NYCDOT’s 45-day payment terms. As of December 31, 2020, the Company had invoiced NYCDOT for $52.6 million in product revenue and $17.4 million in service revenue under the Emergency Contract. NYCDOT has not made any payments against the Emergency Contract to date. In late January 2021, we were informed that the City of New York is investigating matters related to our past installation practices, and it is unclear whether this investigation will impact the timing of the payments. There is no material reserve related to these receivables as amounts were deemed collectible based on current conditions and expectations. For additional information on the risks and uncertainties relating to our contracts with NYCDOT, please see the risk factor entitled “</w:t>
      </w:r>
      <w:r>
        <w:rPr>
          <w:rFonts w:ascii="Arial" w:cs="Arial" w:eastAsia="Arial" w:hAnsi="Arial"/>
          <w:sz w:val="16"/>
          <w:szCs w:val="16"/>
          <w:i w:val="1"/>
          <w:iCs w:val="1"/>
          <w:color w:val="auto"/>
        </w:rPr>
        <w:t>The New York City Law Department recently advised us that the</w:t>
      </w:r>
      <w:r>
        <w:rPr>
          <w:rFonts w:ascii="Arial" w:cs="Arial" w:eastAsia="Arial" w:hAnsi="Arial"/>
          <w:sz w:val="16"/>
          <w:szCs w:val="16"/>
          <w:color w:val="auto"/>
        </w:rPr>
        <w:t xml:space="preserve"> </w:t>
      </w:r>
      <w:r>
        <w:rPr>
          <w:rFonts w:ascii="Arial" w:cs="Arial" w:eastAsia="Arial" w:hAnsi="Arial"/>
          <w:sz w:val="16"/>
          <w:szCs w:val="16"/>
          <w:i w:val="1"/>
          <w:iCs w:val="1"/>
          <w:color w:val="auto"/>
        </w:rPr>
        <w:t>City of New York is investigating certain aspects of our installation work for our largest customer, NYCDOT</w:t>
      </w:r>
      <w:r>
        <w:rPr>
          <w:rFonts w:ascii="Arial" w:cs="Arial" w:eastAsia="Arial" w:hAnsi="Arial"/>
          <w:sz w:val="16"/>
          <w:szCs w:val="16"/>
          <w:color w:val="auto"/>
        </w:rPr>
        <w:t>” set forth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39"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Significant customer revenue generated through the Company’s Commercial Services partners as a percent of total revenue is presented below for the years ended December 31, 2020, 2019 and 2018, respectively:</w:t>
      </w:r>
    </w:p>
    <w:p>
      <w:pPr>
        <w:spacing w:after="0" w:line="243"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Hertz Corporation</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12.0%</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18.7%</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Avis Budget Group, Inc.</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9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r>
      <w:tr>
        <w:trPr>
          <w:trHeight w:val="230"/>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Enterprise Holdings, Inc.</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11.3%</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13.5%</w:t>
            </w:r>
          </w:p>
        </w:tc>
        <w:tc>
          <w:tcPr>
            <w:tcW w:w="15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(a)</w:t>
            </w:r>
          </w:p>
        </w:tc>
      </w:tr>
    </w:tbl>
    <w:p>
      <w:pPr>
        <w:spacing w:after="0" w:line="283" w:lineRule="exact"/>
        <w:rPr>
          <w:sz w:val="20"/>
          <w:szCs w:val="20"/>
          <w:color w:val="auto"/>
        </w:rPr>
      </w:pPr>
    </w:p>
    <w:p>
      <w:pPr>
        <w:ind w:left="880" w:right="84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two customers were part of the Company’s 2018 acquisition of Highway Toll Administration, LLC and Canada Highway Toll Administration.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Allowance for Credit Loss</w:t>
      </w:r>
    </w:p>
    <w:p>
      <w:pPr>
        <w:spacing w:after="0" w:line="117"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Accounts receivable and unbilled receivables are uncollateralized customer obligations arising from the sale of products or services. Accounts receivable and unbilled receivables have normal trade terms of less than one year and are initially stated at the amounts billed to the customers and subsequently measured at amortized cost net of allowance for credit loss. Unbilled receivables are recorded when revenues have been earned but have not been included on a customer invoice through the end of the current period. Unbilled receivables generally represents commercial tolls and violations paid by the Company on a behalf of rental car and fleet management customers that will be invoiced in future periods.</w:t>
      </w:r>
    </w:p>
    <w:p>
      <w:pPr>
        <w:spacing w:after="0" w:line="161"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The Company reviews historical loss rates, customer payment trends and collection rates on customer balances in accordance with the new current expected credit losses (“</w:t>
      </w:r>
      <w:r>
        <w:rPr>
          <w:rFonts w:ascii="Arial" w:cs="Arial" w:eastAsia="Arial" w:hAnsi="Arial"/>
          <w:sz w:val="17"/>
          <w:szCs w:val="17"/>
          <w:b w:val="1"/>
          <w:bCs w:val="1"/>
          <w:i w:val="1"/>
          <w:iCs w:val="1"/>
          <w:color w:val="auto"/>
        </w:rPr>
        <w:t>CECL</w:t>
      </w:r>
      <w:r>
        <w:rPr>
          <w:rFonts w:ascii="Arial" w:cs="Arial" w:eastAsia="Arial" w:hAnsi="Arial"/>
          <w:sz w:val="17"/>
          <w:szCs w:val="17"/>
          <w:color w:val="auto"/>
        </w:rPr>
        <w:t>”) standard implemented on January 1, 2020. Estimated loss rates are developed as of the balance sheet date using historical credit loss experience, adjusted for future expectations using probability-weighted assumptions about potential outcomes. Receivables are written off against the allowance for credit loss when it is probable that amounts will not be collected based on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by comparing its actual historical write-offs to its previously recorded estimates, and adjusts appropriately.</w:t>
      </w:r>
    </w:p>
    <w:p>
      <w:pPr>
        <w:spacing w:after="0" w:line="17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Company identified portfolio segments based on the type of business, industry in which the customer operates and historical credit loss patterns. The following presents by portfolio segment accounts receivable, net and the activity in the allowance for credit loss for the year ended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980" w:type="dxa"/>
            <w:vAlign w:val="bottom"/>
            <w:vMerge w:val="restart"/>
          </w:tcPr>
          <w:p>
            <w:pPr>
              <w:spacing w:after="0"/>
              <w:rPr>
                <w:sz w:val="14"/>
                <w:szCs w:val="14"/>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Commercial Services</w:t>
            </w:r>
          </w:p>
        </w:tc>
        <w:tc>
          <w:tcPr>
            <w:tcW w:w="1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Commercial Services</w:t>
            </w:r>
          </w:p>
        </w:tc>
        <w:tc>
          <w:tcPr>
            <w:tcW w:w="16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Government</w:t>
            </w:r>
          </w:p>
        </w:tc>
        <w:tc>
          <w:tcPr>
            <w:tcW w:w="280" w:type="dxa"/>
            <w:vAlign w:val="bottom"/>
          </w:tcPr>
          <w:p>
            <w:pPr>
              <w:spacing w:after="0"/>
              <w:rPr>
                <w:sz w:val="14"/>
                <w:szCs w:val="14"/>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8"/>
              </w:rPr>
              <w:t xml:space="preserve">(Driver-billed) </w:t>
            </w:r>
            <w:r>
              <w:rPr>
                <w:rFonts w:ascii="Arial" w:cs="Arial" w:eastAsia="Arial" w:hAnsi="Arial"/>
                <w:sz w:val="12"/>
                <w:szCs w:val="12"/>
                <w:b w:val="1"/>
                <w:bCs w:val="1"/>
                <w:color w:val="auto"/>
                <w:w w:val="98"/>
              </w:rPr>
              <w:t>(1)</w:t>
            </w:r>
          </w:p>
        </w:tc>
        <w:tc>
          <w:tcPr>
            <w:tcW w:w="240" w:type="dxa"/>
            <w:vAlign w:val="bottom"/>
          </w:tcPr>
          <w:p>
            <w:pPr>
              <w:spacing w:after="0"/>
              <w:rPr>
                <w:sz w:val="15"/>
                <w:szCs w:val="15"/>
                <w:color w:val="auto"/>
              </w:rPr>
            </w:pPr>
          </w:p>
        </w:tc>
        <w:tc>
          <w:tcPr>
            <w:tcW w:w="148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5"/>
                <w:szCs w:val="15"/>
                <w:color w:val="auto"/>
              </w:rPr>
            </w:pPr>
          </w:p>
        </w:tc>
        <w:tc>
          <w:tcPr>
            <w:tcW w:w="13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Solutions</w:t>
            </w:r>
          </w:p>
        </w:tc>
        <w:tc>
          <w:tcPr>
            <w:tcW w:w="2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Accounts receivable, net at January 1, 2020 </w:t>
            </w:r>
            <w:r>
              <w:rPr>
                <w:rFonts w:ascii="Arial" w:cs="Arial" w:eastAsia="Arial" w:hAnsi="Arial"/>
                <w:sz w:val="15"/>
                <w:szCs w:val="15"/>
                <w:color w:val="auto"/>
              </w:rPr>
              <w:t>(2)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9,793</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51,158</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31,744</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92,695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Allowance for credit loss at January 1, 2020 </w:t>
            </w:r>
            <w:r>
              <w:rPr>
                <w:rFonts w:ascii="Arial" w:cs="Arial" w:eastAsia="Arial" w:hAnsi="Arial"/>
                <w:sz w:val="15"/>
                <w:szCs w:val="15"/>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(8,616)</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(2,074)</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(686)</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23"/>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Allowance for credit loss at December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receivable, net at December 31, 2020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109,554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right="160" w:hanging="442"/>
        <w:spacing w:after="0" w:line="263"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183" w:lineRule="exact"/>
        <w:rPr>
          <w:rFonts w:ascii="Arial" w:cs="Arial" w:eastAsia="Arial" w:hAnsi="Arial"/>
          <w:sz w:val="16"/>
          <w:szCs w:val="16"/>
          <w:color w:val="auto"/>
        </w:rPr>
      </w:pPr>
    </w:p>
    <w:p>
      <w:pPr>
        <w:ind w:left="1300" w:hanging="442"/>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This includes a $0.8 million increase to allowance for credit loss as a result of adopting the credit loss standard.</w:t>
      </w:r>
    </w:p>
    <w:p>
      <w:pPr>
        <w:spacing w:after="0" w:line="225"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allowance for credit loss at December 31, 2020 includes $14.4 million of expense for total expected credit losses offset by write-offs, net of recoveries for the fiscal year. The increase in accounts receivable, net in the Government Solutions portfolio segment is due to NYCDOT discussed above, which the Company believes is not at risk of non-payment based on current conditions and expectations. The allowance for doubtful accounts developed under the legacy incurred loss model was $7.6 million as of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Fair value is based on observable inputs such as quoted prices for identical assets or liabilities in active markets.</w:t>
      </w:r>
    </w:p>
    <w:p>
      <w:pPr>
        <w:spacing w:after="0" w:line="117" w:lineRule="exact"/>
        <w:rPr>
          <w:sz w:val="20"/>
          <w:szCs w:val="20"/>
          <w:color w:val="auto"/>
        </w:rPr>
      </w:pPr>
    </w:p>
    <w:p>
      <w:pPr>
        <w:ind w:left="600" w:right="1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markets that are not active or inputs other than quoted prices that are directly or indirectly observable.</w:t>
      </w:r>
    </w:p>
    <w:p>
      <w:pPr>
        <w:spacing w:after="0" w:line="62" w:lineRule="exact"/>
        <w:rPr>
          <w:sz w:val="20"/>
          <w:szCs w:val="20"/>
          <w:color w:val="auto"/>
        </w:rPr>
      </w:pPr>
    </w:p>
    <w:p>
      <w:pPr>
        <w:ind w:left="600" w:right="18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model, discounted cash flow, or similar technique.</w:t>
      </w:r>
    </w:p>
    <w:p>
      <w:pPr>
        <w:spacing w:after="0" w:line="170"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carrying amounts reported in the Company’s consolidated balance sheets for cash, accounts receivable, accounts payable and accrued expenses approximate fair value due to the immediate to short-term maturity of these financial instruments. The estimated fair value of the Company’s New First Lien Term Loan as of December 31, 2020 and 2019 was categorized in Level 2 of the fair value hierarchy and was calculated based upon available market information. The carrying value and fair value of long-term debt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Level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208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56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10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9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55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gridSpan w:val="2"/>
            <w:vMerge w:val="continue"/>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842,045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861,314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866,465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Installation and Service Parts</w:t>
      </w:r>
    </w:p>
    <w:p>
      <w:pPr>
        <w:spacing w:after="0" w:line="117"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Installation and service parts consist of components used in the construction and maintenance of our photo enforcement systems. Installation and service parts are stated at cost and are reclassified to property and equipment upon initiation of construction. Installation and service parts used in repairs and maintenance are recorded in operating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All repairs and maintenance costs are expensed as incurred. Depreciation is recorded on a straight-line basis over the estimated useful lives of the related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Building</w:t>
            </w:r>
          </w:p>
        </w:tc>
        <w:tc>
          <w:tcPr>
            <w:tcW w:w="6500" w:type="dxa"/>
            <w:vAlign w:val="bottom"/>
            <w:shd w:val="clear" w:color="auto" w:fill="CFF0FC"/>
          </w:tcPr>
          <w:p>
            <w:pPr>
              <w:ind w:left="2060"/>
              <w:spacing w:after="0"/>
              <w:rPr>
                <w:sz w:val="20"/>
                <w:szCs w:val="20"/>
                <w:color w:val="auto"/>
              </w:rPr>
            </w:pPr>
            <w:r>
              <w:rPr>
                <w:rFonts w:ascii="Arial" w:cs="Arial" w:eastAsia="Arial" w:hAnsi="Arial"/>
                <w:sz w:val="18"/>
                <w:szCs w:val="18"/>
                <w:color w:val="auto"/>
              </w:rPr>
              <w:t>39 years</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Equipment installed at customer sites</w:t>
            </w:r>
          </w:p>
        </w:tc>
        <w:tc>
          <w:tcPr>
            <w:tcW w:w="6500" w:type="dxa"/>
            <w:vAlign w:val="bottom"/>
          </w:tcPr>
          <w:p>
            <w:pPr>
              <w:ind w:left="2060"/>
              <w:spacing w:after="0"/>
              <w:rPr>
                <w:sz w:val="20"/>
                <w:szCs w:val="20"/>
                <w:color w:val="auto"/>
              </w:rPr>
            </w:pPr>
            <w:r>
              <w:rPr>
                <w:rFonts w:ascii="Arial" w:cs="Arial" w:eastAsia="Arial" w:hAnsi="Arial"/>
                <w:sz w:val="18"/>
                <w:szCs w:val="18"/>
                <w:color w:val="auto"/>
              </w:rPr>
              <w:t>3-7 years</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6500" w:type="dxa"/>
            <w:vAlign w:val="bottom"/>
            <w:shd w:val="clear" w:color="auto" w:fill="CFF0FC"/>
          </w:tcPr>
          <w:p>
            <w:pPr>
              <w:ind w:left="2060"/>
              <w:spacing w:after="0"/>
              <w:rPr>
                <w:sz w:val="20"/>
                <w:szCs w:val="20"/>
                <w:color w:val="auto"/>
              </w:rPr>
            </w:pPr>
            <w:r>
              <w:rPr>
                <w:rFonts w:ascii="Arial" w:cs="Arial" w:eastAsia="Arial" w:hAnsi="Arial"/>
                <w:sz w:val="18"/>
                <w:szCs w:val="18"/>
                <w:color w:val="auto"/>
              </w:rPr>
              <w:t>3-5 years</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Furniture</w:t>
            </w:r>
          </w:p>
        </w:tc>
        <w:tc>
          <w:tcPr>
            <w:tcW w:w="6500" w:type="dxa"/>
            <w:vAlign w:val="bottom"/>
          </w:tcPr>
          <w:p>
            <w:pPr>
              <w:ind w:left="2060"/>
              <w:spacing w:after="0"/>
              <w:rPr>
                <w:sz w:val="20"/>
                <w:szCs w:val="20"/>
                <w:color w:val="auto"/>
              </w:rPr>
            </w:pPr>
            <w:r>
              <w:rPr>
                <w:rFonts w:ascii="Arial" w:cs="Arial" w:eastAsia="Arial" w:hAnsi="Arial"/>
                <w:sz w:val="18"/>
                <w:szCs w:val="18"/>
                <w:color w:val="auto"/>
              </w:rPr>
              <w:t>5-10 years</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Automobiles</w:t>
            </w:r>
          </w:p>
        </w:tc>
        <w:tc>
          <w:tcPr>
            <w:tcW w:w="6500" w:type="dxa"/>
            <w:vAlign w:val="bottom"/>
            <w:shd w:val="clear" w:color="auto" w:fill="CFF0FC"/>
          </w:tcPr>
          <w:p>
            <w:pPr>
              <w:ind w:left="2060"/>
              <w:spacing w:after="0"/>
              <w:rPr>
                <w:sz w:val="20"/>
                <w:szCs w:val="20"/>
                <w:color w:val="auto"/>
              </w:rPr>
            </w:pPr>
            <w:r>
              <w:rPr>
                <w:rFonts w:ascii="Arial" w:cs="Arial" w:eastAsia="Arial" w:hAnsi="Arial"/>
                <w:sz w:val="18"/>
                <w:szCs w:val="18"/>
                <w:color w:val="auto"/>
              </w:rPr>
              <w:t>5-6 years</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Software</w:t>
            </w:r>
          </w:p>
        </w:tc>
        <w:tc>
          <w:tcPr>
            <w:tcW w:w="6500" w:type="dxa"/>
            <w:vAlign w:val="bottom"/>
          </w:tcPr>
          <w:p>
            <w:pPr>
              <w:ind w:left="2060"/>
              <w:spacing w:after="0"/>
              <w:rPr>
                <w:sz w:val="20"/>
                <w:szCs w:val="20"/>
                <w:color w:val="auto"/>
              </w:rPr>
            </w:pPr>
            <w:r>
              <w:rPr>
                <w:rFonts w:ascii="Arial" w:cs="Arial" w:eastAsia="Arial" w:hAnsi="Arial"/>
                <w:sz w:val="18"/>
                <w:szCs w:val="18"/>
                <w:color w:val="auto"/>
              </w:rPr>
              <w:t>3-5 years</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500" w:type="dxa"/>
            <w:vAlign w:val="bottom"/>
            <w:shd w:val="clear" w:color="auto" w:fill="CFF0FC"/>
          </w:tcPr>
          <w:p>
            <w:pPr>
              <w:ind w:left="2060"/>
              <w:spacing w:after="0"/>
              <w:rPr>
                <w:sz w:val="20"/>
                <w:szCs w:val="20"/>
                <w:color w:val="auto"/>
              </w:rPr>
            </w:pPr>
            <w:r>
              <w:rPr>
                <w:rFonts w:ascii="Arial" w:cs="Arial" w:eastAsia="Arial" w:hAnsi="Arial"/>
                <w:sz w:val="18"/>
                <w:szCs w:val="18"/>
                <w:color w:val="auto"/>
              </w:rPr>
              <w:t>Shorter of lease term or estimated useful life</w:t>
            </w:r>
          </w:p>
        </w:tc>
      </w:tr>
    </w:tbl>
    <w:p>
      <w:pPr>
        <w:spacing w:after="0" w:line="229"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Equipment installed at customer sites includes certain installation costs that qualify for capitalization. Software costs include certain internal and external costs associated with the development of software that are incurred during the application development stage. In addition, a modification or upgrade to existing software is capitalized only to the extent it results in additional functionality to existing software. Software maintenance and training costs are expensed as incurred. The Company capitalized internally developed software costs of $5.1 million, $2.1 million and $2.2 million during fiscal years 2020, 2019, and 2018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Goodwill represents the excess of the purchase price over the estimated fair value of net tangible and identifiable intangible assets acquired in business combinations. Goodwill is assessed for impairment at least annually at the reporting unit level or more frequently if events or changes in circumstances indicate the carrying value may not be recoverable. If, based on a qualitative analysis, it is determined more-likely-than-not that the fair value of the reporting unit is less than its carrying amount, a one-step quantitative impairment test is performed in accordance with ASU 2017-04. Application of the goodwill impairment test requires judgment, including the identification of reporting units, the assignment of assets (including goodwill) to those reporting units and the determination of the fair value of each reporting unit. The date of the Company’s annual impairment analysis is October 1. As described in Note 18, the Company has two operating segments, which are also the Company’s reporting units.</w:t>
      </w:r>
    </w:p>
    <w:p>
      <w:pPr>
        <w:spacing w:after="0" w:line="13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 xml:space="preserve">We adopted ASU 2017-04 as of January 1, 2020 as discussed in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below, and followed the one-step quantitative method in evaluating potential goodwill impairment for the first and second quarters of fiscal year 2020 and concluded that there was no impairment. Refer to Note 6, </w:t>
      </w:r>
      <w:r>
        <w:rPr>
          <w:rFonts w:ascii="Arial" w:cs="Arial" w:eastAsia="Arial" w:hAnsi="Arial"/>
          <w:sz w:val="18"/>
          <w:szCs w:val="18"/>
          <w:i w:val="1"/>
          <w:iCs w:val="1"/>
          <w:color w:val="auto"/>
        </w:rPr>
        <w:t>Goodwill and Intangibles Assets</w:t>
      </w:r>
      <w:r>
        <w:rPr>
          <w:rFonts w:ascii="Arial" w:cs="Arial" w:eastAsia="Arial" w:hAnsi="Arial"/>
          <w:sz w:val="18"/>
          <w:szCs w:val="18"/>
          <w:color w:val="auto"/>
        </w:rPr>
        <w:t xml:space="preserve"> for more information. In addition, our annual qualitative analysis did not indicate any impairment as of the fiscal years ended December 31, 2020, 2019 and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Intangible assets represent existing customer relationships, trademarks, developed technology and non-compete agreements. Intangible assets are amortized over their respective estimated useful lives on a straight-line basis, which approximates the utilization of their expected future benefits. Amortization of intangible assets is included in depreciation, amortization and (gain) loss on disposal of assets, net in the consolidated statements of operations.</w:t>
      </w:r>
    </w:p>
    <w:p>
      <w:pPr>
        <w:spacing w:after="0" w:line="187" w:lineRule="exact"/>
        <w:rPr>
          <w:sz w:val="20"/>
          <w:szCs w:val="20"/>
          <w:color w:val="auto"/>
        </w:rPr>
      </w:pPr>
    </w:p>
    <w:p>
      <w:pPr>
        <w:ind w:right="880" w:firstLine="589"/>
        <w:spacing w:after="0" w:line="277" w:lineRule="auto"/>
        <w:rPr>
          <w:sz w:val="20"/>
          <w:szCs w:val="20"/>
          <w:color w:val="auto"/>
        </w:rPr>
      </w:pPr>
      <w:r>
        <w:rPr>
          <w:rFonts w:ascii="Arial" w:cs="Arial" w:eastAsia="Arial" w:hAnsi="Arial"/>
          <w:sz w:val="18"/>
          <w:szCs w:val="18"/>
          <w:color w:val="auto"/>
        </w:rPr>
        <w:t>The Company annually evaluates the estimated remaining useful lives of its intangible assets to determine whether events or changes in circumstances warrant a revision to the remaining period of amortization.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 reviews its long-lived assets (including intangible assets with finite useful lives and installation and service parts) for impairment whenever events or circumstances indicate that the carrying amount of an asset or an asset group may not be fully recoverable. The Company assesses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w:t>
      </w:r>
    </w:p>
    <w:p>
      <w:pPr>
        <w:spacing w:after="0" w:line="188" w:lineRule="exact"/>
        <w:rPr>
          <w:sz w:val="20"/>
          <w:szCs w:val="20"/>
          <w:color w:val="auto"/>
        </w:rPr>
      </w:pPr>
    </w:p>
    <w:p>
      <w:pPr>
        <w:ind w:right="260" w:firstLine="589"/>
        <w:spacing w:after="0" w:line="296" w:lineRule="auto"/>
        <w:rPr>
          <w:sz w:val="20"/>
          <w:szCs w:val="20"/>
          <w:color w:val="auto"/>
        </w:rPr>
      </w:pPr>
      <w:r>
        <w:rPr>
          <w:rFonts w:ascii="Arial" w:cs="Arial" w:eastAsia="Arial" w:hAnsi="Arial"/>
          <w:sz w:val="16"/>
          <w:szCs w:val="16"/>
          <w:color w:val="auto"/>
        </w:rPr>
        <w:t>The state of Texas passed legislation as of June 1, 2019 to ban red-light photo enforcement programs across the state, with certain carve-outs for some existing programs. The Company considered this a triggering event for potential impairment and evaluated the recoverability of property and equipment used in the operations of red-light photo enforcement programs in Texas. As a result, the Company recognized an impairment charge in the Government Solutions segment of $5.9 million for fiscal year 2019, which is included in impairment of property and equipment in the consolidated statements of operations. We did not have impairment losses on long-lived assets for the years ended December 31, 2020 or December 31,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The Company is self-insured for medical costs and has stop-loss insurance policies to limit its exposure to individual and aggregate claims made. Liabilities for these programs are estimated based on outstanding claims and claims estimated to be incurred but not yet reported using historical loss experience. These estimates are subject to variability due to changes in trends of losses for outstanding claims and incurred but not reported claims, including external factors such as the number, and cost of, claims, benefit level changes and claim settlement patterns.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The Company records obligations to perform certain retirement activities on camera and speed enforcement systems in the period that the related assets are placed in service. Asset retirement obligations are contractual obligations to restore property to its initial state. These obligations, which are initially estimated based on discounted cash flow estimates, are accreted to full value over time through charges to operating expenses in the consolidated statements of operations. The associated asset retirement obligation is capitalized as part of the related asset’s carrying value and is depreciated over the asset’s estimated remaining useful life.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Deferred financing costs consist of the costs incurred to obtain long-term financing, including the Company’s credit facilities (See Note 9). These costs, which are a reduction to long-term debt on the consolidated balance sheets, are amortized over the term of the related debt, using the effective interest method for term debt and the straight-line method for revolving credit facilities. Amortization of deferred financing costs for fiscal years 2020, 2019 and 2018 was $5.4 million, $6.6 million, and $9.2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589"/>
        <w:spacing w:after="0" w:line="269" w:lineRule="auto"/>
        <w:rPr>
          <w:sz w:val="20"/>
          <w:szCs w:val="20"/>
          <w:color w:val="auto"/>
        </w:rPr>
      </w:pPr>
      <w:r>
        <w:rPr>
          <w:rFonts w:ascii="Arial" w:cs="Arial" w:eastAsia="Arial" w:hAnsi="Arial"/>
          <w:sz w:val="17"/>
          <w:szCs w:val="17"/>
          <w:color w:val="auto"/>
        </w:rPr>
        <w:t>The Company accounts for income taxes under the asset and liability method. This approach requires the recognition of deferred tax assets and liabilities for the expected future tax consequences of differences between the tax basis of assets or liabilities and their carrying amounts in the financial statements. Deferred tax assets generally represent items that can be used as a tax deduction or credit in tax return in future years, while deferred tax liabilities generally represent items that generate a future tax liability for items where deductions have been accelerated for tax purposes. The Company provides a valuation allowance for deferred tax assets if it is more likely than not that some portion or all of the tax assets will not be realized.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and tax planning alternatives and strategies that may be available.</w:t>
      </w:r>
    </w:p>
    <w:p>
      <w:pPr>
        <w:spacing w:after="0" w:line="18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Company’s effective tax rate is based on income, statutory tax rates, differences in the deductibility of certain expenses and inclusion of certain income items between financial statement and tax return purposes, and tax planning opportunities available to it in the various jurisdictions in which it operates. Under GAAP, if the Company determines that a tax position is more likely than not of being sustained upon audit, based solely on the technical merits of the position, the Company recognizes the benefit. Tax code and regulations require certain items to be included in the tax return at different times than when those items are required to be recorded in the consolidated financial statements. As a result, the effective tax rate reflected in its consolidated financial statements is different from that reported in its tax returns. Some of these differences are permanent, such as meals and entertainment expenses that are not fully deductible on the Company’s tax returns, and some are temporary differences, such as depreciation expense. Temporary differences create deferred tax assets and liabilities.</w:t>
      </w:r>
    </w:p>
    <w:p>
      <w:pPr>
        <w:spacing w:after="0" w:line="178"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The Company recognizes benefits on uncertain tax positions if it is more likely than not that such positions will be sustained upon examination based solely on their technical merits. The Company’s policy is to recognize interest and penalties related to the underpayment of income taxes as a component of income tax expense or benefit.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In October 2018, the Company established the Verra Mobility 2018 Equity Incentive Plan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 which provides for a variety of stock-based awards for issuance to employees and directors. We have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stock options and performance share units (“</w:t>
      </w:r>
      <w:r>
        <w:rPr>
          <w:rFonts w:ascii="Arial" w:cs="Arial" w:eastAsia="Arial" w:hAnsi="Arial"/>
          <w:sz w:val="18"/>
          <w:szCs w:val="18"/>
          <w:b w:val="1"/>
          <w:bCs w:val="1"/>
          <w:i w:val="1"/>
          <w:iCs w:val="1"/>
          <w:color w:val="auto"/>
        </w:rPr>
        <w:t>PSUs</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right="20" w:firstLine="589"/>
        <w:spacing w:after="0" w:line="269" w:lineRule="auto"/>
        <w:rPr>
          <w:sz w:val="20"/>
          <w:szCs w:val="20"/>
          <w:color w:val="auto"/>
        </w:rPr>
      </w:pPr>
      <w:r>
        <w:rPr>
          <w:rFonts w:ascii="Arial" w:cs="Arial" w:eastAsia="Arial" w:hAnsi="Arial"/>
          <w:sz w:val="17"/>
          <w:szCs w:val="17"/>
          <w:color w:val="auto"/>
        </w:rPr>
        <w:t>The Company recognizes the fair value of RSUs based on the Company’s common stock price at market close on the date of the grant. The Company uses the Black-Scholes model to determine the fair value of stock options, and uses the Monte Carlo simulation model to determine the fair value of PSUs containing market conditions. The Black-Scholes model requires an assumption regarding the expected life of the stock option, which the Company estimated to be 6.25 years by applying the short-cut method permitted under SEC Staff Accounting Bulletin No. 110. The expected term of the PSUs granted in 2020 was three years, which matches the awards’ performance period. RSUs and stock options vest based on the continued service of the recipient. PSUs are issued upon continued service along with the relative satisfaction of a market condition that measures the Company’s total stockholder return relative to a comparably calculated return for a peer group during the performance period. In addition, the Black-Scholes and the Monte Carlo models require assumptions to be made regarding the expected volatility of the Company’s stock price. Stock price volatility is determined by averaging an implied volatility with a measure of historical volatility. Stock options granted in 2020 had an expected volatility that ranged from approximately 30% to 60% and the risk-free rate ranged from approximately 0.40% to 0.70%. The expected volatility of PSUs granted in 2020 was approximately 35% and the risk-free rate used was approximately 0.60%.</w:t>
      </w:r>
    </w:p>
    <w:p>
      <w:pPr>
        <w:spacing w:after="0" w:line="182" w:lineRule="exact"/>
        <w:rPr>
          <w:sz w:val="20"/>
          <w:szCs w:val="20"/>
          <w:color w:val="auto"/>
        </w:rPr>
      </w:pPr>
    </w:p>
    <w:p>
      <w:pPr>
        <w:ind w:right="240" w:firstLine="589"/>
        <w:spacing w:after="0" w:line="301" w:lineRule="auto"/>
        <w:rPr>
          <w:sz w:val="20"/>
          <w:szCs w:val="20"/>
          <w:color w:val="auto"/>
        </w:rPr>
      </w:pPr>
      <w:r>
        <w:rPr>
          <w:rFonts w:ascii="Arial" w:cs="Arial" w:eastAsia="Arial" w:hAnsi="Arial"/>
          <w:sz w:val="16"/>
          <w:szCs w:val="16"/>
          <w:color w:val="auto"/>
        </w:rPr>
        <w:t xml:space="preserve">Stock-based compensation expense for share-based awards is determined based on the grant date fair value. The Company recognizes these compensation costs on a straight-line basis over the requisite service period of the award, which is generally the vesting term of the share based payment award. The compensation expense for the PSUs is recognized over the requisite service period regardless of whether the market condition is satisfied. Forfeitures are accounted for as they occur. See Note 14, </w:t>
      </w:r>
      <w:r>
        <w:rPr>
          <w:rFonts w:ascii="Arial" w:cs="Arial" w:eastAsia="Arial" w:hAnsi="Arial"/>
          <w:sz w:val="16"/>
          <w:szCs w:val="16"/>
          <w:i w:val="1"/>
          <w:iCs w:val="1"/>
          <w:color w:val="auto"/>
        </w:rPr>
        <w:t>Equity Incentive Plan</w:t>
      </w:r>
      <w:r>
        <w:rPr>
          <w:rFonts w:ascii="Arial" w:cs="Arial" w:eastAsia="Arial" w:hAnsi="Arial"/>
          <w:sz w:val="16"/>
          <w:szCs w:val="16"/>
          <w:color w:val="auto"/>
        </w:rPr>
        <w:t>, for more information on the Company’s share-based awards</w:t>
      </w:r>
      <w:r>
        <w:rPr>
          <w:rFonts w:ascii="Arial" w:cs="Arial" w:eastAsia="Arial" w:hAnsi="Arial"/>
          <w:sz w:val="14"/>
          <w:szCs w:val="14"/>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is a description of principal activities – separated by reportable segments – from which the Company generates revenue:</w:t>
      </w:r>
    </w:p>
    <w:p>
      <w:pPr>
        <w:spacing w:after="0" w:line="129" w:lineRule="exact"/>
        <w:rPr>
          <w:sz w:val="20"/>
          <w:szCs w:val="20"/>
          <w:color w:val="auto"/>
        </w:rPr>
      </w:pPr>
    </w:p>
    <w:p>
      <w:pPr>
        <w:ind w:left="1160" w:right="300" w:hanging="572"/>
        <w:spacing w:after="0" w:line="296"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Commercial Services: This segment offers toll and violation management solutions for the commercial fleet and rental car industries by partnering with the leading fleet management and rental car companies in North America.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Payment terms for contracts with commercial fleet and rental car companies vary, but are usually billed as services are performed.</w:t>
      </w:r>
    </w:p>
    <w:p>
      <w:pPr>
        <w:spacing w:after="0" w:line="53" w:lineRule="exact"/>
        <w:rPr>
          <w:rFonts w:ascii="Arial" w:cs="Arial" w:eastAsia="Arial" w:hAnsi="Arial"/>
          <w:sz w:val="16"/>
          <w:szCs w:val="16"/>
          <w:color w:val="auto"/>
        </w:rPr>
      </w:pPr>
    </w:p>
    <w:p>
      <w:pPr>
        <w:ind w:left="1160" w:hanging="572"/>
        <w:spacing w:after="0" w:line="296"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Government Solutions: This segment principally generates revenue from providing complete, end-to-end red-light, speed, school bus stop arm, and bus lane enforcement solutions. Products, when sold, are typically sold together with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61" w:lineRule="exact"/>
        <w:rPr>
          <w:rFonts w:ascii="Arial" w:cs="Arial" w:eastAsia="Arial" w:hAnsi="Arial"/>
          <w:sz w:val="16"/>
          <w:szCs w:val="16"/>
          <w:color w:val="auto"/>
        </w:rPr>
      </w:pPr>
    </w:p>
    <w:p>
      <w:pPr>
        <w:ind w:left="1180" w:right="480"/>
        <w:spacing w:after="0" w:line="301" w:lineRule="auto"/>
        <w:rPr>
          <w:rFonts w:ascii="Arial" w:cs="Arial" w:eastAsia="Arial" w:hAnsi="Arial"/>
          <w:sz w:val="16"/>
          <w:szCs w:val="16"/>
          <w:color w:val="auto"/>
        </w:rPr>
      </w:pPr>
      <w:r>
        <w:rPr>
          <w:rFonts w:ascii="Arial" w:cs="Arial" w:eastAsia="Arial" w:hAnsi="Arial"/>
          <w:sz w:val="16"/>
          <w:szCs w:val="16"/>
          <w:color w:val="auto"/>
        </w:rPr>
        <w:t>For bundled packages,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6"/>
          <w:szCs w:val="16"/>
          <w:b w:val="1"/>
          <w:bCs w:val="1"/>
          <w:i w:val="1"/>
          <w:iCs w:val="1"/>
          <w:color w:val="auto"/>
        </w:rPr>
        <w:t>SSP</w:t>
      </w:r>
      <w:r>
        <w:rPr>
          <w:rFonts w:ascii="Arial" w:cs="Arial" w:eastAsia="Arial" w:hAnsi="Arial"/>
          <w:sz w:val="16"/>
          <w:szCs w:val="16"/>
          <w:color w:val="auto"/>
        </w:rPr>
        <w:t>”). The Company estimates the SSP of its services based upon observable evidence, market conditions and other relevant inputs.</w:t>
      </w:r>
    </w:p>
    <w:p>
      <w:pPr>
        <w:spacing w:after="0" w:line="49" w:lineRule="exact"/>
        <w:rPr>
          <w:sz w:val="20"/>
          <w:szCs w:val="20"/>
          <w:color w:val="auto"/>
        </w:rPr>
      </w:pPr>
    </w:p>
    <w:p>
      <w:pPr>
        <w:ind w:left="2160" w:right="60" w:hanging="438"/>
        <w:spacing w:after="0" w:line="300" w:lineRule="auto"/>
        <w:tabs>
          <w:tab w:leader="none" w:pos="2160" w:val="left"/>
        </w:tabs>
        <w:numPr>
          <w:ilvl w:val="0"/>
          <w:numId w:val="34"/>
        </w:numPr>
        <w:rPr>
          <w:rFonts w:ascii="Courier New" w:cs="Courier New" w:eastAsia="Courier New" w:hAnsi="Courier New"/>
          <w:sz w:val="16"/>
          <w:szCs w:val="16"/>
          <w:color w:val="auto"/>
        </w:rPr>
      </w:pPr>
      <w:r>
        <w:rPr>
          <w:rFonts w:ascii="Arial" w:cs="Arial" w:eastAsia="Arial" w:hAnsi="Arial"/>
          <w:sz w:val="16"/>
          <w:szCs w:val="16"/>
          <w:color w:val="auto"/>
        </w:rPr>
        <w:t>Product sales (sale of camera and installation) – The Company recognizes revenue when the installation process is completed and the camera is ready to perform the services as expected by the customer. Generally, it occurs at site acceptance or first citation. The Company recognizes revenue for the sale of the camera and installation services at a point in time.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left="2160" w:right="120" w:hanging="438"/>
        <w:spacing w:after="0" w:line="267" w:lineRule="auto"/>
        <w:tabs>
          <w:tab w:leader="none" w:pos="2160" w:val="left"/>
        </w:tabs>
        <w:numPr>
          <w:ilvl w:val="0"/>
          <w:numId w:val="35"/>
        </w:numPr>
        <w:rPr>
          <w:rFonts w:ascii="Courier New" w:cs="Courier New" w:eastAsia="Courier New" w:hAnsi="Courier New"/>
          <w:sz w:val="17"/>
          <w:szCs w:val="17"/>
          <w:color w:val="auto"/>
        </w:rPr>
      </w:pPr>
      <w:r>
        <w:rPr>
          <w:rFonts w:ascii="Arial" w:cs="Arial" w:eastAsia="Arial" w:hAnsi="Arial"/>
          <w:sz w:val="17"/>
          <w:szCs w:val="17"/>
          <w:color w:val="auto"/>
        </w:rPr>
        <w:t>Service revenue – The Company determined its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The Company determined that certain of the promises to its customers are capable of being distinct, as they may provide some measure of benefit to the customer either on their own or together with other resources that are readily available to the customer. However, the Company determined that the promises to its customers do not meet the criterion of being distinct 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our customer. Further, the Company accounts for all the services as a single continuous service. The Company applies the series guidance for those services as it stands ready to deliver those services over the contract period. The Company recognizes revenue from services over time, as they are performed.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As of December 31, 2020, the Company had approximately $0.2 million of remaining performance obligations in the Government Solutions segment, which include amounts that will be invoiced and recognized in future periods. The remaining performance obligations are limited only to arrangements that meet the definition of a contract under ASC 606 as of December 31, 2020. As these amounts relate to the initial deferral of revenue under a contract, the Company expects to recognize these amounts over a two month period at the end of the contract.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Judgments are required in order to estimate transaction prices. Additional judgments are required for identifying the performance obligations and determining whether the services provided are able to be distinct, determining the transaction price as it relates to the different variable consideration structures identified in our contracts, the estimation of the SSP and the allocation of the transaction price by relative SSPs. Assumptions regarding timing of when control transfers to the customer also requires judgment in order to recognize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Rebates</w:t>
      </w:r>
    </w:p>
    <w:p>
      <w:pPr>
        <w:spacing w:after="0" w:line="117" w:lineRule="exact"/>
        <w:rPr>
          <w:sz w:val="20"/>
          <w:szCs w:val="20"/>
          <w:color w:val="auto"/>
        </w:rPr>
      </w:pPr>
    </w:p>
    <w:p>
      <w:pPr>
        <w:ind w:right="500" w:firstLine="589"/>
        <w:spacing w:after="0" w:line="263" w:lineRule="auto"/>
        <w:rPr>
          <w:sz w:val="20"/>
          <w:szCs w:val="20"/>
          <w:color w:val="auto"/>
        </w:rPr>
      </w:pPr>
      <w:r>
        <w:rPr>
          <w:rFonts w:ascii="Arial" w:cs="Arial" w:eastAsia="Arial" w:hAnsi="Arial"/>
          <w:sz w:val="18"/>
          <w:szCs w:val="18"/>
          <w:color w:val="auto"/>
        </w:rPr>
        <w:t>The Company earns volume rebates from total spend on purchasing cards and recognizes the income in other income, net in the consolidated statements of operations. For the fiscal years ended December 31, 2020, 2019 and 2018, the Company recorded $8.5 million, $11.8 million, and $8.9 million respectively, related to rebates.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The Company expenses advertising costs as incurred. Advertising costs for the fiscal years ended December 31, 2020, 2019 and 2018, were $0.8 million, $2.3 million, $1.4 million, respectively and were included in selling, general, and administrative expenses in the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480" w:firstLine="589"/>
        <w:spacing w:after="0" w:line="263" w:lineRule="auto"/>
        <w:rPr>
          <w:sz w:val="20"/>
          <w:szCs w:val="20"/>
          <w:color w:val="auto"/>
        </w:rPr>
      </w:pPr>
      <w:r>
        <w:rPr>
          <w:rFonts w:ascii="Arial" w:cs="Arial" w:eastAsia="Arial" w:hAnsi="Arial"/>
          <w:sz w:val="18"/>
          <w:szCs w:val="18"/>
          <w:color w:val="auto"/>
        </w:rPr>
        <w:t>The assets and liabilities of our foreign subsidiaries whose functional currency is not the U.S. dollar are translated into U.S. dollars at current exchange rates while revenue and expenses are translated from functional currencies at average monthly exchange rates. The resulting translation adjustments are recorded in accumulated other comprehensive income (loss) in stockholders’ equity.</w:t>
      </w:r>
    </w:p>
    <w:p>
      <w:pPr>
        <w:spacing w:after="0" w:line="184"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Certain assets and liabilities denominated in foreign currencies that differ from their functional currencies are re-measured at the exchange rate on the balance sheet date. The foreign currency effect of the re-measurement of these assets and liabilities is included in other income, net in the consolidated statements of operations. The impact of foreign currency re-measurements was gains (losses) of $0.4 million, $(0.6) million and $(0.1) million for the fiscal years ended December 31, 2020, 2019 and 2018,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The Company applies the asset acquisition method to account for business acquisitions. The Company allocates the fair value of the purchase price consideration to assets acquired and liabilities assumed based on their estimated fair values. The excess of the purchase consideration over the fair value of the identifiable assets and liabilities is recorded as goodwill.</w:t>
      </w:r>
    </w:p>
    <w:p>
      <w:pPr>
        <w:spacing w:after="0" w:line="184"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The determination and allocation of fair values to the identifiable assets acquired and liabilities assumed is based on various assumptions and valuation methodologies requiring considerable management judgment, and includes the use of independent valuation specialists to assist the Company in estimating fair values of acquired tangible and intangible assets. Although the Company believes that the assumptions applied in the determination are reasonable based on information available at the date of acquisition, actual results may differ from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The Company determined it has two operating and reportable segments (Commercial Services and Government Solutions) for which discrete financial information is available and is regularly reviewed by the Company’s chief operating decision maker function (“</w:t>
      </w:r>
      <w:r>
        <w:rPr>
          <w:rFonts w:ascii="Arial" w:cs="Arial" w:eastAsia="Arial" w:hAnsi="Arial"/>
          <w:sz w:val="17"/>
          <w:szCs w:val="17"/>
          <w:b w:val="1"/>
          <w:bCs w:val="1"/>
          <w:i w:val="1"/>
          <w:iCs w:val="1"/>
          <w:color w:val="auto"/>
        </w:rPr>
        <w:t>CODM</w:t>
      </w:r>
      <w:r>
        <w:rPr>
          <w:rFonts w:ascii="Arial" w:cs="Arial" w:eastAsia="Arial" w:hAnsi="Arial"/>
          <w:sz w:val="17"/>
          <w:szCs w:val="17"/>
          <w:color w:val="auto"/>
        </w:rPr>
        <w:t>”) to assess performance and make decisions about the allocation of resources. The CODM consists of the Company’s Chief Executive Officer and certain defined representatives of the Company’s executive management team (See Note 18 for additional information on segment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85" w:lineRule="exact"/>
        <w:rPr>
          <w:sz w:val="20"/>
          <w:szCs w:val="20"/>
          <w:color w:val="auto"/>
        </w:rPr>
      </w:pPr>
    </w:p>
    <w:p>
      <w:pPr>
        <w:ind w:right="180" w:firstLine="589"/>
        <w:spacing w:after="0" w:line="271" w:lineRule="auto"/>
        <w:rPr>
          <w:sz w:val="20"/>
          <w:szCs w:val="20"/>
          <w:color w:val="auto"/>
        </w:rPr>
      </w:pPr>
      <w:r>
        <w:rPr>
          <w:rFonts w:ascii="Arial" w:cs="Arial" w:eastAsia="Arial" w:hAnsi="Arial"/>
          <w:sz w:val="17"/>
          <w:szCs w:val="17"/>
          <w:color w:val="auto"/>
        </w:rPr>
        <w:t>In January 2017,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xml:space="preserve">”)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ASU 2017-04 simplifies the accounting for goodwill impairment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removes Step 2 of the goodwill impairment test. Goodwill impairment is now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for all reporting units, even those with zero or negative carrying amounts. The Company adopted the ASU as of January 1, 2020 and followed the one-step method in evaluating potential goodwill impairment for the first and second quarters of fiscal year 2020, refer to Note 6,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The adoption of this guidance did not have a material impact on our consolidated financial statements and related disclosures.</w:t>
      </w:r>
    </w:p>
    <w:p>
      <w:pPr>
        <w:spacing w:after="0" w:line="178"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issued certain amendments within ASU 2019-04, ASU 2019-05 and ASU 2019-11, respectively. The guidance replaced the incurred loss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and applies a new model, current expected credit losses (“</w:t>
      </w:r>
      <w:r>
        <w:rPr>
          <w:rFonts w:ascii="Arial" w:cs="Arial" w:eastAsia="Arial" w:hAnsi="Arial"/>
          <w:sz w:val="18"/>
          <w:szCs w:val="18"/>
          <w:b w:val="1"/>
          <w:bCs w:val="1"/>
          <w:i w:val="1"/>
          <w:iCs w:val="1"/>
          <w:color w:val="auto"/>
        </w:rPr>
        <w:t>CECL</w:t>
      </w:r>
      <w:r>
        <w:rPr>
          <w:rFonts w:ascii="Arial" w:cs="Arial" w:eastAsia="Arial" w:hAnsi="Arial"/>
          <w:sz w:val="18"/>
          <w:szCs w:val="18"/>
          <w:color w:val="auto"/>
        </w:rPr>
        <w:t>”), that requires entities to estimate expected credit losses measured over the contractual life of an instrument that consider supportable forecasts of future economic conditions in addition to information about past events and current conditions. An entity is required to measure and record an allowance for credit loss upon initial recognition of a financial asset, and present in-scope assets at the net amount expected to be collected. Under legacy GAAP, the Company recognized credit losses on trade receivables when it was probable that a loss has been incurred.</w:t>
      </w:r>
    </w:p>
    <w:p>
      <w:pPr>
        <w:spacing w:after="0" w:line="19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 xml:space="preserve">The Company adopted the CECL standard as of January 1, 2020 through a cumulative effect adjustment of $0.7 million, net of tax, to the opening balance of accumulated deficit. The adjustment increased accumulated deficit and increased the allowance for credit loss accounts. Subsequent impacts to the allowance for credit loss have been recorded through the credit loss expense account included within selling, general and administrative expenses in our consolidated statements of operations and as an allowance for credit loss on our consolidated balance sheet. See </w:t>
      </w:r>
      <w:r>
        <w:rPr>
          <w:rFonts w:ascii="Arial" w:cs="Arial" w:eastAsia="Arial" w:hAnsi="Arial"/>
          <w:sz w:val="18"/>
          <w:szCs w:val="18"/>
          <w:i w:val="1"/>
          <w:iCs w:val="1"/>
          <w:color w:val="auto"/>
        </w:rPr>
        <w:t>Allowance for Credit Loss</w:t>
      </w:r>
      <w:r>
        <w:rPr>
          <w:rFonts w:ascii="Arial" w:cs="Arial" w:eastAsia="Arial" w:hAnsi="Arial"/>
          <w:sz w:val="18"/>
          <w:szCs w:val="18"/>
          <w:color w:val="auto"/>
        </w:rPr>
        <w:t xml:space="preserve"> above for additional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98"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The ASU removes specific exceptions to the general principles in Topic 740 in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ASU 2019-12 is effective for fiscal years beginning after December 15, 2020 and interim periods within those fiscal years. Early adoption is permitted. The impact of the implementation of this standard is still being determined by the Company.</w:t>
      </w:r>
    </w:p>
    <w:p>
      <w:pPr>
        <w:spacing w:after="0" w:line="126"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 xml:space="preserve">On March 12,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The ASU provides temporary optional guidance to ease the potential burden in accounting for the reference rate reform. It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expedients and exceptions for applying GAAP to contract modifications, subject to meeting certain criteria, that reference LIBOR or another reference rate expected to be discontinued. The ASU is in effect for a limited time through December 31, 2022, to help stakeholders during the global market-wide reference rate transition period. The impact of the implementation of this standard is still being determined by the Company.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Contracts in Entity’s Own Equity (Subtopic 815-40): Accounting for Convertible Instruments and Contracts in an Entity’s Own Equity</w:t>
      </w:r>
      <w:r>
        <w:rPr>
          <w:rFonts w:ascii="Arial" w:cs="Arial" w:eastAsia="Arial" w:hAnsi="Arial"/>
          <w:sz w:val="18"/>
          <w:szCs w:val="18"/>
          <w:color w:val="auto"/>
        </w:rPr>
        <w:t>.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calculation in certain areas. The ASU is effective for fiscal years beginning after December 15, 2021 including interim periods within those fiscal years. Early adoption is permitted. The Company will early adopt this standard as of January 1, 2021 and does not expect the impact to be material to its consolidated financial statements and related disclosures.</w:t>
      </w:r>
    </w:p>
    <w:p>
      <w:pPr>
        <w:spacing w:after="0" w:line="302"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Merger and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Verra Mobility Merger</w:t>
      </w:r>
    </w:p>
    <w:p>
      <w:pPr>
        <w:spacing w:after="0" w:line="117"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As described in Note 1, Gores and Greenlight consummated the Business Combination on October 17, 2018. Pursuant to ASC 805, the Business Combination qualified as a reverse acquisition because immediately following completion of the transaction the stockholders of Greenlight immediately prior to the Business Combination maintained effective control of Verra Mobility, the post-combination company. For accounting purposes, Greenlight is deemed the accounting acquirer in the transaction and, consequently, the transaction is treated as recapitalization of Greenlight (i.e. a capital transaction involving the issuance of stock by Greenlight in exchange for the payment of cash by Gores to the selling shareholders of Greenlight). Accordingly, the consolidated assets, liabilities and results of operations of Greenlight are the historical financial statements of Verra Mobility and the Gores assets, liabilities and results of operations are consolidated with Greenlight beginning on the acquisition date. No step-up in basis of intangible assets or goodwill was recorded for this transaction. The Company effected this treatment through opening stockholders’ equity by adjusting the number of common shares outstanding. Other than underwriting and professional fees paid to consummate the transaction, the Business Combination primarily involved the exchange of cash and equity between Gores, Greenlight and the stockholders of the respective companies. During fiscal year 2019, the Company recorded a $7.0 million decrease to the additional paid-in capital account for a payable to Platinum Equity, LLC, a related party, for the recapitalization related to the working capital adjustment required by the merger agreements, which was paid during the fourth quarter of fiscal year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Pagatelia Acquisition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4" w:name="page85"/>
    <w:bookmarkEnd w:id="84"/>
    <w:p>
      <w:pPr>
        <w:ind w:right="260" w:firstLine="589"/>
        <w:spacing w:after="0" w:line="311" w:lineRule="auto"/>
        <w:rPr>
          <w:sz w:val="20"/>
          <w:szCs w:val="20"/>
          <w:color w:val="auto"/>
        </w:rPr>
      </w:pPr>
      <w:r>
        <w:rPr>
          <w:rFonts w:ascii="Arial" w:cs="Arial" w:eastAsia="Arial" w:hAnsi="Arial"/>
          <w:sz w:val="16"/>
          <w:szCs w:val="16"/>
          <w:color w:val="auto"/>
        </w:rPr>
        <w:t>On October 31, 2019, the Company completed the acquisition of all of the outstanding shares of Pagatelia S.L.,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 a Spanish limited liability company that provides electronic consumer tolling and parking solutions in Spain, Portugal, France and Italy. The purchase consideration for Pagatelia was $26.6 million and transaction costs were not material. Pro forma information for Pagatelia was not provided as it was not material.</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final allocation of the purchase consideration is summarized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Cash</w:t>
            </w:r>
          </w:p>
        </w:tc>
        <w:tc>
          <w:tcPr>
            <w:tcW w:w="37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Non-compete agreements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Goodwill</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35,442</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30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0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Goodwill arising from Pagatelia was assigned to the Company’s Commercial Services segment and consists largely of the expected cash flows and future growth anticipated for the Company. The goodwill is not expected to be deductible for tax purposes. The customer relationships value was based on an excess earnings methodology utilizing projected cash flows. The trademark and the developed technology values were based on a relief-from-royalty method. The non-compete agreement values were based on the with-or-without method. The trademark, customer relationships, developed technology and non-compete agreements were assigned useful lives of 8.5 years, 9.5 years, 6.5 years and 3 years, respectively.</w:t>
      </w:r>
    </w:p>
    <w:p>
      <w:pPr>
        <w:spacing w:after="0" w:line="265"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at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Prepaid tolls</w:t>
            </w:r>
          </w:p>
        </w:tc>
        <w:tc>
          <w:tcPr>
            <w:tcW w:w="3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9,237</w:t>
            </w: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services</w:t>
            </w:r>
          </w:p>
        </w:tc>
        <w:tc>
          <w:tcPr>
            <w:tcW w:w="3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Prepaid computer maintenance</w:t>
            </w: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3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Prepaid income taxes</w:t>
            </w:r>
          </w:p>
        </w:tc>
        <w:tc>
          <w:tcPr>
            <w:tcW w:w="3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32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24,317</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0" w:type="dxa"/>
            <w:vAlign w:val="bottom"/>
            <w:vMerge w:val="restart"/>
          </w:tcPr>
          <w:p>
            <w:pPr>
              <w:jc w:val="right"/>
              <w:ind w:right="1910"/>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5" w:name="page86"/>
    <w:bookmarkEnd w:id="85"/>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at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6"/>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Equipment installed at customer sites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71,464</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8,882</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Automobiles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130,848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111,576</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(60,564)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(39,310)</w:t>
            </w:r>
          </w:p>
        </w:tc>
      </w:tr>
      <w:tr>
        <w:trPr>
          <w:trHeight w:val="223"/>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70,284</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72,266</w:t>
            </w:r>
          </w:p>
        </w:tc>
        <w:tc>
          <w:tcPr>
            <w:tcW w:w="1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Depreciation expense was $23.1 million, $22.8 million and $22.5 million for the fiscal years ended December 31, 2020, 2019 and 2018, respectively, including depreciation related to costs to develop or implement software for internal use of $4.3 million, $3.8 million and $2.9 million for the fiscal years ended December 31, 2020, 2019 and 2018, respectively.</w:t>
      </w:r>
    </w:p>
    <w:p>
      <w:pPr>
        <w:spacing w:after="0" w:line="288"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the carrying amount of goodwill by reportable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Commercial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Government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04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0"/>
              </w:rPr>
              <w:t>Services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jc w:val="right"/>
              <w:ind w:right="580"/>
              <w:spacing w:after="0" w:line="158" w:lineRule="exact"/>
              <w:rPr>
                <w:sz w:val="20"/>
                <w:szCs w:val="20"/>
                <w:color w:val="auto"/>
              </w:rPr>
            </w:pPr>
            <w:r>
              <w:rPr>
                <w:rFonts w:ascii="Arial" w:cs="Arial" w:eastAsia="Arial" w:hAnsi="Arial"/>
                <w:sz w:val="14"/>
                <w:szCs w:val="14"/>
                <w:b w:val="1"/>
                <w:bCs w:val="1"/>
                <w:color w:val="auto"/>
                <w:w w:val="93"/>
              </w:rPr>
              <w:t>Solutions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ind w:left="2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0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8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404,977</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159,746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564,723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gridSpan w:val="3"/>
          </w:tcPr>
          <w:p>
            <w:pPr>
              <w:spacing w:after="0"/>
              <w:rPr>
                <w:sz w:val="20"/>
                <w:szCs w:val="20"/>
                <w:color w:val="auto"/>
              </w:rPr>
            </w:pPr>
            <w:r>
              <w:rPr>
                <w:rFonts w:ascii="Arial" w:cs="Arial" w:eastAsia="Arial" w:hAnsi="Arial"/>
                <w:sz w:val="18"/>
                <w:szCs w:val="18"/>
                <w:color w:val="auto"/>
              </w:rPr>
              <w:t>Goodwill from Pagatelia acquisition</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17,528</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color w:val="auto"/>
              </w:rPr>
              <w:t>Balance at December 31, 2019</w:t>
            </w:r>
          </w:p>
        </w:tc>
        <w:tc>
          <w:tcPr>
            <w:tcW w:w="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424,404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color w:val="auto"/>
              </w:rPr>
              <w:t>Balance at December 31, 2020</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426,689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586,435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ind w:left="600"/>
              <w:spacing w:after="0"/>
              <w:rPr>
                <w:sz w:val="20"/>
                <w:szCs w:val="20"/>
                <w:color w:val="auto"/>
              </w:rPr>
            </w:pPr>
            <w:r>
              <w:rPr>
                <w:rFonts w:ascii="Arial" w:cs="Arial" w:eastAsia="Arial" w:hAnsi="Arial"/>
                <w:sz w:val="18"/>
                <w:szCs w:val="18"/>
                <w:color w:val="auto"/>
                <w:w w:val="92"/>
              </w:rPr>
              <w:t>Intangible assets consist of the following as of the respective period-ends:</w:t>
            </w: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4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5"/>
              </w:rPr>
              <w:t>Weighted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9"/>
          </w:tcPr>
          <w:p>
            <w:pPr>
              <w:ind w:left="380"/>
              <w:spacing w:after="0"/>
              <w:rPr>
                <w:sz w:val="20"/>
                <w:szCs w:val="20"/>
                <w:color w:val="auto"/>
              </w:rPr>
            </w:pPr>
            <w:r>
              <w:rPr>
                <w:rFonts w:ascii="Arial" w:cs="Arial" w:eastAsia="Arial" w:hAnsi="Arial"/>
                <w:sz w:val="14"/>
                <w:szCs w:val="14"/>
                <w:b w:val="1"/>
                <w:bCs w:val="1"/>
                <w:color w:val="auto"/>
              </w:rPr>
              <w:t>At December 31, 2020</w:t>
            </w: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left="39"/>
              <w:spacing w:after="0" w:line="147"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left="59"/>
              <w:spacing w:after="0" w:line="147"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left="59"/>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8"/>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040" w:type="dxa"/>
            <w:vAlign w:val="bottom"/>
            <w:gridSpan w:val="2"/>
          </w:tcPr>
          <w:p>
            <w:pPr>
              <w:spacing w:after="0"/>
              <w:rPr>
                <w:sz w:val="15"/>
                <w:szCs w:val="15"/>
                <w:color w:val="auto"/>
              </w:rPr>
            </w:pPr>
          </w:p>
        </w:tc>
        <w:tc>
          <w:tcPr>
            <w:tcW w:w="820" w:type="dxa"/>
            <w:vAlign w:val="bottom"/>
          </w:tcPr>
          <w:p>
            <w:pPr>
              <w:jc w:val="center"/>
              <w:ind w:left="59"/>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left="79"/>
              <w:spacing w:after="0" w:line="158" w:lineRule="exact"/>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7"/>
        </w:trPr>
        <w:tc>
          <w:tcPr>
            <w:tcW w:w="5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center"/>
              <w:ind w:left="59"/>
              <w:spacing w:after="0"/>
              <w:rPr>
                <w:sz w:val="20"/>
                <w:szCs w:val="20"/>
                <w:color w:val="auto"/>
              </w:rPr>
            </w:pPr>
            <w:r>
              <w:rPr>
                <w:rFonts w:ascii="Arial" w:cs="Arial" w:eastAsia="Arial" w:hAnsi="Arial"/>
                <w:sz w:val="18"/>
                <w:szCs w:val="18"/>
                <w:color w:val="auto"/>
                <w:w w:val="86"/>
              </w:rPr>
              <w:t>0.3 years</w:t>
            </w: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gridSpan w:val="2"/>
            <w:shd w:val="clear" w:color="auto" w:fill="CFF0FC"/>
          </w:tcPr>
          <w:p>
            <w:pPr>
              <w:jc w:val="center"/>
              <w:ind w:left="79"/>
              <w:spacing w:after="0"/>
              <w:rPr>
                <w:sz w:val="20"/>
                <w:szCs w:val="20"/>
                <w:color w:val="auto"/>
              </w:rPr>
            </w:pPr>
            <w:r>
              <w:rPr>
                <w:rFonts w:ascii="Arial" w:cs="Arial" w:eastAsia="Arial" w:hAnsi="Arial"/>
                <w:sz w:val="18"/>
                <w:szCs w:val="18"/>
                <w:color w:val="auto"/>
                <w:w w:val="86"/>
              </w:rPr>
              <w:t>3.0 years</w:t>
            </w: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32,223</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gridSpan w:val="2"/>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29,358</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820" w:type="dxa"/>
            <w:vAlign w:val="bottom"/>
          </w:tcPr>
          <w:p>
            <w:pPr>
              <w:jc w:val="center"/>
              <w:ind w:left="59"/>
              <w:spacing w:after="0"/>
              <w:rPr>
                <w:sz w:val="20"/>
                <w:szCs w:val="20"/>
                <w:color w:val="auto"/>
              </w:rPr>
            </w:pPr>
            <w:r>
              <w:rPr>
                <w:rFonts w:ascii="Arial" w:cs="Arial" w:eastAsia="Arial" w:hAnsi="Arial"/>
                <w:sz w:val="18"/>
                <w:szCs w:val="18"/>
                <w:color w:val="auto"/>
                <w:w w:val="86"/>
              </w:rPr>
              <w:t>2.0 years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left="79"/>
              <w:spacing w:after="0"/>
              <w:rPr>
                <w:sz w:val="20"/>
                <w:szCs w:val="20"/>
                <w:color w:val="auto"/>
              </w:rPr>
            </w:pPr>
            <w:r>
              <w:rPr>
                <w:rFonts w:ascii="Arial" w:cs="Arial" w:eastAsia="Arial" w:hAnsi="Arial"/>
                <w:sz w:val="18"/>
                <w:szCs w:val="18"/>
                <w:color w:val="auto"/>
                <w:w w:val="86"/>
              </w:rPr>
              <w:t>5.0 years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62,589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820" w:type="dxa"/>
            <w:vAlign w:val="bottom"/>
            <w:shd w:val="clear" w:color="auto" w:fill="CFF0FC"/>
          </w:tcPr>
          <w:p>
            <w:pPr>
              <w:jc w:val="center"/>
              <w:ind w:left="59"/>
              <w:spacing w:after="0"/>
              <w:rPr>
                <w:sz w:val="20"/>
                <w:szCs w:val="20"/>
                <w:color w:val="auto"/>
              </w:rPr>
            </w:pPr>
            <w:r>
              <w:rPr>
                <w:rFonts w:ascii="Arial" w:cs="Arial" w:eastAsia="Arial" w:hAnsi="Arial"/>
                <w:sz w:val="18"/>
                <w:szCs w:val="18"/>
                <w:color w:val="auto"/>
                <w:w w:val="86"/>
              </w:rPr>
              <w:t>5.9 years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center"/>
              <w:ind w:left="79"/>
              <w:spacing w:after="0"/>
              <w:rPr>
                <w:sz w:val="20"/>
                <w:szCs w:val="20"/>
                <w:color w:val="auto"/>
              </w:rPr>
            </w:pPr>
            <w:r>
              <w:rPr>
                <w:rFonts w:ascii="Arial" w:cs="Arial" w:eastAsia="Arial" w:hAnsi="Arial"/>
                <w:sz w:val="18"/>
                <w:szCs w:val="18"/>
                <w:color w:val="auto"/>
                <w:w w:val="86"/>
              </w:rPr>
              <w:t>8.9 years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367,512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Developed technology</w:t>
            </w:r>
          </w:p>
        </w:tc>
        <w:tc>
          <w:tcPr>
            <w:tcW w:w="820" w:type="dxa"/>
            <w:vAlign w:val="bottom"/>
            <w:tcBorders>
              <w:bottom w:val="single" w:sz="8" w:color="CFF0FC"/>
            </w:tcBorders>
          </w:tcPr>
          <w:p>
            <w:pPr>
              <w:jc w:val="center"/>
              <w:ind w:left="59"/>
              <w:spacing w:after="0"/>
              <w:rPr>
                <w:sz w:val="20"/>
                <w:szCs w:val="20"/>
                <w:color w:val="auto"/>
              </w:rPr>
            </w:pPr>
            <w:r>
              <w:rPr>
                <w:rFonts w:ascii="Arial" w:cs="Arial" w:eastAsia="Arial" w:hAnsi="Arial"/>
                <w:sz w:val="18"/>
                <w:szCs w:val="18"/>
                <w:color w:val="auto"/>
                <w:w w:val="86"/>
              </w:rPr>
              <w:t>2.3 years</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gridSpan w:val="2"/>
          </w:tcPr>
          <w:p>
            <w:pPr>
              <w:jc w:val="center"/>
              <w:ind w:left="79"/>
              <w:spacing w:after="0"/>
              <w:rPr>
                <w:sz w:val="20"/>
                <w:szCs w:val="20"/>
                <w:color w:val="auto"/>
              </w:rPr>
            </w:pPr>
            <w:r>
              <w:rPr>
                <w:rFonts w:ascii="Arial" w:cs="Arial" w:eastAsia="Arial" w:hAnsi="Arial"/>
                <w:sz w:val="18"/>
                <w:szCs w:val="18"/>
                <w:color w:val="auto"/>
                <w:w w:val="86"/>
              </w:rPr>
              <w:t>5.5 years</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166,217</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8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628,541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286,402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Less: accumulated amortization</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(286,402)</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342,139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55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At December 31, 2019</w:t>
            </w: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940" w:type="dxa"/>
            <w:vAlign w:val="bottom"/>
          </w:tcPr>
          <w:p>
            <w:pPr>
              <w:spacing w:after="0"/>
              <w:rPr>
                <w:sz w:val="15"/>
                <w:szCs w:val="15"/>
                <w:color w:val="auto"/>
              </w:rPr>
            </w:pPr>
          </w:p>
        </w:tc>
        <w:tc>
          <w:tcPr>
            <w:tcW w:w="13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3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Period</w:t>
            </w:r>
          </w:p>
        </w:tc>
        <w:tc>
          <w:tcPr>
            <w:tcW w:w="180" w:type="dxa"/>
            <w:vAlign w:val="bottom"/>
          </w:tcPr>
          <w:p>
            <w:pPr>
              <w:spacing w:after="0"/>
              <w:rPr>
                <w:sz w:val="15"/>
                <w:szCs w:val="15"/>
                <w:color w:val="auto"/>
              </w:rPr>
            </w:pPr>
          </w:p>
        </w:tc>
        <w:tc>
          <w:tcPr>
            <w:tcW w:w="11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1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7"/>
        </w:trPr>
        <w:tc>
          <w:tcPr>
            <w:tcW w:w="5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1.5 years</w:t>
            </w:r>
          </w:p>
        </w:tc>
        <w:tc>
          <w:tcPr>
            <w:tcW w:w="1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3.0 years</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32,127</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3.0 years</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5.0 years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3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6"/>
              </w:rPr>
              <w:t>6.9 years</w:t>
            </w: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8.9 years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6"/>
              </w:rPr>
              <w:t>3.3 years</w:t>
            </w:r>
          </w:p>
        </w:tc>
        <w:tc>
          <w:tcPr>
            <w:tcW w:w="138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9"/>
              </w:rPr>
              <w:t>5.5 years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626,917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(192,474)</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expense was $93.5 million, $92.8 million and $80.8 million for fiscal years ended December 31, 2020, 2019 and 2018, respectively.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2"/>
          </w:tcPr>
          <w:p>
            <w:pPr>
              <w:ind w:left="600"/>
              <w:spacing w:after="0"/>
              <w:rPr>
                <w:sz w:val="20"/>
                <w:szCs w:val="20"/>
                <w:color w:val="auto"/>
              </w:rPr>
            </w:pPr>
            <w:r>
              <w:rPr>
                <w:rFonts w:ascii="Arial" w:cs="Arial" w:eastAsia="Arial" w:hAnsi="Arial"/>
                <w:sz w:val="18"/>
                <w:szCs w:val="18"/>
                <w:color w:val="auto"/>
              </w:rPr>
              <w:t>Estimated amortization expense in future years is expected to be:</w:t>
            </w:r>
          </w:p>
        </w:tc>
        <w:tc>
          <w:tcPr>
            <w:tcW w:w="2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626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85,935</w:t>
            </w:r>
          </w:p>
        </w:tc>
        <w:tc>
          <w:tcPr>
            <w:tcW w:w="100" w:type="dxa"/>
            <w:vAlign w:val="bottom"/>
            <w:shd w:val="clear" w:color="auto" w:fill="CFF0FC"/>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2022</w:t>
            </w:r>
          </w:p>
        </w:tc>
        <w:tc>
          <w:tcPr>
            <w:tcW w:w="6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81,167</w:t>
            </w:r>
          </w:p>
        </w:tc>
        <w:tc>
          <w:tcPr>
            <w:tcW w:w="100" w:type="dxa"/>
            <w:vAlign w:val="bottom"/>
          </w:tcPr>
          <w:p>
            <w:pPr>
              <w:spacing w:after="0"/>
              <w:rPr>
                <w:sz w:val="19"/>
                <w:szCs w:val="19"/>
                <w:color w:val="auto"/>
              </w:rPr>
            </w:pPr>
          </w:p>
        </w:tc>
      </w:tr>
      <w:tr>
        <w:trPr>
          <w:trHeight w:val="229"/>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6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52,493</w:t>
            </w:r>
          </w:p>
        </w:tc>
        <w:tc>
          <w:tcPr>
            <w:tcW w:w="100" w:type="dxa"/>
            <w:vAlign w:val="bottom"/>
            <w:shd w:val="clear" w:color="auto" w:fill="CFF0FC"/>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2024</w:t>
            </w:r>
          </w:p>
        </w:tc>
        <w:tc>
          <w:tcPr>
            <w:tcW w:w="6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26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39,302</w:t>
            </w:r>
          </w:p>
        </w:tc>
        <w:tc>
          <w:tcPr>
            <w:tcW w:w="100" w:type="dxa"/>
            <w:vAlign w:val="bottom"/>
            <w:shd w:val="clear" w:color="auto" w:fill="CFF0FC"/>
          </w:tcPr>
          <w:p>
            <w:pPr>
              <w:spacing w:after="0"/>
              <w:rPr>
                <w:sz w:val="19"/>
                <w:szCs w:val="19"/>
                <w:color w:val="auto"/>
              </w:rPr>
            </w:pPr>
          </w:p>
        </w:tc>
      </w:tr>
      <w:tr>
        <w:trPr>
          <w:trHeight w:val="229"/>
        </w:trPr>
        <w:tc>
          <w:tcPr>
            <w:tcW w:w="7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100" w:type="dxa"/>
            <w:vAlign w:val="bottom"/>
            <w:tcBorders>
              <w:bottom w:val="single" w:sz="8" w:color="CFF0FC"/>
            </w:tcBorders>
          </w:tcPr>
          <w:p>
            <w:pPr>
              <w:spacing w:after="0"/>
              <w:rPr>
                <w:sz w:val="19"/>
                <w:szCs w:val="19"/>
                <w:color w:val="auto"/>
              </w:rPr>
            </w:pPr>
          </w:p>
        </w:tc>
      </w:tr>
      <w:tr>
        <w:trPr>
          <w:trHeight w:val="223"/>
        </w:trPr>
        <w:tc>
          <w:tcPr>
            <w:tcW w:w="72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Tests</w:t>
      </w:r>
    </w:p>
    <w:p>
      <w:pPr>
        <w:spacing w:after="0" w:line="225"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auto"/>
        </w:rPr>
        <w:t>During the first half of fiscal year 2020, our market capitalization declined significantly compared to December 31, 2019. Over the same period, the equity value of our key Commercial Services customers, our peer group companies and the overall U.S. stock market also declined significantly amid market volatility. These declines were driven by the uncertainty surrounding the outbreak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and other macroeconomic events. Based on these factors, we concluded that a triggering event occurred and, accordingly, an interim quantitative goodwill impairment test was performed as of March 31, 2020 and again as of June 30, 2020.</w:t>
      </w:r>
    </w:p>
    <w:p>
      <w:pPr>
        <w:spacing w:after="0" w:line="188" w:lineRule="exact"/>
        <w:rPr>
          <w:sz w:val="20"/>
          <w:szCs w:val="20"/>
          <w:color w:val="auto"/>
        </w:rPr>
      </w:pPr>
    </w:p>
    <w:p>
      <w:pPr>
        <w:ind w:right="160" w:firstLine="864"/>
        <w:spacing w:after="0" w:line="263" w:lineRule="auto"/>
        <w:rPr>
          <w:sz w:val="20"/>
          <w:szCs w:val="20"/>
          <w:color w:val="auto"/>
        </w:rPr>
      </w:pPr>
      <w:r>
        <w:rPr>
          <w:rFonts w:ascii="Arial" w:cs="Arial" w:eastAsia="Arial" w:hAnsi="Arial"/>
          <w:sz w:val="18"/>
          <w:szCs w:val="18"/>
          <w:color w:val="auto"/>
        </w:rPr>
        <w:t>Based upon the results of our interim impairment tests as of March 31, 2020 and June 30, 2020, we concluded that the fair values of the Government Solutions and Commercial Services reporting units exceeded their carrying values. In addition, there were no indicators of impairment based on the qualitative analysis performed as of October 1 in fiscal years 2020, 2019 and 2018.</w:t>
      </w:r>
    </w:p>
    <w:p>
      <w:pPr>
        <w:spacing w:after="0" w:line="184" w:lineRule="exact"/>
        <w:rPr>
          <w:sz w:val="20"/>
          <w:szCs w:val="20"/>
          <w:color w:val="auto"/>
        </w:rPr>
      </w:pPr>
    </w:p>
    <w:p>
      <w:pPr>
        <w:ind w:right="460" w:firstLine="864"/>
        <w:spacing w:after="0" w:line="263" w:lineRule="auto"/>
        <w:rPr>
          <w:sz w:val="20"/>
          <w:szCs w:val="20"/>
          <w:color w:val="auto"/>
        </w:rPr>
      </w:pPr>
      <w:r>
        <w:rPr>
          <w:rFonts w:ascii="Arial" w:cs="Arial" w:eastAsia="Arial" w:hAnsi="Arial"/>
          <w:sz w:val="18"/>
          <w:szCs w:val="18"/>
          <w:color w:val="auto"/>
        </w:rPr>
        <w:t>The current economic conditions due to COVID-19 are still evolving and any significant adverse changes in future periods to our internal forecasts or the external market conditions, if any, could reasonably be expected to negatively affect our key assumptions and may result in a future goodwill impairment charge, which could be 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7" w:name="page88"/>
    <w:bookmarkEnd w:id="87"/>
    <w:p>
      <w:pPr>
        <w:ind w:left="580" w:hanging="572"/>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 of the following at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6"/>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Advanced deposits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Payroll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Self-insurance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15,636</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19,547</w:t>
            </w:r>
          </w:p>
        </w:tc>
        <w:tc>
          <w:tcPr>
            <w:tcW w:w="1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changes in the Company’s asset retirement obligation for the years ended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 retirement obligation, beginning balance</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Liabilities incurred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Accretion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Liabilities settled</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23"/>
        </w:trPr>
        <w:tc>
          <w:tcPr>
            <w:tcW w:w="7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 retirement obligation, ending balance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a summary of the Company’s long-term debt at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7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7"/>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First Lien Term Loan, due February 28, 2025</w:t>
            </w:r>
          </w:p>
        </w:tc>
        <w:tc>
          <w:tcPr>
            <w:tcW w:w="2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865,642</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894,421</w:t>
            </w: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Less: original issue discounts</w:t>
            </w:r>
          </w:p>
        </w:tc>
        <w:tc>
          <w:tcPr>
            <w:tcW w:w="2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(3,952)</w:t>
            </w: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(4,778)</w:t>
            </w: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deferred financing costs</w:t>
            </w:r>
          </w:p>
        </w:tc>
        <w:tc>
          <w:tcPr>
            <w:tcW w:w="2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(19,645)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(23,178)</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842,045</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866,465</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(9,104)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(28,779)</w:t>
            </w:r>
          </w:p>
        </w:tc>
      </w:tr>
      <w:tr>
        <w:trPr>
          <w:trHeight w:val="223"/>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Total long-term debt, net of current portion</w:t>
            </w:r>
          </w:p>
        </w:tc>
        <w:tc>
          <w:tcPr>
            <w:tcW w:w="2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832,941</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837,686</w:t>
            </w:r>
          </w:p>
        </w:tc>
        <w:tc>
          <w:tcPr>
            <w:tcW w:w="1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aggregate principal payments in future years on long-term debt at December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4120" w:type="dxa"/>
            <w:vAlign w:val="bottom"/>
            <w:shd w:val="clear" w:color="auto" w:fill="CFF0FC"/>
          </w:tcPr>
          <w:p>
            <w:pPr>
              <w:spacing w:after="0"/>
              <w:rPr>
                <w:sz w:val="19"/>
                <w:szCs w:val="19"/>
                <w:color w:val="auto"/>
              </w:rPr>
            </w:pPr>
          </w:p>
        </w:tc>
        <w:tc>
          <w:tcPr>
            <w:tcW w:w="482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FF0FC"/>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2022</w:t>
            </w:r>
          </w:p>
        </w:tc>
        <w:tc>
          <w:tcPr>
            <w:tcW w:w="4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120" w:type="dxa"/>
            <w:vAlign w:val="bottom"/>
            <w:shd w:val="clear" w:color="auto" w:fill="CFF0FC"/>
          </w:tcPr>
          <w:p>
            <w:pPr>
              <w:spacing w:after="0"/>
              <w:rPr>
                <w:sz w:val="19"/>
                <w:szCs w:val="19"/>
                <w:color w:val="auto"/>
              </w:rPr>
            </w:pPr>
          </w:p>
        </w:tc>
        <w:tc>
          <w:tcPr>
            <w:tcW w:w="4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FF0FC"/>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2024</w:t>
            </w:r>
          </w:p>
        </w:tc>
        <w:tc>
          <w:tcPr>
            <w:tcW w:w="4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120" w:type="dxa"/>
            <w:vAlign w:val="bottom"/>
            <w:shd w:val="clear" w:color="auto" w:fill="CFF0FC"/>
          </w:tcPr>
          <w:p>
            <w:pPr>
              <w:spacing w:after="0"/>
              <w:rPr>
                <w:sz w:val="19"/>
                <w:szCs w:val="19"/>
                <w:color w:val="auto"/>
              </w:rPr>
            </w:pPr>
          </w:p>
        </w:tc>
        <w:tc>
          <w:tcPr>
            <w:tcW w:w="4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829,226</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1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865,642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In connection with an acquisition, VM Consolidated, Inc., our wholly-owned subsidiary, entered into a First Lien Term Loan Credit Agreement (the “</w:t>
      </w:r>
      <w:r>
        <w:rPr>
          <w:rFonts w:ascii="Arial" w:cs="Arial" w:eastAsia="Arial" w:hAnsi="Arial"/>
          <w:sz w:val="16"/>
          <w:szCs w:val="16"/>
          <w:b w:val="1"/>
          <w:bCs w:val="1"/>
          <w:i w:val="1"/>
          <w:iCs w:val="1"/>
          <w:color w:val="auto"/>
        </w:rPr>
        <w:t>New First Lien Term Loan</w:t>
      </w:r>
      <w:r>
        <w:rPr>
          <w:rFonts w:ascii="Arial" w:cs="Arial" w:eastAsia="Arial" w:hAnsi="Arial"/>
          <w:sz w:val="16"/>
          <w:szCs w:val="16"/>
          <w:color w:val="auto"/>
        </w:rPr>
        <w:t>”), a Second Lien Term Loan Credit Agreement (the “</w:t>
      </w:r>
      <w:r>
        <w:rPr>
          <w:rFonts w:ascii="Arial" w:cs="Arial" w:eastAsia="Arial" w:hAnsi="Arial"/>
          <w:sz w:val="16"/>
          <w:szCs w:val="16"/>
          <w:b w:val="1"/>
          <w:bCs w:val="1"/>
          <w:i w:val="1"/>
          <w:iCs w:val="1"/>
          <w:color w:val="auto"/>
        </w:rPr>
        <w:t>New Second Lien Term Loan</w:t>
      </w:r>
      <w:r>
        <w:rPr>
          <w:rFonts w:ascii="Arial" w:cs="Arial" w:eastAsia="Arial" w:hAnsi="Arial"/>
          <w:sz w:val="16"/>
          <w:szCs w:val="16"/>
          <w:color w:val="auto"/>
        </w:rPr>
        <w:t>” and together with the New First Lien Term Loan, the “</w:t>
      </w:r>
      <w:r>
        <w:rPr>
          <w:rFonts w:ascii="Arial" w:cs="Arial" w:eastAsia="Arial" w:hAnsi="Arial"/>
          <w:sz w:val="16"/>
          <w:szCs w:val="16"/>
          <w:b w:val="1"/>
          <w:bCs w:val="1"/>
          <w:i w:val="1"/>
          <w:iCs w:val="1"/>
          <w:color w:val="auto"/>
        </w:rPr>
        <w:t>New Term Loans</w:t>
      </w:r>
      <w:r>
        <w:rPr>
          <w:rFonts w:ascii="Arial" w:cs="Arial" w:eastAsia="Arial" w:hAnsi="Arial"/>
          <w:sz w:val="16"/>
          <w:szCs w:val="16"/>
          <w:color w:val="auto"/>
        </w:rPr>
        <w:t>”) and a Revolving Credit Agreement (the “</w:t>
      </w:r>
      <w:r>
        <w:rPr>
          <w:rFonts w:ascii="Arial" w:cs="Arial" w:eastAsia="Arial" w:hAnsi="Arial"/>
          <w:sz w:val="16"/>
          <w:szCs w:val="16"/>
          <w:b w:val="1"/>
          <w:bCs w:val="1"/>
          <w:i w:val="1"/>
          <w:iCs w:val="1"/>
          <w:color w:val="auto"/>
        </w:rPr>
        <w:t>New Revolver</w:t>
      </w:r>
      <w:r>
        <w:rPr>
          <w:rFonts w:ascii="Arial" w:cs="Arial" w:eastAsia="Arial" w:hAnsi="Arial"/>
          <w:sz w:val="16"/>
          <w:szCs w:val="16"/>
          <w:color w:val="auto"/>
        </w:rPr>
        <w:t>,” and together with the New Term Loans, the “</w:t>
      </w:r>
      <w:r>
        <w:rPr>
          <w:rFonts w:ascii="Arial" w:cs="Arial" w:eastAsia="Arial" w:hAnsi="Arial"/>
          <w:sz w:val="16"/>
          <w:szCs w:val="16"/>
          <w:b w:val="1"/>
          <w:bCs w:val="1"/>
          <w:i w:val="1"/>
          <w:iCs w:val="1"/>
          <w:color w:val="auto"/>
        </w:rPr>
        <w:t>2018 Credit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8" w:name="page89"/>
    <w:bookmarkEnd w:id="88"/>
    <w:p>
      <w:pPr>
        <w:ind w:right="40"/>
        <w:spacing w:after="0" w:line="254" w:lineRule="auto"/>
        <w:rPr>
          <w:sz w:val="20"/>
          <w:szCs w:val="20"/>
          <w:color w:val="auto"/>
        </w:rPr>
      </w:pP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with a syndicate of lenders. The 2018 Credit Facilities initially provided for committed senior secured financing of $1.115 billion, consisting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aggregate principal amount of $1.04 billion under the New Term Loans and an aggregate revolving commitment of up to $75 million available for loans and letters of credit under the New Revolver (subject to borrowing eligibility requirements as described below). In July 2018, we amended the New First Lien Term Loan to expand the aggregate principal loan amount from $840 million to $910 million. The additional $70 million, along with funds contributed by Platinum Equity, LLC, were used to repay the $200 million New Second Lien Term Loan in full contemporaneously with the closing of the Business Combination on October 17, 2018. The New First Lien Term Loan represents the only debt outstanding under the 2018 Credit Facilities as of December 31, 2020.</w:t>
      </w:r>
    </w:p>
    <w:p>
      <w:pPr>
        <w:spacing w:after="0" w:line="19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2018 Credit Facilities replaced the previous First Lien Term Loan Credit Agreement (the “</w:t>
      </w:r>
      <w:r>
        <w:rPr>
          <w:rFonts w:ascii="Arial" w:cs="Arial" w:eastAsia="Arial" w:hAnsi="Arial"/>
          <w:sz w:val="18"/>
          <w:szCs w:val="18"/>
          <w:b w:val="1"/>
          <w:bCs w:val="1"/>
          <w:i w:val="1"/>
          <w:iCs w:val="1"/>
          <w:color w:val="auto"/>
        </w:rPr>
        <w:t>Old First Lien</w:t>
      </w:r>
      <w:r>
        <w:rPr>
          <w:rFonts w:ascii="Arial" w:cs="Arial" w:eastAsia="Arial" w:hAnsi="Arial"/>
          <w:sz w:val="18"/>
          <w:szCs w:val="18"/>
          <w:color w:val="auto"/>
        </w:rPr>
        <w:t>”), the Second Lien Term Loan Credit Agreement (the “</w:t>
      </w:r>
      <w:r>
        <w:rPr>
          <w:rFonts w:ascii="Arial" w:cs="Arial" w:eastAsia="Arial" w:hAnsi="Arial"/>
          <w:sz w:val="18"/>
          <w:szCs w:val="18"/>
          <w:b w:val="1"/>
          <w:bCs w:val="1"/>
          <w:i w:val="1"/>
          <w:iCs w:val="1"/>
          <w:color w:val="auto"/>
        </w:rPr>
        <w:t>Old Second Lien</w:t>
      </w:r>
      <w:r>
        <w:rPr>
          <w:rFonts w:ascii="Arial" w:cs="Arial" w:eastAsia="Arial" w:hAnsi="Arial"/>
          <w:sz w:val="18"/>
          <w:szCs w:val="18"/>
          <w:color w:val="auto"/>
        </w:rPr>
        <w:t>” and together with the Old First Lien, the “</w:t>
      </w:r>
      <w:r>
        <w:rPr>
          <w:rFonts w:ascii="Arial" w:cs="Arial" w:eastAsia="Arial" w:hAnsi="Arial"/>
          <w:sz w:val="18"/>
          <w:szCs w:val="18"/>
          <w:b w:val="1"/>
          <w:bCs w:val="1"/>
          <w:i w:val="1"/>
          <w:iCs w:val="1"/>
          <w:color w:val="auto"/>
        </w:rPr>
        <w:t>Old Term Loans</w:t>
      </w:r>
      <w:r>
        <w:rPr>
          <w:rFonts w:ascii="Arial" w:cs="Arial" w:eastAsia="Arial" w:hAnsi="Arial"/>
          <w:sz w:val="18"/>
          <w:szCs w:val="18"/>
          <w:i w:val="1"/>
          <w:iCs w:val="1"/>
          <w:color w:val="auto"/>
        </w:rPr>
        <w:t>”</w:t>
      </w:r>
      <w:r>
        <w:rPr>
          <w:rFonts w:ascii="Arial" w:cs="Arial" w:eastAsia="Arial" w:hAnsi="Arial"/>
          <w:sz w:val="18"/>
          <w:szCs w:val="18"/>
          <w:color w:val="auto"/>
        </w:rPr>
        <w:t>), which were repaid concurrent with the closing on the 2018 Credit Facilities, and a preexisting Revolving Credit Agreement (the “</w:t>
      </w:r>
      <w:r>
        <w:rPr>
          <w:rFonts w:ascii="Arial" w:cs="Arial" w:eastAsia="Arial" w:hAnsi="Arial"/>
          <w:sz w:val="18"/>
          <w:szCs w:val="18"/>
          <w:b w:val="1"/>
          <w:bCs w:val="1"/>
          <w:i w:val="1"/>
          <w:iCs w:val="1"/>
          <w:color w:val="auto"/>
        </w:rPr>
        <w:t>Old Revolver</w:t>
      </w:r>
      <w:r>
        <w:rPr>
          <w:rFonts w:ascii="Arial" w:cs="Arial" w:eastAsia="Arial" w:hAnsi="Arial"/>
          <w:sz w:val="18"/>
          <w:szCs w:val="18"/>
          <w:color w:val="auto"/>
        </w:rPr>
        <w:t>”, collectively with the Old Term Loans, the “</w:t>
      </w:r>
      <w:r>
        <w:rPr>
          <w:rFonts w:ascii="Arial" w:cs="Arial" w:eastAsia="Arial" w:hAnsi="Arial"/>
          <w:sz w:val="18"/>
          <w:szCs w:val="18"/>
          <w:b w:val="1"/>
          <w:bCs w:val="1"/>
          <w:i w:val="1"/>
          <w:iCs w:val="1"/>
          <w:color w:val="auto"/>
        </w:rPr>
        <w:t>2017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which was undrawn at close. The outstanding balances at the date of close on the Old Term Loans, which were repaid in full with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2018 Credit Facilities were $323 million and $125 million, respectively.</w:t>
      </w:r>
    </w:p>
    <w:p>
      <w:pPr>
        <w:spacing w:after="0" w:line="14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New First Lien Term Loan is repayable at 1.0% per annum of the amount initially borrowed, paid in quarterly installments. The New First Lien Term Loan matures on February 28, 2025. The Company refinanced the entire outstanding amount under the New First Lien Term Loan on February 20, 2020, which reduced the previous applicable margin by 50 basis points. The New First Lien Term Loan now bears interest based, at our option, on either (1) LIBOR plus an applicable margin of 3.25% per annum, or (2) an alternate base rate plus an applicable margin of 2.25% per annum. As of December 31, 2020, the interest rate on the New First Lien Term Loan was 3.4%.</w:t>
      </w:r>
    </w:p>
    <w:p>
      <w:pPr>
        <w:spacing w:after="0" w:line="161" w:lineRule="exact"/>
        <w:rPr>
          <w:sz w:val="20"/>
          <w:szCs w:val="20"/>
          <w:color w:val="auto"/>
        </w:rPr>
      </w:pPr>
    </w:p>
    <w:p>
      <w:pPr>
        <w:ind w:right="240" w:firstLine="589"/>
        <w:spacing w:after="0" w:line="255" w:lineRule="auto"/>
        <w:rPr>
          <w:sz w:val="20"/>
          <w:szCs w:val="20"/>
          <w:color w:val="auto"/>
        </w:rPr>
      </w:pPr>
      <w:r>
        <w:rPr>
          <w:rFonts w:ascii="Arial" w:cs="Arial" w:eastAsia="Arial" w:hAnsi="Arial"/>
          <w:sz w:val="18"/>
          <w:szCs w:val="18"/>
          <w:color w:val="auto"/>
        </w:rPr>
        <w:t>In addition, the New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tbl>
      <w:tblPr>
        <w:tblLayout w:type="fixed"/>
        <w:tblInd w:w="0" w:type="dxa"/>
        <w:tblCellMar>
          <w:top w:w="0" w:type="dxa"/>
          <w:left w:w="0" w:type="dxa"/>
          <w:bottom w:w="0" w:type="dxa"/>
          <w:right w:w="0" w:type="dxa"/>
        </w:tblCellMar>
      </w:tblPr>
      <w:tr>
        <w:trPr>
          <w:trHeight w:val="142"/>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9"/>
        </w:trPr>
        <w:tc>
          <w:tcPr>
            <w:tcW w:w="89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Consolidated first lien net leverage ratio (as defined by the New First Lien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made a $19.7 million mandatory prepayment of excess cash flow during the first quarter of fiscal year 2020, which was classified as current portion of long-term debt in the consolidated balance sheet at December 31, 2019. We did not have a mandatory prepayment of excess cash flow for the fiscal year ended December 31, 2020.</w:t>
      </w:r>
    </w:p>
    <w:p>
      <w:pPr>
        <w:spacing w:after="0" w:line="143"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6"/>
          <w:szCs w:val="16"/>
          <w:color w:val="auto"/>
        </w:rPr>
        <w:t>The New Revolver matures on February 28, 2023. The terms of the New Revolver were not affected by the refinancing of the New First Lien Term Loan discussed above. Borrowing eligibility under the New Revolver is subject to a monthly borrowing base calculation based on (i) certain percentages of eligible accounts receivable and inventory, less (ii) certain reserve items, including outstanding letters of credit and other reserves. The New Revolver bears interest on either (1) LIBOR plus an applicable margin, or (2) an alternate base rate, plus an applicable margin. The margin percentage applied to</w:t>
      </w:r>
    </w:p>
    <w:p>
      <w:pPr>
        <w:spacing w:after="0" w:line="1" w:lineRule="exact"/>
        <w:rPr>
          <w:sz w:val="20"/>
          <w:szCs w:val="20"/>
          <w:color w:val="auto"/>
        </w:rPr>
      </w:pPr>
    </w:p>
    <w:p>
      <w:pPr>
        <w:ind w:right="160" w:firstLine="8"/>
        <w:spacing w:after="0" w:line="255"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LIBOR is either 1.25%, 1.50%, or 1.75%, or (2) the base rate is either 0.25%, 0.50%, or 0.75%, depending on the Company’s average availability to borrow under the commitment. At December 31, 2020, the Company had no outstanding borrowings on the New Revolver and availability to borrow was $48.8 million, net of $6.3 million of outstanding letters of credit.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ind w:firstLine="589"/>
        <w:spacing w:after="0" w:line="277" w:lineRule="auto"/>
        <w:rPr>
          <w:sz w:val="20"/>
          <w:szCs w:val="20"/>
          <w:color w:val="auto"/>
        </w:rPr>
      </w:pPr>
      <w:r>
        <w:rPr>
          <w:rFonts w:ascii="Arial" w:cs="Arial" w:eastAsia="Arial" w:hAnsi="Arial"/>
          <w:sz w:val="18"/>
          <w:szCs w:val="18"/>
          <w:color w:val="auto"/>
        </w:rPr>
        <w:t>Interest on the unused portion of the New Revolver is payable quarterly at 0.375% and we are also required to pay participation and fronting fees at 1.38% on $6.3 million of outstanding letters of credit as of December 31, 2020.</w:t>
      </w:r>
    </w:p>
    <w:p>
      <w:pPr>
        <w:spacing w:after="0" w:line="170" w:lineRule="exact"/>
        <w:rPr>
          <w:sz w:val="20"/>
          <w:szCs w:val="20"/>
          <w:color w:val="auto"/>
        </w:rPr>
      </w:pPr>
    </w:p>
    <w:p>
      <w:pPr>
        <w:jc w:val="both"/>
        <w:ind w:right="640" w:firstLine="589"/>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December 31, 2020, the Company was compliant with the 2018 Credit Facilities covenants. Substantially all of the Company’s assets are pledged as collateral to secure the Company’s indebtedness under the 2018 Credit Facilities.</w:t>
      </w:r>
    </w:p>
    <w:p>
      <w:pPr>
        <w:spacing w:after="0" w:line="187"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$40.9 million, $60.7 million and $69.6 million for the fiscal years ended December 31, 2020, 2019 and 2018, respectively.</w:t>
      </w:r>
    </w:p>
    <w:p>
      <w:pPr>
        <w:spacing w:after="0" w:line="130"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connection with the refinancing of the New First Lien Term Loan in February 2020, which the Company determined was to be accounted for as a modification, we incurred $0.8 million of lender fees which were capitalized as deferred financing costs and amortized over the remaining life of the New First Lien Term Loan, and $0.2 million of legal fees that were expensed as selling, general and administrative expenses on the consolidated statement of operations in the fiscal year ended December 31, 2020.</w:t>
      </w:r>
    </w:p>
    <w:p>
      <w:pPr>
        <w:spacing w:after="0" w:line="18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recognized a charge of $10.2 million in fiscal year 2018 consisting of a $3.8 million prepayment penalty on the Old Term Loan balances, a $2.0 million write-off of pre-existing deferred financing costs and $4.4 million of lender and third-party costs associated with the issuance of the 2018 Credit Facilities. The Company also recorded a loss on extinguishment of the New Second Lien Term Loan of $16.3 million in fiscal year 2018 consisting of a $4.0 million prepayment penalty, a $3.4 million write-off of pre-existing deferred financing costs and $8.9 million of lender and third-party costs associated with the issuance of the loan.</w:t>
      </w:r>
    </w:p>
    <w:p>
      <w:pPr>
        <w:spacing w:after="0" w:line="188"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weighted average effective interest rates on the Company’s outstanding borrowing under the 2018 Credit Facilities were 3.4% and 5.5% at December 31, 2020 and December 31, 2019, respectively.</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Leases</w:t>
      </w:r>
    </w:p>
    <w:p>
      <w:pPr>
        <w:spacing w:after="0" w:line="175"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 xml:space="preserve">The Company adopted the leases guidance under ASC 842,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 Company’s operating leases primarily consist of office and data center space expiring at various dates through April 2035. The Company has lease agreements with lease and non-lease components and has elected to account for such components as a single lease component. The Company recognizes and measures contracts containing a lease and determines lease classification at commencement. Right of use operating assets and lease liabilities are measured based on the estimated present value of lease payments over the lease term. In determining the present value of lease payments, the Company used its estimated incremental borrowing rate when the rate implicit in the lease cannot be readily determined. The estimated incremental borrowing rate is based upon information available at lease commencement including publicly available data for debt instruments. The lease term includes periods covered by options to extend when it is reasonably certain the Company will exercise such options as well as periods subsequent to an option to terminate the lease if it is reasonably certain the Company will not exercise the termination option. Operating lease costs are recognized on a straight-line basis over the lease term. Variable lease costs are recognized as incurred. The Company’s lease agreements do not contain any material residual value guarantees or material restrictive covenants. The Company does not have material short-term leases and does not engage in subleasing activities.</w:t>
      </w:r>
    </w:p>
    <w:p>
      <w:pPr>
        <w:spacing w:after="0" w:line="17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As of December 31, 2020, operating leases have a remaining weighted average lease term of 12.2 years and operating lease liabilities were measured using a weighted average discount rate of 5.4%. The total operating lease costs for the fiscal years ended December 31, 2020 and 2019 were $5.3 million and $5.7 million, respectively. Variable lease costs for the fiscal 2020 were approximately $1.1 million. The Company has one finance lease that is not material.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0" w:name="page91"/>
    <w:bookmarkEnd w:id="90"/>
    <w:p>
      <w:pPr>
        <w:ind w:left="600"/>
        <w:spacing w:after="0"/>
        <w:rPr>
          <w:sz w:val="20"/>
          <w:szCs w:val="20"/>
          <w:color w:val="auto"/>
        </w:rPr>
      </w:pPr>
      <w:r>
        <w:rPr>
          <w:rFonts w:ascii="Arial" w:cs="Arial" w:eastAsia="Arial" w:hAnsi="Arial"/>
          <w:sz w:val="18"/>
          <w:szCs w:val="18"/>
          <w:color w:val="auto"/>
        </w:rPr>
        <w:t>The following is a summary of the operating lease liabilities as of December 31: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ind w:right="79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ind w:right="7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217"/>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27,986</w:t>
            </w:r>
          </w:p>
        </w:tc>
        <w:tc>
          <w:tcPr>
            <w:tcW w:w="3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Current portion</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31,165</w:t>
            </w:r>
          </w:p>
        </w:tc>
        <w:tc>
          <w:tcPr>
            <w:tcW w:w="3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provides future maturities of operating lease liabilities as of December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1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4580" w:type="dxa"/>
            <w:vAlign w:val="bottom"/>
            <w:shd w:val="clear" w:color="auto" w:fill="CFF0FC"/>
          </w:tcPr>
          <w:p>
            <w:pPr>
              <w:spacing w:after="0"/>
              <w:rPr>
                <w:sz w:val="19"/>
                <w:szCs w:val="19"/>
                <w:color w:val="auto"/>
              </w:rPr>
            </w:pPr>
          </w:p>
        </w:tc>
        <w:tc>
          <w:tcPr>
            <w:tcW w:w="402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FF0FC"/>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2022</w:t>
            </w:r>
          </w:p>
        </w:tc>
        <w:tc>
          <w:tcPr>
            <w:tcW w:w="45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580" w:type="dxa"/>
            <w:vAlign w:val="bottom"/>
            <w:shd w:val="clear" w:color="auto" w:fill="CFF0FC"/>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FF0FC"/>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2024</w:t>
            </w:r>
          </w:p>
        </w:tc>
        <w:tc>
          <w:tcPr>
            <w:tcW w:w="45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r>
      <w:tr>
        <w:trPr>
          <w:trHeight w:val="229"/>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580" w:type="dxa"/>
            <w:vAlign w:val="bottom"/>
            <w:shd w:val="clear" w:color="auto" w:fill="CFF0FC"/>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9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26,023</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minimum payments</w:t>
            </w:r>
          </w:p>
        </w:tc>
        <w:tc>
          <w:tcPr>
            <w:tcW w:w="29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43,485</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gridSpan w:val="2"/>
          </w:tcPr>
          <w:p>
            <w:pPr>
              <w:ind w:left="140"/>
              <w:spacing w:after="0"/>
              <w:rPr>
                <w:sz w:val="20"/>
                <w:szCs w:val="20"/>
                <w:color w:val="auto"/>
              </w:rPr>
            </w:pPr>
            <w:r>
              <w:rPr>
                <w:rFonts w:ascii="Arial" w:cs="Arial" w:eastAsia="Arial" w:hAnsi="Arial"/>
                <w:sz w:val="18"/>
                <w:szCs w:val="18"/>
                <w:color w:val="auto"/>
              </w:rPr>
              <w:t>Less: amount representing interest</w:t>
            </w:r>
          </w:p>
        </w:tc>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(12,320)</w:t>
            </w:r>
          </w:p>
        </w:tc>
      </w:tr>
      <w:tr>
        <w:trPr>
          <w:trHeight w:val="223"/>
        </w:trPr>
        <w:tc>
          <w:tcPr>
            <w:tcW w:w="55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121" w:lineRule="exact"/>
        <w:rPr>
          <w:sz w:val="20"/>
          <w:szCs w:val="20"/>
          <w:color w:val="auto"/>
        </w:rPr>
      </w:pPr>
    </w:p>
    <w:p>
      <w:pPr>
        <w:jc w:val="both"/>
        <w:ind w:right="60" w:firstLine="589"/>
        <w:spacing w:after="0" w:line="286" w:lineRule="auto"/>
        <w:rPr>
          <w:sz w:val="20"/>
          <w:szCs w:val="20"/>
          <w:color w:val="auto"/>
        </w:rPr>
      </w:pPr>
      <w:r>
        <w:rPr>
          <w:rFonts w:ascii="Arial" w:cs="Arial" w:eastAsia="Arial" w:hAnsi="Arial"/>
          <w:sz w:val="17"/>
          <w:szCs w:val="17"/>
          <w:color w:val="auto"/>
        </w:rPr>
        <w:t>Basic net (loss) income per share is calculated by dividing net (loss) income by the weighted average shares outstanding during the period, without consideration of common stock equivalents. Diluted net (loss) income per share is calculated by adjusting the weighted average shares outstanding for the dilutive effect of common stock equivalents outstanding for the period, determined using the treasury-stock method.</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basic and diluted net (loss) income per share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For the Year Ended December 31,</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7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5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34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8"/>
              <w:spacing w:after="0"/>
              <w:rPr>
                <w:sz w:val="20"/>
                <w:szCs w:val="20"/>
                <w:color w:val="auto"/>
              </w:rPr>
            </w:pPr>
            <w:r>
              <w:rPr>
                <w:rFonts w:ascii="Arial" w:cs="Arial" w:eastAsia="Arial" w:hAnsi="Arial"/>
                <w:sz w:val="18"/>
                <w:szCs w:val="18"/>
                <w:color w:val="auto"/>
              </w:rPr>
              <w:t>(3,445)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33,343</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(58,394)</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161,632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157,890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161,632</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161,522</w:t>
            </w: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 per share - basic</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Net (loss) income per share - diluted</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8"/>
              <w:spacing w:after="0"/>
              <w:rPr>
                <w:sz w:val="20"/>
                <w:szCs w:val="20"/>
                <w:color w:val="auto"/>
              </w:rPr>
            </w:pPr>
            <w:r>
              <w:rPr>
                <w:rFonts w:ascii="Arial" w:cs="Arial" w:eastAsia="Arial" w:hAnsi="Arial"/>
                <w:sz w:val="18"/>
                <w:szCs w:val="18"/>
                <w:color w:val="auto"/>
              </w:rPr>
              <w:t>(0.02)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 xml:space="preserve">Antidilutive shares excluded from diluted net (loss) income per share </w:t>
            </w:r>
            <w:r>
              <w:rPr>
                <w:rFonts w:ascii="Arial" w:cs="Arial" w:eastAsia="Arial" w:hAnsi="Arial"/>
                <w:sz w:val="15"/>
                <w:szCs w:val="15"/>
                <w:color w:val="auto"/>
                <w:w w:val="99"/>
              </w:rPr>
              <w:t>(1)</w:t>
            </w: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Warrants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Non-qualified stock options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Performance share units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Restricted stock units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antidilutive shares excluded</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27,923</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right="180" w:hanging="580"/>
        <w:spacing w:after="0" w:line="277" w:lineRule="auto"/>
        <w:tabs>
          <w:tab w:leader="none" w:pos="10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These amounts represent outstanding shares as of fiscal years ended December 31, 2020 and 2018 and weighted average antidilutive shares for fiscal year ended December 31, 2019.</w:t>
      </w:r>
    </w:p>
    <w:p>
      <w:pPr>
        <w:spacing w:after="0" w:line="170" w:lineRule="exact"/>
        <w:rPr>
          <w:rFonts w:ascii="Arial" w:cs="Arial" w:eastAsia="Arial" w:hAnsi="Arial"/>
          <w:sz w:val="15"/>
          <w:szCs w:val="15"/>
          <w:color w:val="auto"/>
        </w:rPr>
      </w:pPr>
    </w:p>
    <w:p>
      <w:pPr>
        <w:ind w:left="1020" w:hanging="580"/>
        <w:spacing w:after="0"/>
        <w:tabs>
          <w:tab w:leader="none" w:pos="10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 xml:space="preserve">Contingently issuable shares relate to the earn-out agreement as discussed in Note 16,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spacing w:after="0"/>
        <w:tabs>
          <w:tab w:leader="none" w:pos="56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Income Taxes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December 2019, COVID-19 emerged and has since spread throughout the world causing severe disruption to the global economy. On March 11,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2020, the World Health Organization declared COVID-19 a pandemic. On March 27, 2020, the Coronavirus Aid, Relief, and Economic Security 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CARES Act</w:t>
      </w:r>
      <w:r>
        <w:rPr>
          <w:rFonts w:ascii="Arial" w:cs="Arial" w:eastAsia="Arial" w:hAnsi="Arial"/>
          <w:sz w:val="16"/>
          <w:szCs w:val="16"/>
          <w:color w:val="auto"/>
        </w:rPr>
        <w:t>”) was signed into law. There were several income tax provisions and other non-tax matters incorporated into law as a result of the enactment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CARES Act. The Company applied certain articles of the CARES Act in the income tax provision (benefit), including the increased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deduction allowed up to 50 percent of adjusted taxable income for tax years 2019 and 2020. For the year ended December 31, 2019, the Company deducted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additional $4.7 million in interest expense in the 2019 federal income tax return as a result of the increased adjusted taxable income limitation.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 the Company elected to delay the employer-side of the FICA payments until 2021 as provided under the CARES Act.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income (loss) before income tax provision (benefit) consisted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660" w:type="dxa"/>
            <w:vAlign w:val="bottom"/>
            <w:vMerge w:val="restart"/>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For the Year Ended December 31,</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U.S.</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7,562</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49,922</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(75,283)</w:t>
            </w: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9"/>
                <w:szCs w:val="19"/>
                <w:color w:val="auto"/>
              </w:rPr>
            </w:pPr>
          </w:p>
        </w:tc>
        <w:tc>
          <w:tcPr>
            <w:tcW w:w="1500" w:type="dxa"/>
            <w:vAlign w:val="bottom"/>
            <w:gridSpan w:val="2"/>
          </w:tcPr>
          <w:p>
            <w:pPr>
              <w:jc w:val="right"/>
              <w:ind w:right="148"/>
              <w:spacing w:after="0"/>
              <w:rPr>
                <w:sz w:val="20"/>
                <w:szCs w:val="20"/>
                <w:color w:val="auto"/>
              </w:rPr>
            </w:pPr>
            <w:r>
              <w:rPr>
                <w:rFonts w:ascii="Arial" w:cs="Arial" w:eastAsia="Arial" w:hAnsi="Arial"/>
                <w:sz w:val="18"/>
                <w:szCs w:val="18"/>
                <w:color w:val="auto"/>
              </w:rPr>
              <w:t>(5,576)</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(2,998)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income (loss) before income tax provision (benefit)</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income tax provision (benefit) consisted of the following items: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86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For the Year Ended December 31,</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7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8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22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4,169</w:t>
            </w:r>
          </w:p>
        </w:tc>
        <w:tc>
          <w:tcPr>
            <w:tcW w:w="16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16,901</w:t>
            </w:r>
          </w:p>
        </w:tc>
        <w:tc>
          <w:tcPr>
            <w:tcW w:w="260" w:type="dxa"/>
            <w:vAlign w:val="bottom"/>
          </w:tcPr>
          <w:p>
            <w:pPr>
              <w:spacing w:after="0"/>
              <w:rPr>
                <w:sz w:val="19"/>
                <w:szCs w:val="19"/>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State</w:t>
            </w:r>
          </w:p>
        </w:tc>
        <w:tc>
          <w:tcPr>
            <w:tcW w:w="1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Foreign</w:t>
            </w:r>
          </w:p>
        </w:tc>
        <w:tc>
          <w:tcPr>
            <w:tcW w:w="18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Federal</w:t>
            </w:r>
          </w:p>
        </w:tc>
        <w:tc>
          <w:tcPr>
            <w:tcW w:w="1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(8,542)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(18,334)</w:t>
            </w: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(2,092)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Foreign</w:t>
            </w:r>
          </w:p>
        </w:tc>
        <w:tc>
          <w:tcPr>
            <w:tcW w:w="1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deferred</w:t>
            </w:r>
          </w:p>
        </w:tc>
        <w:tc>
          <w:tcPr>
            <w:tcW w:w="18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8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ind w:right="480" w:firstLine="589"/>
        <w:spacing w:after="0" w:line="277" w:lineRule="auto"/>
        <w:rPr>
          <w:sz w:val="20"/>
          <w:szCs w:val="20"/>
          <w:color w:val="auto"/>
        </w:rPr>
      </w:pPr>
      <w:r>
        <w:rPr>
          <w:rFonts w:ascii="Arial" w:cs="Arial" w:eastAsia="Arial" w:hAnsi="Arial"/>
          <w:sz w:val="18"/>
          <w:szCs w:val="18"/>
          <w:color w:val="auto"/>
        </w:rPr>
        <w:t>A reconciliation to the income tax provision (benefit) from the amounts computed by applying the statutory U.S. federal income tax rate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72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For the Year Ended December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7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tax provision (benefit) at statutory rate</w:t>
            </w:r>
          </w:p>
        </w:tc>
        <w:tc>
          <w:tcPr>
            <w:tcW w:w="10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9,854</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Arial" w:cs="Arial" w:eastAsia="Arial" w:hAnsi="Arial"/>
                <w:sz w:val="18"/>
                <w:szCs w:val="18"/>
                <w:color w:val="auto"/>
              </w:rPr>
              <w:t>State income taxes, net of federal income tax effect</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rate changes/ valuation of deferred tax items</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Arial" w:cs="Arial" w:eastAsia="Arial" w:hAnsi="Arial"/>
                <w:sz w:val="18"/>
                <w:szCs w:val="18"/>
                <w:color w:val="auto"/>
              </w:rPr>
              <w:t>162(m) limitation</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Unrecognized tax benefits</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Non-deductible transaction costs</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(232)</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Arial" w:cs="Arial" w:eastAsia="Arial" w:hAnsi="Arial"/>
                <w:sz w:val="18"/>
                <w:szCs w:val="18"/>
                <w:color w:val="auto"/>
              </w:rPr>
              <w:t>Global intangible low tax inclusion</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(984)</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Total income tax provision (benefit)</w:t>
            </w:r>
          </w:p>
        </w:tc>
        <w:tc>
          <w:tcPr>
            <w:tcW w:w="10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Significant components of the Company’s deferred income tax assets and liabilities consist of the following at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jc w:val="right"/>
              <w:ind w:right="75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6"/>
        </w:trPr>
        <w:tc>
          <w:tcPr>
            <w:tcW w:w="6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r>
      <w:tr>
        <w:trPr>
          <w:trHeight w:val="229"/>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Allowance for credit loss</w:t>
            </w: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Net operating loss carryforward</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3,626</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19"/>
                <w:szCs w:val="19"/>
                <w:color w:val="auto"/>
              </w:rPr>
            </w:pPr>
          </w:p>
        </w:tc>
      </w:tr>
      <w:tr>
        <w:trPr>
          <w:trHeight w:val="229"/>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 expense limitation carryforward</w:t>
            </w: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Federal and state income tax credits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1,132</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9"/>
                <w:szCs w:val="19"/>
                <w:color w:val="auto"/>
              </w:rPr>
            </w:pPr>
          </w:p>
        </w:tc>
      </w:tr>
      <w:tr>
        <w:trPr>
          <w:trHeight w:val="229"/>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ASC 842 operating lease liabilities</w:t>
            </w: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8,679</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8,660</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Transaction costs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21,901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23,772</w:t>
            </w:r>
          </w:p>
        </w:tc>
        <w:tc>
          <w:tcPr>
            <w:tcW w:w="120" w:type="dxa"/>
            <w:vAlign w:val="bottom"/>
          </w:tcPr>
          <w:p>
            <w:pPr>
              <w:spacing w:after="0"/>
              <w:rPr>
                <w:sz w:val="19"/>
                <w:szCs w:val="19"/>
                <w:color w:val="auto"/>
              </w:rPr>
            </w:pPr>
          </w:p>
        </w:tc>
      </w:tr>
      <w:tr>
        <w:trPr>
          <w:trHeight w:val="230"/>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Valuation allowance</w:t>
            </w:r>
          </w:p>
        </w:tc>
        <w:tc>
          <w:tcPr>
            <w:tcW w:w="4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(3,422)</w:t>
            </w:r>
          </w:p>
        </w:tc>
        <w:tc>
          <w:tcPr>
            <w:tcW w:w="4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(2,564)</w:t>
            </w: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Deferred tax assets, net of valuation allowance</w:t>
            </w: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18,479</w:t>
            </w:r>
          </w:p>
        </w:tc>
        <w:tc>
          <w:tcPr>
            <w:tcW w:w="3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21,208</w:t>
            </w:r>
          </w:p>
        </w:tc>
        <w:tc>
          <w:tcPr>
            <w:tcW w:w="120" w:type="dxa"/>
            <w:vAlign w:val="bottom"/>
          </w:tcPr>
          <w:p>
            <w:pPr>
              <w:spacing w:after="0"/>
              <w:rPr>
                <w:sz w:val="19"/>
                <w:szCs w:val="19"/>
                <w:color w:val="auto"/>
              </w:rPr>
            </w:pPr>
          </w:p>
        </w:tc>
      </w:tr>
      <w:tr>
        <w:trPr>
          <w:trHeight w:val="230"/>
        </w:trPr>
        <w:tc>
          <w:tcPr>
            <w:tcW w:w="6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Intangible assets and transaction costs</w:t>
            </w:r>
          </w:p>
        </w:tc>
        <w:tc>
          <w:tcPr>
            <w:tcW w:w="44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(16,358)</w:t>
            </w:r>
          </w:p>
        </w:tc>
        <w:tc>
          <w:tcPr>
            <w:tcW w:w="4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(27,489)</w:t>
            </w:r>
          </w:p>
        </w:tc>
      </w:tr>
      <w:tr>
        <w:trPr>
          <w:trHeight w:val="229"/>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(10,285)</w:t>
            </w:r>
          </w:p>
        </w:tc>
        <w:tc>
          <w:tcPr>
            <w:tcW w:w="4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(9,941)</w:t>
            </w: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Financing costs</w:t>
            </w:r>
          </w:p>
        </w:tc>
        <w:tc>
          <w:tcPr>
            <w:tcW w:w="44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(3,730)</w:t>
            </w:r>
          </w:p>
        </w:tc>
        <w:tc>
          <w:tcPr>
            <w:tcW w:w="4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r>
      <w:tr>
        <w:trPr>
          <w:trHeight w:val="230"/>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Prepaid assets</w:t>
            </w:r>
          </w:p>
        </w:tc>
        <w:tc>
          <w:tcPr>
            <w:tcW w:w="4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(957)</w:t>
            </w:r>
          </w:p>
        </w:tc>
        <w:tc>
          <w:tcPr>
            <w:tcW w:w="4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(604)</w:t>
            </w: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ASC 842 operating lease assets</w:t>
            </w:r>
          </w:p>
        </w:tc>
        <w:tc>
          <w:tcPr>
            <w:tcW w:w="44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(8,297)</w:t>
            </w:r>
          </w:p>
        </w:tc>
        <w:tc>
          <w:tcPr>
            <w:tcW w:w="4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(8,408)</w:t>
            </w:r>
          </w:p>
        </w:tc>
      </w:tr>
      <w:tr>
        <w:trPr>
          <w:trHeight w:val="223"/>
        </w:trPr>
        <w:tc>
          <w:tcPr>
            <w:tcW w:w="6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deferred tax liabilities</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(39,627)</w:t>
            </w:r>
          </w:p>
        </w:tc>
        <w:tc>
          <w:tcPr>
            <w:tcW w:w="3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Total deferred tax liabilities, net</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(21,148)</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 xml:space="preserve">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are reduced by a valuation allowance if it is more likely than not that some portion or all of the deferred tax assets will not be realized. The realization of deferred tax assets can be affected by, among other things, the nature, frequency and severity of current and cumulative losses, forecasts of future profitability, the length of statutory carryforward periods, the Company’s experience with utilizing operating losses and tax credit carryforwards by jurisdiction, and tax planning alternatives and strategies that may be available.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3" w:name="page94"/>
    <w:bookmarkEnd w:id="93"/>
    <w:p>
      <w:pPr>
        <w:ind w:right="60" w:firstLine="589"/>
        <w:spacing w:after="0" w:line="275" w:lineRule="auto"/>
        <w:rPr>
          <w:sz w:val="20"/>
          <w:szCs w:val="20"/>
          <w:color w:val="auto"/>
        </w:rPr>
      </w:pPr>
      <w:r>
        <w:rPr>
          <w:rFonts w:ascii="Arial" w:cs="Arial" w:eastAsia="Arial" w:hAnsi="Arial"/>
          <w:sz w:val="17"/>
          <w:szCs w:val="17"/>
          <w:color w:val="auto"/>
        </w:rPr>
        <w:t>The Company performed an analysis of the reversal of the deferred tax assets and considered the overall business environment, historical earnings and the outlook for future years. The Company determined that it is more likely than not that the benefit from certain state and foreign net operating loss carryforwards will not be realized as of the years ended December 31, 2020 and 2019, and as such provided a valuation allowance of $3.4 million and $2.6 million, respectively. The valuation allowance could be adjusted in future periods if estimates of future taxable income during the carryforward period are increased or if objective negative evidence in the form of cumulative losses is no longer present.</w:t>
      </w:r>
    </w:p>
    <w:p>
      <w:pPr>
        <w:spacing w:after="0" w:line="17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net operating loss carryforwards represent $31.1 million and $25.5 million of state net operating losses at December 31, 2020 and 2019, respectively. The Company has certain tax credits of $1.5 million and $1.8 million at December 31, 2020 and 2019, respectively, which if unused will begin to expire in 2024.</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activity related to the Company’s unrecognized tax benefits as of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6"/>
        </w:trPr>
        <w:tc>
          <w:tcPr>
            <w:tcW w:w="6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3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Increases/(decreases) related to current year tax positions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9"/>
        </w:trPr>
        <w:tc>
          <w:tcPr>
            <w:tcW w:w="6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Increases/(decreases) related to prior year tax positions</w:t>
            </w: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Expiration due to statute of limitations</w:t>
            </w:r>
          </w:p>
        </w:tc>
        <w:tc>
          <w:tcPr>
            <w:tcW w:w="44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(1,207)</w:t>
            </w:r>
          </w:p>
        </w:tc>
        <w:tc>
          <w:tcPr>
            <w:tcW w:w="4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r>
      <w:tr>
        <w:trPr>
          <w:trHeight w:val="223"/>
        </w:trPr>
        <w:tc>
          <w:tcPr>
            <w:tcW w:w="6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89"/>
        <w:spacing w:after="0" w:line="308" w:lineRule="auto"/>
        <w:rPr>
          <w:sz w:val="20"/>
          <w:szCs w:val="20"/>
          <w:color w:val="auto"/>
        </w:rPr>
      </w:pPr>
      <w:r>
        <w:rPr>
          <w:rFonts w:ascii="Arial" w:cs="Arial" w:eastAsia="Arial" w:hAnsi="Arial"/>
          <w:sz w:val="17"/>
          <w:szCs w:val="17"/>
          <w:color w:val="auto"/>
        </w:rPr>
        <w:t>Included in the balance of unrecognized tax benefits as of December 31, 2020 were $0.4 million of tax benefits that, if recognized, would impact the effective tax rate. The Company does not expect its unrecognized tax benefits to change significantly over the next 12 months.</w:t>
      </w:r>
    </w:p>
    <w:p>
      <w:pPr>
        <w:spacing w:after="0" w:line="146"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as income tax expense. The Company recognized $1.0 million for fiscal year 2020 and less than $0.1 million for fiscal year 2019, in interest and penalties. At December 31, 2020 and 2019, the Company had accrued interest and penalties of less than $0.1 million and $0.9 million, respectively. The Company accounts for uncertain tax positions by recognizing the financial statement effects of a tax position only when, based on technical merits, it is more likely than not that the tax position will be sustained under examination.</w:t>
      </w:r>
    </w:p>
    <w:p>
      <w:pPr>
        <w:spacing w:after="0" w:line="188"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Company is subject to examination by the Internal Revenue Service and taxing authorities in various states. The Company’s U.S. federal income tax returns remain subject to examination by tax authorities for the years 2017 to 2019. The Company’s state income tax returns are no longer subject to income tax examination by tax authorities prior to 2016; however, our net operating loss carryforwards and research credit carryforwards arising prior to that year are subject to adjustment. The Company regularly assesses the likelihood of tax deficiencies in each of the tax jurisdictions and, accordingly, makes appropriate adjustments to the tax provision as deemed necessary.</w:t>
      </w:r>
    </w:p>
    <w:p>
      <w:pPr>
        <w:spacing w:after="0" w:line="292"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conjunction with the Business Combination on October 17, 2018, the Company made changes to its capital stock. The Company’s Amended and Restated Certificate of Incorporation authorizes the issuance of 261,000,000 shares of capital stock, consisting of (i) 260,000,000 shares of Class A Common Stock, and (ii) 1,000,000 shares of preferred stock, each at par value of $0.0001 per share. The outstanding shares of the Company’s common stock are duly authorized, validly issued, fully paid and non-assessable.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As of December 31, 2020, there were warrants outstanding to acquire 19,999,967 shares of the Company’s Class A Common Stock including: (i) 6,666,666 warrants originally issued to Gores Sponsor II, LLC in a private placement in connection with the IPO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and (ii) 13,333,301 warrants issued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ind w:right="260"/>
        <w:spacing w:after="0" w:line="277" w:lineRule="auto"/>
        <w:rPr>
          <w:sz w:val="20"/>
          <w:szCs w:val="20"/>
          <w:color w:val="auto"/>
        </w:rPr>
      </w:pPr>
      <w:r>
        <w:rPr>
          <w:rFonts w:ascii="Arial" w:cs="Arial" w:eastAsia="Arial" w:hAnsi="Arial"/>
          <w:sz w:val="18"/>
          <w:szCs w:val="18"/>
          <w:color w:val="auto"/>
        </w:rPr>
        <w:t>connection with the IPO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The Warrants entitle the registered holder to purchase one share of our Class A Common Stock at a price of $11.50 per share, subject to certain adjustments.</w:t>
      </w:r>
    </w:p>
    <w:p>
      <w:pPr>
        <w:spacing w:after="0" w:line="17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Warrants became exercisable on November 16, 2018, 30 days following the completion of the Business Combination, and expire five years after that date, or earlier upon redemption or liquidation. The Company may redeem the outstanding Warrants at a price of $0.01 per warrant, if the last sale price of its Class A Common Stock equals or exceeds $18.00 per share for any 20 trading days within a 30 trading 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3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Equity Incentive Plan</w:t>
      </w:r>
    </w:p>
    <w:p>
      <w:pPr>
        <w:spacing w:after="0" w:line="12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In October 2018, the Company established the Verra Mobility 2018 Equity Incentive Plan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 which provides for a variety of stock-based awards including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performance share units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and non-qualified stock options to employees and directors. The maximum number of shares of the Company’s common stock that may be subject to awards under the 2018 Plan was 10,864,000 as of December 31, 2020, subject to adjustment in accordance with the terms of the 2018 Plan. At December 31, 2020, the Company had an aggregate of 6,002,689 shares of common stock available for future grants under the 2018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Company’s RSUs consist of a right to receive shares on one or more vesting dates in the future. RSUs granted to employees vest ratably over four years from their individual award dates, subject to continued employment on the applicable vesting dates. RSUs granted to non-employee directors vest on the earlier of (a) the first anniversary of the vesting start date, or (b) the date immediately prior to the next annual stockholders meeting held by the Company occurring after the date of grant.</w:t>
      </w:r>
    </w:p>
    <w:p>
      <w:pPr>
        <w:spacing w:after="0" w:line="254"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The Company granted PSUs to senior executives during fiscal year 2020 which consist of a right to receive shares when certain service and market-vesting conditions are met at the end of a three-year period. The level at which the performance condition is attained upon the completion of the performance period determines the actual number of shares of our Class A Common Stock into which the PSUs will be converted. The conversion percentage ranges from 0% up to 150% of the target level.</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activity of the Company’s RSUs and PSUs: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20" w:type="dxa"/>
            <w:vAlign w:val="bottom"/>
            <w:gridSpan w:val="6"/>
          </w:tcPr>
          <w:p>
            <w:pPr>
              <w:ind w:left="40"/>
              <w:spacing w:after="0"/>
              <w:rPr>
                <w:sz w:val="20"/>
                <w:szCs w:val="20"/>
                <w:color w:val="auto"/>
              </w:rPr>
            </w:pPr>
            <w:r>
              <w:rPr>
                <w:rFonts w:ascii="Arial" w:cs="Arial" w:eastAsia="Arial" w:hAnsi="Arial"/>
                <w:sz w:val="14"/>
                <w:szCs w:val="14"/>
                <w:b w:val="1"/>
                <w:bCs w:val="1"/>
                <w:color w:val="auto"/>
              </w:rPr>
              <w:t xml:space="preserve">RSUs and PSUs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33"/>
        </w:trPr>
        <w:tc>
          <w:tcPr>
            <w:tcW w:w="7140" w:type="dxa"/>
            <w:vAlign w:val="bottom"/>
          </w:tcPr>
          <w:p>
            <w:pPr>
              <w:spacing w:after="0"/>
              <w:rPr>
                <w:sz w:val="11"/>
                <w:szCs w:val="11"/>
                <w:color w:val="auto"/>
              </w:rPr>
            </w:pPr>
          </w:p>
        </w:tc>
        <w:tc>
          <w:tcPr>
            <w:tcW w:w="1380" w:type="dxa"/>
            <w:vAlign w:val="bottom"/>
            <w:tcBorders>
              <w:top w:val="single" w:sz="8" w:color="auto"/>
            </w:tcBorders>
            <w:vMerge w:val="restart"/>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153"/>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138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3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4,437</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3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4,437</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(953)</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3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3,004</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(986)</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8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2,309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20" w:right="80" w:hanging="43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awards granted in fiscal year 2020 include 116 PSUs that had a weighted average grant date fair value of $13.88, of which 10 units were forfeited. There were no PSUs that vested during fiscal year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ind w:right="260" w:firstLine="589"/>
        <w:spacing w:after="0" w:line="286" w:lineRule="auto"/>
        <w:rPr>
          <w:sz w:val="20"/>
          <w:szCs w:val="20"/>
          <w:color w:val="auto"/>
        </w:rPr>
      </w:pPr>
      <w:r>
        <w:rPr>
          <w:rFonts w:ascii="Arial" w:cs="Arial" w:eastAsia="Arial" w:hAnsi="Arial"/>
          <w:sz w:val="17"/>
          <w:szCs w:val="17"/>
          <w:color w:val="auto"/>
        </w:rPr>
        <w:t>The fair value of RSUs vested during fiscal years 2020 and 2019 was $10.2 million and $9.7 million, respectively. No RSUs granted pursuant to the 2018 Plan vested in 2018. As of December 31, 2020, we had $21.1 million of unrecognized stock-based compensation expense related to unvested RSUs and PSUs, which is expected to be recognized over a weighted average period of 2.2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500" w:firstLine="589"/>
        <w:spacing w:after="0" w:line="263" w:lineRule="auto"/>
        <w:rPr>
          <w:sz w:val="20"/>
          <w:szCs w:val="20"/>
          <w:color w:val="auto"/>
        </w:rPr>
      </w:pPr>
      <w:r>
        <w:rPr>
          <w:rFonts w:ascii="Arial" w:cs="Arial" w:eastAsia="Arial" w:hAnsi="Arial"/>
          <w:sz w:val="18"/>
          <w:szCs w:val="18"/>
          <w:color w:val="auto"/>
        </w:rPr>
        <w:t>During fiscal year 2020, the Company granted stock options that vest ratably over four years from their individual award dates, subject to continued employment on the applicable vesting dates. The Company did not grant stock options for fiscal years 2019 and 2018. The following table summarizes the activity of the Company’s stock options: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4100" w:type="dxa"/>
            <w:vAlign w:val="bottom"/>
            <w:gridSpan w:val="7"/>
          </w:tcPr>
          <w:p>
            <w:pPr>
              <w:ind w:left="1160"/>
              <w:spacing w:after="0"/>
              <w:rPr>
                <w:sz w:val="20"/>
                <w:szCs w:val="20"/>
                <w:color w:val="auto"/>
              </w:rPr>
            </w:pPr>
            <w:r>
              <w:rPr>
                <w:rFonts w:ascii="Arial" w:cs="Arial" w:eastAsia="Arial" w:hAnsi="Arial"/>
                <w:sz w:val="14"/>
                <w:szCs w:val="14"/>
                <w:b w:val="1"/>
                <w:bCs w:val="1"/>
                <w:color w:val="auto"/>
              </w:rPr>
              <w:t>Stock Options Outstanding</w:t>
            </w:r>
          </w:p>
        </w:tc>
      </w:tr>
      <w:tr>
        <w:trPr>
          <w:trHeight w:val="133"/>
        </w:trPr>
        <w:tc>
          <w:tcPr>
            <w:tcW w:w="7140" w:type="dxa"/>
            <w:vAlign w:val="bottom"/>
          </w:tcPr>
          <w:p>
            <w:pPr>
              <w:spacing w:after="0"/>
              <w:rPr>
                <w:sz w:val="11"/>
                <w:szCs w:val="11"/>
                <w:color w:val="auto"/>
              </w:rPr>
            </w:pPr>
          </w:p>
        </w:tc>
        <w:tc>
          <w:tcPr>
            <w:tcW w:w="1420" w:type="dxa"/>
            <w:vAlign w:val="bottom"/>
            <w:tcBorders>
              <w:top w:val="single" w:sz="8" w:color="auto"/>
            </w:tcBorders>
          </w:tcPr>
          <w:p>
            <w:pPr>
              <w:jc w:val="center"/>
              <w:ind w:left="328"/>
              <w:spacing w:after="0" w:line="133" w:lineRule="exact"/>
              <w:rPr>
                <w:sz w:val="20"/>
                <w:szCs w:val="20"/>
                <w:color w:val="auto"/>
              </w:rPr>
            </w:pPr>
            <w:r>
              <w:rPr>
                <w:rFonts w:ascii="Arial" w:cs="Arial" w:eastAsia="Arial" w:hAnsi="Arial"/>
                <w:sz w:val="14"/>
                <w:szCs w:val="14"/>
                <w:b w:val="1"/>
                <w:bCs w:val="1"/>
                <w:color w:val="auto"/>
                <w:w w:val="89"/>
              </w:rPr>
              <w:t>Shares</w:t>
            </w: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155"/>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r>
      <w:tr>
        <w:trPr>
          <w:trHeight w:val="171"/>
        </w:trPr>
        <w:tc>
          <w:tcPr>
            <w:tcW w:w="7140" w:type="dxa"/>
            <w:vAlign w:val="bottom"/>
          </w:tcPr>
          <w:p>
            <w:pPr>
              <w:spacing w:after="0"/>
              <w:rPr>
                <w:sz w:val="14"/>
                <w:szCs w:val="14"/>
                <w:color w:val="auto"/>
              </w:rPr>
            </w:pP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4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r>
      <w:tr>
        <w:trPr>
          <w:trHeight w:val="229"/>
        </w:trPr>
        <w:tc>
          <w:tcPr>
            <w:tcW w:w="8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r>
      <w:tr>
        <w:trPr>
          <w:trHeight w:val="223"/>
        </w:trPr>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4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89"/>
        <w:spacing w:after="0" w:line="286" w:lineRule="auto"/>
        <w:rPr>
          <w:sz w:val="20"/>
          <w:szCs w:val="20"/>
          <w:color w:val="auto"/>
        </w:rPr>
      </w:pPr>
      <w:r>
        <w:rPr>
          <w:rFonts w:ascii="Arial" w:cs="Arial" w:eastAsia="Arial" w:hAnsi="Arial"/>
          <w:sz w:val="17"/>
          <w:szCs w:val="17"/>
          <w:color w:val="auto"/>
        </w:rPr>
        <w:t>The weighted average grant date fair value of options was $4.36 and the remaining contractual term is 9.2 years. There were no stock options exercised during the fiscal year 2020. As of December 31, 2020, we had $2.1 million of unrecognized stock-based compensation expense related to unvested stock options which is expected to be recognized over a weighted average period of 3.2 years.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details the components of stock-based compensation for the respective periods: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28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2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5"/>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9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12,589</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0" w:firstLine="589"/>
        <w:spacing w:after="0" w:line="342" w:lineRule="auto"/>
        <w:rPr>
          <w:sz w:val="20"/>
          <w:szCs w:val="20"/>
          <w:color w:val="auto"/>
        </w:rPr>
      </w:pPr>
      <w:r>
        <w:rPr>
          <w:rFonts w:ascii="Arial" w:cs="Arial" w:eastAsia="Arial" w:hAnsi="Arial"/>
          <w:sz w:val="16"/>
          <w:szCs w:val="16"/>
          <w:color w:val="auto"/>
        </w:rPr>
        <w:t>Tax benefits attributable to stock-based compensation represented approximately $2.9 million, $3.4 million and $0 of stock-based compensation expense, before limitations under section 162(m) of the Internal Revenue Code, during the years ended December 31, 2020, 2019 and 2018, respectively.</w:t>
      </w:r>
    </w:p>
    <w:p>
      <w:pPr>
        <w:spacing w:after="0" w:line="268"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The Company has a 401(k) plan that covers substantially all employees who meet certain eligibility requirements. Covered employees may elect to have a portion of their compensation withheld up to the statutory limit. The 401(k) plan includes a company match that vests immediately. The Company made employer contributions of $1.7 million, $1.7 million and $1.6 million during the fiscal years ended December 31, 2020, 2019 and 2018, respectively.</w:t>
      </w:r>
    </w:p>
    <w:p>
      <w:pPr>
        <w:spacing w:after="0" w:line="253"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At the closing of the Business Combination, the Company entered into the Tax Receivable Agreement (“</w:t>
      </w:r>
      <w:r>
        <w:rPr>
          <w:rFonts w:ascii="Arial" w:cs="Arial" w:eastAsia="Arial" w:hAnsi="Arial"/>
          <w:sz w:val="17"/>
          <w:szCs w:val="17"/>
          <w:b w:val="1"/>
          <w:bCs w:val="1"/>
          <w:i w:val="1"/>
          <w:iCs w:val="1"/>
          <w:color w:val="auto"/>
        </w:rPr>
        <w:t>Tax Receivable Agreement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TRA</w:t>
      </w:r>
      <w:r>
        <w:rPr>
          <w:rFonts w:ascii="Arial" w:cs="Arial" w:eastAsia="Arial" w:hAnsi="Arial"/>
          <w:sz w:val="17"/>
          <w:szCs w:val="17"/>
          <w:color w:val="auto"/>
        </w:rPr>
        <w:t>”) with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and Greenlight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6" w:name="page97"/>
    <w:bookmarkEnd w:id="96"/>
    <w:p>
      <w:pPr>
        <w:jc w:val="both"/>
        <w:ind w:right="440"/>
        <w:spacing w:after="0" w:line="279" w:lineRule="auto"/>
        <w:rPr>
          <w:sz w:val="20"/>
          <w:szCs w:val="20"/>
          <w:color w:val="auto"/>
        </w:rPr>
      </w:pPr>
      <w:r>
        <w:rPr>
          <w:rFonts w:ascii="Arial" w:cs="Arial" w:eastAsia="Arial" w:hAnsi="Arial"/>
          <w:sz w:val="17"/>
          <w:szCs w:val="17"/>
          <w:color w:val="auto"/>
        </w:rPr>
        <w:t>the closing of the Business Combination as a result of the increase in the tax basis of the intangible assets which resulted from an acquisition by Verra Mobility prior to the Business Combination. The post-closing company generally retains the benefit of the remaining 50% of these cash savings. The Company estimated the potential maximum benefit to be paid will be approximately $70.0 million, and recorded an initial liability and corresponding charge to equity at the closing of the Business Combination. Subsequently, the Company made adjustments to this amount.</w:t>
      </w:r>
    </w:p>
    <w:p>
      <w:pPr>
        <w:spacing w:after="0" w:line="63"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Company recorded a $6.8 million expense in fiscal year 2020 and $0.1 million of income in fiscal year 2019 to tax receivable agreement liability adjustment in the consolidated statements of operations. The adjustment in 2020 reflects the impact of an increase to the Company’s deferred tax rate arising from higher estimated state tax rates due to a change in apportionment. At December 31, 2020, the TRA liability was approximately $72.7 million of which $4.8 million was the current portion and $67.9 million was the non-current portion, both of which are included in the respective payable to related party pursuant to tax receivable agreement line items on the consolidated balance sheets.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 Price</w:t>
      </w:r>
      <w:r>
        <w:rPr>
          <w:rFonts w:ascii="Arial" w:cs="Arial" w:eastAsia="Arial" w:hAnsi="Arial"/>
          <w:sz w:val="18"/>
          <w:szCs w:val="18"/>
          <w:color w:val="auto"/>
        </w:rPr>
        <w: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Common Stock Price thresholds</w:t>
            </w:r>
          </w:p>
        </w:tc>
        <w:tc>
          <w:tcPr>
            <w:tcW w:w="4220" w:type="dxa"/>
            <w:vAlign w:val="bottom"/>
            <w:gridSpan w:val="2"/>
          </w:tcPr>
          <w:p>
            <w:pPr>
              <w:ind w:left="1200"/>
              <w:spacing w:after="0"/>
              <w:rPr>
                <w:sz w:val="20"/>
                <w:szCs w:val="20"/>
                <w:color w:val="auto"/>
              </w:rPr>
            </w:pPr>
            <w:r>
              <w:rPr>
                <w:rFonts w:ascii="Arial" w:cs="Arial" w:eastAsia="Arial" w:hAnsi="Arial"/>
                <w:sz w:val="14"/>
                <w:szCs w:val="14"/>
                <w:b w:val="1"/>
                <w:bCs w:val="1"/>
                <w:color w:val="auto"/>
              </w:rPr>
              <w:t>One-time issuance of shares</w:t>
            </w:r>
          </w:p>
        </w:tc>
      </w:tr>
      <w:tr>
        <w:trPr>
          <w:trHeight w:val="223"/>
        </w:trPr>
        <w:tc>
          <w:tcPr>
            <w:tcW w:w="6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xml:space="preserve">&gt; $13.00 </w:t>
            </w:r>
            <w:r>
              <w:rPr>
                <w:rFonts w:ascii="Arial" w:cs="Arial" w:eastAsia="Arial" w:hAnsi="Arial"/>
                <w:sz w:val="15"/>
                <w:szCs w:val="15"/>
                <w:color w:val="auto"/>
                <w:w w:val="91"/>
              </w:rPr>
              <w:t>(a)</w:t>
            </w:r>
          </w:p>
        </w:tc>
        <w:tc>
          <w:tcPr>
            <w:tcW w:w="540" w:type="dxa"/>
            <w:vAlign w:val="bottom"/>
            <w:tcBorders>
              <w:top w:val="single" w:sz="8" w:color="CFF0FC"/>
            </w:tcBorders>
            <w:shd w:val="clear" w:color="auto" w:fill="CFF0FC"/>
          </w:tcPr>
          <w:p>
            <w:pPr>
              <w:spacing w:after="0"/>
              <w:rPr>
                <w:sz w:val="19"/>
                <w:szCs w:val="19"/>
                <w:color w:val="auto"/>
              </w:rPr>
            </w:pPr>
          </w:p>
        </w:tc>
        <w:tc>
          <w:tcPr>
            <w:tcW w:w="4120" w:type="dxa"/>
            <w:vAlign w:val="bottom"/>
            <w:tcBorders>
              <w:top w:val="single" w:sz="8" w:color="auto"/>
            </w:tcBorders>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 xml:space="preserve">&gt; $15.50 </w:t>
            </w:r>
            <w:r>
              <w:rPr>
                <w:rFonts w:ascii="Arial" w:cs="Arial" w:eastAsia="Arial" w:hAnsi="Arial"/>
                <w:sz w:val="15"/>
                <w:szCs w:val="15"/>
                <w:color w:val="auto"/>
                <w:w w:val="91"/>
              </w:rPr>
              <w:t>(a)</w:t>
            </w: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540" w:type="dxa"/>
            <w:vAlign w:val="bottom"/>
            <w:shd w:val="clear" w:color="auto" w:fill="CFF0FC"/>
          </w:tcPr>
          <w:p>
            <w:pPr>
              <w:spacing w:after="0"/>
              <w:rPr>
                <w:sz w:val="19"/>
                <w:szCs w:val="19"/>
                <w:color w:val="auto"/>
              </w:rPr>
            </w:pPr>
          </w:p>
        </w:tc>
        <w:tc>
          <w:tcPr>
            <w:tcW w:w="4120" w:type="dxa"/>
            <w:vAlign w:val="bottom"/>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540" w:type="dxa"/>
            <w:vAlign w:val="bottom"/>
          </w:tcPr>
          <w:p>
            <w:pPr>
              <w:spacing w:after="0"/>
              <w:rPr>
                <w:sz w:val="20"/>
                <w:szCs w:val="20"/>
                <w:color w:val="auto"/>
              </w:rPr>
            </w:pP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880" w:hanging="440"/>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first and second tranches of Earn-Out Shares have been issued, as discussed below.</w:t>
      </w:r>
    </w:p>
    <w:p>
      <w:pPr>
        <w:spacing w:after="0" w:line="252"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6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our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we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33"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December 31, 2020.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 free rates utilizing a peer group based on a five-year term. This was initially recorded as a distribution to shareholders and was presented as common stock contingent consideration. Upon the occurrence of a Triggering Event, any issuable shares are transferred from common stock contingent consideration to common stock and additional paid-in capital accounts. Any contingently issuable shares not issued as a result of a Triggering Event not being attained by the end of earn-out period will be canceled.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ind w:right="40" w:firstLine="589"/>
        <w:spacing w:after="0" w:line="273" w:lineRule="auto"/>
        <w:rPr>
          <w:sz w:val="20"/>
          <w:szCs w:val="20"/>
          <w:color w:val="auto"/>
        </w:rPr>
      </w:pPr>
      <w:r>
        <w:rPr>
          <w:rFonts w:ascii="Arial" w:cs="Arial" w:eastAsia="Arial" w:hAnsi="Arial"/>
          <w:sz w:val="17"/>
          <w:szCs w:val="17"/>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December 31, 2020, the potential future shares issuable pursuant to the earn-out are between zero and 5.0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Platinum Stockholder Secondary Offerings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On June 10, 2019, the Platinum Stockholder sold 15,000,000 shares of the Company’s Class A Common Stock in a secondary offering. On July 8, 2019, the underwriters of the secondary offering fully exercised the overallotment option granted at the time of the secondary offering to purchase an additional 2,250,000 shares of the Company’s Class A Common Stock at the secondary offering price of $12.50 per share, less underwriting discounts and commissions, from the Platinum Stockholder.</w:t>
      </w:r>
    </w:p>
    <w:p>
      <w:pPr>
        <w:spacing w:after="0" w:line="187"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On November 18, 2019, the Platinum Stockholder sold 17,250,000 shares of the Company’s Class A Common Stock in a secondary offering at a price per share of $14.10. The offering consisted of an initial 15,000,000 shares, along with an additional 2,250,000 shares purchased pursuant to the underwriter’s exercise in full of an overallotment option granted by the Platinum Stockholder. The Company received no proceeds from either secondary offering conducted by the Platinum Stockholder during 2019.</w:t>
      </w:r>
    </w:p>
    <w:p>
      <w:pPr>
        <w:spacing w:after="0" w:line="18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incurred $1.7 million in expenses related to the secondary offerings during fiscal year 2019, consisting of various registration, filing and professional services fees, which were included in selling, general and administrative expenses in the consolidated statements of operations. Specifically, pursuant to the Amended and Restated Registration Rights Agreement dated as of October 17, 2018, the Company was required to pay, among other things, all registration and filing fees, reasonable fees and expenses of legal counsel for the Platinum Stockholder, and road show and marketing expenses. After giving effect to both secondary offerings and exercises of the overallotment options, the Platinum Stockholder held approximately 13.7% of the Company’s outstanding Class A Common Stock.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w:t>
      </w:r>
    </w:p>
    <w:p>
      <w:pPr>
        <w:spacing w:after="0" w:line="117"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Company had a corporate advisory services agreement with Advisors whereby it paid a management fee for services and related expenses incurred by Advisors in the provision of those services. The Company paid $5.4 million in management fees for fiscal year 2018. In addition, the Company paid $9.7 million related to the provision of acquisition related services and $2.8 million related to the provision of debt financing related services during fiscal year 2018. The agreement was terminated effective October 17, 2018 in connection with the Business Combination.</w:t>
      </w:r>
    </w:p>
    <w:p>
      <w:pPr>
        <w:spacing w:after="0" w:line="184"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On January 7, 2019, the Company entered into a new corporate advisory services agreement with Advisors to provide certain transactional and corporate advisory services to the Company as mutually agreed by the parties. No fees are payable under the agreement, but the Company must reimburse Advisors for its out-of-pocket expenses incurred in connection with services rendered. There were no significant payments made during fiscal years 2019 or 2020.</w:t>
      </w:r>
    </w:p>
    <w:p>
      <w:pPr>
        <w:spacing w:after="0" w:line="331"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vendors and customers. Outstanding letters of credit under these arrangements totaled $6.3 million at December 31, 2020.</w:t>
      </w:r>
    </w:p>
    <w:p>
      <w:pPr>
        <w:spacing w:after="0" w:line="17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December 31, 2020 were $6.3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8" w:name="page99"/>
    <w:bookmarkEnd w:id="98"/>
    <w:p>
      <w:pPr>
        <w:ind w:left="60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48"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NYC Investigation</w:t>
      </w:r>
    </w:p>
    <w:p>
      <w:pPr>
        <w:spacing w:after="0" w:line="225" w:lineRule="exact"/>
        <w:rPr>
          <w:sz w:val="20"/>
          <w:szCs w:val="20"/>
          <w:color w:val="auto"/>
        </w:rPr>
      </w:pPr>
    </w:p>
    <w:p>
      <w:pPr>
        <w:ind w:right="240" w:firstLine="589"/>
        <w:spacing w:after="0" w:line="301" w:lineRule="auto"/>
        <w:rPr>
          <w:sz w:val="20"/>
          <w:szCs w:val="20"/>
          <w:color w:val="auto"/>
        </w:rPr>
      </w:pPr>
      <w:r>
        <w:rPr>
          <w:rFonts w:ascii="Arial" w:cs="Arial" w:eastAsia="Arial" w:hAnsi="Arial"/>
          <w:sz w:val="16"/>
          <w:szCs w:val="16"/>
          <w:color w:val="auto"/>
        </w:rPr>
        <w:t>The New York City Law Department recently advised the Company that the City of New York is investigating certain aspects of the Company’s installation work for its largest customer, NYCDOT. The Company is cooperating with the investigation. It is reasonably possible that the Company becomes subject to claims and assessments by the City of New York. However, at this time, the Company cannot estimate its additional exposure, if any, nor can it estimate whether any potential impact would have a material effect on its results, operations or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Guarantee</w:t>
      </w:r>
    </w:p>
    <w:p>
      <w:pPr>
        <w:spacing w:after="0" w:line="198"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the ordinary course of business, the Company occasionally employs contract terms that mitigate the customer’s risk of aggregate revenue decline in connection with the customer’s adoption of additional or changes to service models within its existing portfolio. These agreements require the customer to satisfy numerous conditions to trigger payment, including volume metrics and other operational requirements. The Company has one such guarantee outstanding for the one-year period ending March 31, 2021. At December 31, 2020, the Company has concluded that the likelihood of making payment under this guarantee is remote, and consequently no liability or corresponding contra revenue has been recorded in the Company’s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Exit Activities</w:t>
      </w:r>
    </w:p>
    <w:p>
      <w:pPr>
        <w:spacing w:after="0" w:line="185" w:lineRule="exact"/>
        <w:rPr>
          <w:sz w:val="20"/>
          <w:szCs w:val="20"/>
          <w:color w:val="auto"/>
        </w:rPr>
      </w:pPr>
    </w:p>
    <w:p>
      <w:pPr>
        <w:ind w:right="20" w:firstLine="589"/>
        <w:spacing w:after="0" w:line="342" w:lineRule="auto"/>
        <w:rPr>
          <w:sz w:val="20"/>
          <w:szCs w:val="20"/>
          <w:color w:val="auto"/>
        </w:rPr>
      </w:pPr>
      <w:r>
        <w:rPr>
          <w:rFonts w:ascii="Arial" w:cs="Arial" w:eastAsia="Arial" w:hAnsi="Arial"/>
          <w:sz w:val="16"/>
          <w:szCs w:val="16"/>
          <w:color w:val="auto"/>
        </w:rPr>
        <w:t>We commenced exit activities consisting of severance and other employee separation costs during the year ended December 31, 2020 and expensed $1.1 million as selling, general and administrative expenses on the consolidated statements of operations. These costs were paid during fiscal year 2020.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consolidated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HTA Settlement Agreement</w:t>
      </w:r>
    </w:p>
    <w:p>
      <w:pPr>
        <w:spacing w:after="0" w:line="19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During the third quarter of 2020, we entered into a Settlement and Release Agreement with the former owners of Highway Toll Administration, LLC (the “</w:t>
      </w:r>
      <w:r>
        <w:rPr>
          <w:rFonts w:ascii="Arial" w:cs="Arial" w:eastAsia="Arial" w:hAnsi="Arial"/>
          <w:sz w:val="18"/>
          <w:szCs w:val="18"/>
          <w:b w:val="1"/>
          <w:bCs w:val="1"/>
          <w:i w:val="1"/>
          <w:iCs w:val="1"/>
          <w:color w:val="auto"/>
        </w:rPr>
        <w:t>HTA Settlement Agreement</w:t>
      </w:r>
      <w:r>
        <w:rPr>
          <w:rFonts w:ascii="Arial" w:cs="Arial" w:eastAsia="Arial" w:hAnsi="Arial"/>
          <w:sz w:val="18"/>
          <w:szCs w:val="18"/>
          <w:color w:val="auto"/>
        </w:rPr>
        <w:t>”) related to certain terms in dispute for which the Company sought indemnification. In connection with the HTA Settlement Agreement, the Company recognized a $1.4 million gain for the distribution of escrow funds and a $1.4 million gain for the receipt of additional proceeds from a third-party insurance carrier related to this matter, both of which are included in other income, net on the consolidated statements of operations for the fiscal year ended December 31, 2020.</w:t>
      </w:r>
    </w:p>
    <w:p>
      <w:pPr>
        <w:spacing w:after="0" w:line="319"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3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local government agencies of all sizes.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92"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impairment of property and equipment,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 There are no significant non-cash items reported in segment profit (loss).</w:t>
      </w:r>
    </w:p>
    <w:p>
      <w:pPr>
        <w:spacing w:after="0" w:line="19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Company allocates certain corporate expenses to the two segments using several different factors depending on the item being allocated. These factors range from specific identification to headcount-based to allocate proportionately between the two segments. The corporate and other columns below include items that are not included in segment profit (loss) plus transaction expenses, fees to Advisors and other items designated by the CODM as corporate initiatives.</w:t>
      </w:r>
    </w:p>
    <w:p>
      <w:pPr>
        <w:spacing w:after="0" w:line="18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 xml:space="preserve">The Company does not disaggregate assets by segment other than equipment installed at customer sites and automobiles, which had carrying values of $44.2 million and $1.8 million, respectively, at December 31, 2020 and carrying values of $46.6 million and $1.5 million, respectively, at December 31, 2019 all of which relate solely to the Government Solutions segment. 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goodwill balances by segment.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100" w:name="page101"/>
    <w:bookmarkEnd w:id="100"/>
    <w:p>
      <w:pPr>
        <w:ind w:left="600"/>
        <w:spacing w:after="0"/>
        <w:rPr>
          <w:sz w:val="20"/>
          <w:szCs w:val="20"/>
          <w:color w:val="auto"/>
        </w:rPr>
      </w:pPr>
      <w:r>
        <w:rPr>
          <w:rFonts w:ascii="Arial" w:cs="Arial" w:eastAsia="Arial" w:hAnsi="Arial"/>
          <w:sz w:val="18"/>
          <w:szCs w:val="18"/>
          <w:color w:val="auto"/>
        </w:rPr>
        <w:t>The following tables set forth financial information by segment for the fiscal years ended December 31, 2020,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For the Year Ended December 31, 2020</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180,856</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155,418</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180,856</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212,737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393,593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52,505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96,585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96,585</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 liability adjustment</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For the Year Ended December 31, 2019</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276,479</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140,244</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276,479</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172,258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448,737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(10,814)</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175,284</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TRA liability adjustment</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60,206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80" w:type="dxa"/>
            <w:vAlign w:val="bottom"/>
            <w:gridSpan w:val="3"/>
          </w:tcPr>
          <w:p>
            <w:pPr>
              <w:jc w:val="right"/>
              <w:ind w:right="772"/>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Year Ended December 31, 2018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16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4"/>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11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222,611</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142,465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222,611</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147,535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(8,680)</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121,622</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140"/>
              <w:spacing w:after="0"/>
              <w:rPr>
                <w:sz w:val="20"/>
                <w:szCs w:val="20"/>
                <w:color w:val="auto"/>
              </w:rPr>
            </w:pPr>
            <w:r>
              <w:rPr>
                <w:rFonts w:ascii="Arial" w:cs="Arial" w:eastAsia="Arial" w:hAnsi="Arial"/>
                <w:sz w:val="18"/>
                <w:szCs w:val="18"/>
                <w:color w:val="auto"/>
              </w:rPr>
              <w:t>(Loss) income before income tax (benefit)</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121,622</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(252,400)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The Company operates in the United States, Canada and Europe. Revenues are attributable to countries based upon the location of the customer. During the years ended December 31, 2020, 2019 and 2018, the Company’s international revenues were $13.3 million, $14.5 million and $11.0 million, respectively. Substantially all of the Company’s assets are in the United States.</w:t>
      </w:r>
    </w:p>
    <w:p>
      <w:pPr>
        <w:spacing w:after="0" w:line="288"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Fourth</w:t>
            </w:r>
          </w:p>
        </w:tc>
      </w:tr>
      <w:tr>
        <w:trPr>
          <w:trHeight w:val="178"/>
        </w:trPr>
        <w:tc>
          <w:tcPr>
            <w:tcW w:w="23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1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76"/>
              <w:spacing w:after="0" w:line="158"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8"/>
              </w:rPr>
              <w:t>Quarter</w:t>
            </w:r>
          </w:p>
        </w:tc>
      </w:tr>
      <w:tr>
        <w:trPr>
          <w:trHeight w:val="217"/>
        </w:trPr>
        <w:tc>
          <w:tcPr>
            <w:tcW w:w="4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2020</w:t>
            </w:r>
          </w:p>
        </w:tc>
        <w:tc>
          <w:tcPr>
            <w:tcW w:w="1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116,713</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79,809</w:t>
            </w:r>
          </w:p>
        </w:tc>
        <w:tc>
          <w:tcPr>
            <w:tcW w:w="18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96,908</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100,163</w:t>
            </w:r>
          </w:p>
        </w:tc>
        <w:tc>
          <w:tcPr>
            <w:tcW w:w="120" w:type="dxa"/>
            <w:vAlign w:val="bottom"/>
          </w:tcPr>
          <w:p>
            <w:pPr>
              <w:spacing w:after="0"/>
              <w:rPr>
                <w:sz w:val="19"/>
                <w:szCs w:val="19"/>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10,085</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(15,388)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(1,416)</w:t>
            </w: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(loss) per share - basic and diluted</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(0.10)</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(0.01)</w:t>
            </w:r>
          </w:p>
        </w:tc>
      </w:tr>
      <w:tr>
        <w:trPr>
          <w:trHeight w:val="612"/>
        </w:trPr>
        <w:tc>
          <w:tcPr>
            <w:tcW w:w="2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Fourth</w:t>
            </w:r>
          </w:p>
        </w:tc>
      </w:tr>
      <w:tr>
        <w:trPr>
          <w:trHeight w:val="178"/>
        </w:trPr>
        <w:tc>
          <w:tcPr>
            <w:tcW w:w="23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1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76"/>
              <w:spacing w:after="0" w:line="158"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8"/>
              </w:rPr>
              <w:t>Quarter</w:t>
            </w:r>
          </w:p>
        </w:tc>
      </w:tr>
      <w:tr>
        <w:trPr>
          <w:trHeight w:val="217"/>
        </w:trPr>
        <w:tc>
          <w:tcPr>
            <w:tcW w:w="4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2019</w:t>
            </w:r>
          </w:p>
        </w:tc>
        <w:tc>
          <w:tcPr>
            <w:tcW w:w="1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98,461</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109,575</w:t>
            </w:r>
          </w:p>
        </w:tc>
        <w:tc>
          <w:tcPr>
            <w:tcW w:w="18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128,240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112,461</w:t>
            </w:r>
          </w:p>
        </w:tc>
        <w:tc>
          <w:tcPr>
            <w:tcW w:w="120" w:type="dxa"/>
            <w:vAlign w:val="bottom"/>
          </w:tcPr>
          <w:p>
            <w:pPr>
              <w:spacing w:after="0"/>
              <w:rPr>
                <w:sz w:val="19"/>
                <w:szCs w:val="19"/>
                <w:color w:val="auto"/>
              </w:rPr>
            </w:pPr>
          </w:p>
        </w:tc>
      </w:tr>
      <w:tr>
        <w:trPr>
          <w:trHeight w:val="22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24,194</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17,752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19"/>
                <w:szCs w:val="19"/>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per share - basic and diluted</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Guarantor/Non-Guarantor Financial Information (Unaudited)</w:t>
      </w:r>
    </w:p>
    <w:p>
      <w:pPr>
        <w:spacing w:after="0" w:line="121"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VM Consolidated, Inc., a wholly-owned subsidiary of the Company, is the lead borrower of the New First Lien Term Loan and the New Revolver. VM Consolidated, Inc. is owned by the Company through a series of holding companies that ultimately end with the Company. VM Consolidated, Inc. is wholly-owned by Greenlight Acquisition Corporation, which is wholly-owned by Greenlight Intermediate Holding Corporation, which is wholly-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2" w:name="page103"/>
    <w:bookmarkEnd w:id="102"/>
    <w:p>
      <w:pPr>
        <w:ind w:right="80"/>
        <w:spacing w:after="0" w:line="263" w:lineRule="auto"/>
        <w:rPr>
          <w:sz w:val="20"/>
          <w:szCs w:val="20"/>
          <w:color w:val="auto"/>
        </w:rPr>
      </w:pPr>
      <w:r>
        <w:rPr>
          <w:rFonts w:ascii="Arial" w:cs="Arial" w:eastAsia="Arial" w:hAnsi="Arial"/>
          <w:sz w:val="18"/>
          <w:szCs w:val="18"/>
          <w:color w:val="auto"/>
        </w:rPr>
        <w:t>owned by Greenlight Holding Corporation, which is wholly-owned by Verra Mobility Holdings, LLC, which is wholly-owned by Verra Mobility Corporation or the Company. The principal elimination entries relate to investments in subsidiaries and intercompany balances and transactions, including transactions with the Company’s wholly-owned subsidiary guarantor and non-guarantor subsidiaries.</w:t>
      </w:r>
    </w:p>
    <w:p>
      <w:pPr>
        <w:spacing w:after="0" w:line="1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following financial information presents the consolidated balance sheets as of December 31, 2020 and the related consolidated statements of operations and comprehensive loss and consolidated statements of cash flows for the year ended December 31, 2020 for the Company, combined guarantor subsidiary and combined non-guarantor subsidiaries: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2020</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5"/>
                <w:szCs w:val="15"/>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103,969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120,259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receivable (net of allowance for credit loss of $11.5 million)</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166,749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168,783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Investment in subsidiary</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177,179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(254,379)</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21,586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24,317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177,179</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383,589</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21,648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(254,379)</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328,037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Installation and service parts,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65,547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Operating lease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29,430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315,533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26,606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342,139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524,766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61,669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586,435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from affiliates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(169,259)</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346,438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1,329,493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115,032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(423,638)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1,367,325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22,346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12,163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34,509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Payable to related party pursuant to tax receivable agreement, current portion</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47,858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16,182</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64,040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832,941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832,941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w w:val="96"/>
              </w:rPr>
              <w:t>Payable to related party pursuant to tax receivable agreement, net of current portion</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67,869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Asset retirement obligation</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to affiliates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152,914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16,345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(169,259)</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Deferred tax liabilities,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long-term liabilities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1,152,314</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37,832</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(169,259)</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1,020,887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346,438</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177,179</w:t>
            </w: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77,200</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(254,379)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346,438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346,438</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1,329,493</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115,032</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(423,638)</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1,367,325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5"/>
                <w:szCs w:val="15"/>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322,972</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13,302</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336,274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57,319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57,319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380,291</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13,302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393,593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108,659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115,729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84,732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Depreciation, amortization and (gain) loss on disposal of assets,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111,968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116,844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336,706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19,071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355,777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43,585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(5,769)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37,816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equity investment</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(8,806)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40,865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40,865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Tax receivable agreement liability adjustment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(11,692)</w:t>
            </w: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(11,885)</w:t>
            </w: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other expenses (income)</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3,445</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41,384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(8,806)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35,830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Loss before income tax provision (benefit)</w:t>
            </w: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(3,445)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2,201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(5,576)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8,806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Net loss</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(3,445)</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(3,445)</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(5,361)</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Change in foreign currency translation adjustment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comprehensive loss</w:t>
            </w: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8,806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5"/>
                <w:szCs w:val="15"/>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(3,445)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(3,445)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(5,361)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8,806</w:t>
            </w:r>
          </w:p>
        </w:tc>
        <w:tc>
          <w:tcPr>
            <w:tcW w:w="22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(3,445)</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111,710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4,860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116,570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Amortization of deferred financing costs and discounts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Tax receivable agreement liability adjustment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Credit loss expense</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(3,798)</w:t>
            </w: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(4,746)</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Installation and service parts expense</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Accretion expense</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Loss on disposal of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Loss from equity investment</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(8,806)</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(92,977)</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(90,588)</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Prepaid expenses and other assets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(15,035)</w:t>
            </w: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(1,832)</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(16,867)</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Due to affiliates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(2,447)</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(4,281)</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(4,281)</w:t>
            </w: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45,373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46,909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Purchases of installation and service parts and property and equipment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(21,160)</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(3,100)</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(24,260)</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Cash proceeds from the sale of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(21,053)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(24,153)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Repayment of long-term debt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(28,779)</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(28,779)</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Payment of debt issuance costs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Payment of employee tax withholding related to RSUs vesting</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(4,147)</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(4,147)</w:t>
            </w:r>
          </w:p>
        </w:tc>
        <w:tc>
          <w:tcPr>
            <w:tcW w:w="0" w:type="dxa"/>
            <w:vAlign w:val="bottom"/>
          </w:tcPr>
          <w:p>
            <w:pPr>
              <w:spacing w:after="0"/>
              <w:rPr>
                <w:sz w:val="1"/>
                <w:szCs w:val="1"/>
                <w:color w:val="auto"/>
              </w:rPr>
            </w:pPr>
          </w:p>
        </w:tc>
      </w:tr>
      <w:tr>
        <w:trPr>
          <w:trHeight w:val="155"/>
        </w:trPr>
        <w:tc>
          <w:tcPr>
            <w:tcW w:w="51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(34,004)</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(34,004)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Net decrease in cash, cash equivalents and restricted cash</w:t>
            </w: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(9,684)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(1,854)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(11,538)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114,286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18,144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104,602</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16,290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120,892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9"/>
              </w:rPr>
              <w:t>Verra Mobility</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Corporation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(Ultimate Parent)</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Supplemental cash flow information:</w:t>
            </w:r>
          </w:p>
        </w:tc>
        <w:tc>
          <w:tcPr>
            <w:tcW w:w="14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6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gridSpan w:val="3"/>
          </w:tcPr>
          <w:p>
            <w:pPr>
              <w:ind w:left="1180"/>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35,822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tcPr>
          <w:p>
            <w:pPr>
              <w:ind w:left="760"/>
              <w:spacing w:after="0"/>
              <w:rPr>
                <w:sz w:val="20"/>
                <w:szCs w:val="20"/>
                <w:color w:val="auto"/>
              </w:rPr>
            </w:pPr>
            <w:r>
              <w:rPr>
                <w:rFonts w:ascii="Arial" w:cs="Arial" w:eastAsia="Arial" w:hAnsi="Arial"/>
                <w:sz w:val="14"/>
                <w:szCs w:val="14"/>
                <w:color w:val="auto"/>
              </w:rPr>
              <w:t>—  $</w:t>
            </w:r>
          </w:p>
        </w:tc>
        <w:tc>
          <w:tcPr>
            <w:tcW w:w="1140" w:type="dxa"/>
            <w:vAlign w:val="bottom"/>
            <w:gridSpan w:val="3"/>
          </w:tcPr>
          <w:p>
            <w:pPr>
              <w:ind w:left="78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35,822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paid, net of refunds</w:t>
            </w:r>
          </w:p>
        </w:tc>
        <w:tc>
          <w:tcPr>
            <w:tcW w:w="140" w:type="dxa"/>
            <w:vAlign w:val="bottom"/>
            <w:shd w:val="clear" w:color="auto" w:fill="CFF0FC"/>
          </w:tcPr>
          <w:p>
            <w:pPr>
              <w:spacing w:after="0"/>
              <w:rPr>
                <w:sz w:val="14"/>
                <w:szCs w:val="14"/>
                <w:color w:val="auto"/>
              </w:rPr>
            </w:pPr>
          </w:p>
        </w:tc>
        <w:tc>
          <w:tcPr>
            <w:tcW w:w="15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12,318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ind w:left="7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12,638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Supplemental non-cash investing and financing activities: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Earn-out shares issued to Platinum Stockholder</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ind w:left="7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ind w:left="260"/>
              <w:spacing w:after="0"/>
              <w:rPr>
                <w:sz w:val="20"/>
                <w:szCs w:val="20"/>
                <w:color w:val="auto"/>
              </w:rPr>
            </w:pPr>
            <w:r>
              <w:rPr>
                <w:rFonts w:ascii="Arial" w:cs="Arial" w:eastAsia="Arial" w:hAnsi="Arial"/>
                <w:sz w:val="14"/>
                <w:szCs w:val="14"/>
                <w:color w:val="auto"/>
              </w:rPr>
              <w:t>Additions to ARO, property and equipment, and other</w:t>
            </w:r>
          </w:p>
        </w:tc>
        <w:tc>
          <w:tcPr>
            <w:tcW w:w="140" w:type="dxa"/>
            <w:vAlign w:val="bottom"/>
          </w:tcPr>
          <w:p>
            <w:pPr>
              <w:spacing w:after="0"/>
              <w:rPr>
                <w:sz w:val="14"/>
                <w:szCs w:val="14"/>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0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Purchases of installation and service parts and property and equipment in</w:t>
            </w: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accrued liabilities at year-end</w:t>
            </w:r>
          </w:p>
        </w:tc>
        <w:tc>
          <w:tcPr>
            <w:tcW w:w="140" w:type="dxa"/>
            <w:vAlign w:val="bottom"/>
            <w:shd w:val="clear" w:color="auto" w:fill="CFF0FC"/>
          </w:tcPr>
          <w:p>
            <w:pPr>
              <w:spacing w:after="0"/>
              <w:rPr>
                <w:sz w:val="14"/>
                <w:szCs w:val="14"/>
                <w:color w:val="auto"/>
              </w:rPr>
            </w:pPr>
          </w:p>
        </w:tc>
        <w:tc>
          <w:tcPr>
            <w:tcW w:w="15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ind w:left="7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ind w:right="40" w:firstLine="540"/>
        <w:spacing w:after="0" w:line="267" w:lineRule="auto"/>
        <w:rPr>
          <w:sz w:val="20"/>
          <w:szCs w:val="20"/>
          <w:color w:val="auto"/>
        </w:rPr>
      </w:pPr>
      <w:r>
        <w:rPr>
          <w:rFonts w:ascii="Arial" w:cs="Arial" w:eastAsia="Arial" w:hAnsi="Arial"/>
          <w:sz w:val="17"/>
          <w:szCs w:val="17"/>
          <w:color w:val="auto"/>
        </w:rPr>
        <w:t>On January 21, 2021, we entered into a Scheme Implementation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with Redflex Holdings Limited, a public company limited by shares, incorporated in Australia and listed on the Australian Securities Exchange (“</w:t>
      </w:r>
      <w:r>
        <w:rPr>
          <w:rFonts w:ascii="Arial" w:cs="Arial" w:eastAsia="Arial" w:hAnsi="Arial"/>
          <w:sz w:val="17"/>
          <w:szCs w:val="17"/>
          <w:b w:val="1"/>
          <w:bCs w:val="1"/>
          <w:i w:val="1"/>
          <w:iCs w:val="1"/>
          <w:color w:val="auto"/>
        </w:rPr>
        <w:t>Redflex</w:t>
      </w:r>
      <w:r>
        <w:rPr>
          <w:rFonts w:ascii="Arial" w:cs="Arial" w:eastAsia="Arial" w:hAnsi="Arial"/>
          <w:sz w:val="17"/>
          <w:szCs w:val="17"/>
          <w:color w:val="auto"/>
        </w:rPr>
        <w:t>”), pursuant to which, among other things and subject to the satisfaction or waiver of specified conditions, all of the holders of outstanding equity of Redflex on the record date will sell, and the Company will, or will cause its applicable subsidiary to, purchase one hundred percent (100%) of the outstanding equity of Redflex (the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The aggregate consideration payable by the Company under the Agreement will be AUD 146.1 million. The Company will also assume Redflex’s existing cash and indebtedness at the closing of the Transaction. The Company and Redflex have made customary warranties and Redflex has agreed to customary undertakings, including relating to the conduct of its business from the date of the Agreement until the closing of the Transaction, which is expected to take place in the second quarter of 2021. Each party’s obligation to consummate the Transaction is subject to the satisfaction of certain conditions including receipt of required regulatory and court approvals, the approval of the Transaction by the requisite majority of Redflex shareholders, the accuracy of the other party’s warranties and the performance, in all material respects, by the other party of its obligations under the Agreement, and an independent expert issuing a report which concludes that the Transaction is in the best interests of Redflex shareholders. Under the Agreement, Redflex would be obligated to pay the Company a fee in the amount set forth in the Agreement, if (a) any director of Redflex fails to recommend the Transaction or makes a public statement indicating that he or she does not support the Transaction (except in limited circumstances), (b) Redflex consummates a transaction within a certain period under the terms of a deal constituting a Competing Proposal under the Agreement, or (c) the Agreement is validly terminated by the Company due to a material breach by Redflex. Additionally, the Company would be obligated to pay Redflex a fee in the amount set forth in the Agreement if the Company does not pay the consideration in accordance with the Agreement or the Agreement is validly terminated by Redflex due to a material breach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pursuant to Rule 13a-15 under the Exchange Act.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107" w:lineRule="exact"/>
        <w:rPr>
          <w:sz w:val="20"/>
          <w:szCs w:val="20"/>
          <w:color w:val="auto"/>
        </w:rPr>
      </w:pPr>
    </w:p>
    <w:p>
      <w:pPr>
        <w:ind w:right="260" w:firstLine="589"/>
        <w:spacing w:after="0" w:line="296" w:lineRule="auto"/>
        <w:rPr>
          <w:sz w:val="20"/>
          <w:szCs w:val="20"/>
          <w:color w:val="auto"/>
        </w:rPr>
      </w:pPr>
      <w:r>
        <w:rPr>
          <w:rFonts w:ascii="Arial" w:cs="Arial" w:eastAsia="Arial" w:hAnsi="Arial"/>
          <w:sz w:val="16"/>
          <w:szCs w:val="16"/>
          <w:color w:val="auto"/>
        </w:rPr>
        <w:t>Based on this evaluation, our Chief Executive Officer and our Chief Financial Officer concluded that, as of December 31, 2020, our disclosure controls and procedures were designed at a reasonable assurance level and were effective to provide reasonable assurance that the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our Chief Financial Officer, as appropriate, to allow timely decisions regarding required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4" w:lineRule="exact"/>
        <w:rPr>
          <w:sz w:val="20"/>
          <w:szCs w:val="20"/>
          <w:color w:val="auto"/>
        </w:rPr>
      </w:pPr>
    </w:p>
    <w:p>
      <w:pPr>
        <w:ind w:right="320" w:firstLine="8"/>
        <w:spacing w:after="0" w:line="260"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1"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Our management concluded that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w:t>
      </w:r>
    </w:p>
    <w:p>
      <w:pPr>
        <w:spacing w:after="0" w:line="171"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We are committed to maintaining a strong internal control environment. Following the identification of the material weakness in internal controls described in our Annual Report on Form 10-K for the year ended December 31, 2019 related to ineffective information technology (“</w:t>
      </w:r>
      <w:r>
        <w:rPr>
          <w:rFonts w:ascii="Arial" w:cs="Arial" w:eastAsia="Arial" w:hAnsi="Arial"/>
          <w:sz w:val="17"/>
          <w:szCs w:val="17"/>
          <w:b w:val="1"/>
          <w:bCs w:val="1"/>
          <w:i w:val="1"/>
          <w:iCs w:val="1"/>
          <w:color w:val="auto"/>
        </w:rPr>
        <w:t>IT</w:t>
      </w:r>
      <w:r>
        <w:rPr>
          <w:rFonts w:ascii="Arial" w:cs="Arial" w:eastAsia="Arial" w:hAnsi="Arial"/>
          <w:sz w:val="17"/>
          <w:szCs w:val="17"/>
          <w:color w:val="auto"/>
        </w:rPr>
        <w:t>”) general controls in the area of user access over certain IT systems that support the Company’s financial reporting processes, we initiated remediation measures during 2020 to address the material weakness. Based on the implementation work and the results of testing performed, our management concluded that the previously identified material weakness has been remediated as of December 31, 2020.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8" w:name="page109"/>
    <w:bookmarkEnd w:id="108"/>
    <w:p>
      <w:pPr>
        <w:ind w:right="580" w:firstLine="589"/>
        <w:spacing w:after="0" w:line="308" w:lineRule="auto"/>
        <w:rPr>
          <w:sz w:val="20"/>
          <w:szCs w:val="20"/>
          <w:color w:val="auto"/>
        </w:rPr>
      </w:pPr>
      <w:r>
        <w:rPr>
          <w:rFonts w:ascii="Arial" w:cs="Arial" w:eastAsia="Arial" w:hAnsi="Arial"/>
          <w:sz w:val="17"/>
          <w:szCs w:val="17"/>
          <w:color w:val="auto"/>
        </w:rPr>
        <w:t>Our independent registered public accounting firm, Ernst &amp; Young LLP, has audited the effectiveness of our internal control over financial reporting as of December 31, 2020, as stated in their report which is included in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9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Financing Reporting</w:t>
      </w:r>
    </w:p>
    <w:p>
      <w:pPr>
        <w:spacing w:after="0" w:line="121"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Except for the remediation measures described above, there were no changes to our internal control over financial reporting that occurred during the quarter ended December 31, 2020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2021 Annual Meeting of Stockholders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2021 Annual Meeting of Stockholders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2021 Annual Meeting of Stockholders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2021 Annual Meeting of Stockholders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2021 Annual Meeting of Stockholders within 120 days after the end of the fiscal year ended December 31, 2020.</w:t>
      </w:r>
    </w:p>
    <w:p>
      <w:pPr>
        <w:spacing w:after="0" w:line="17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337" w:right="8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1180" w:right="120"/>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Consolidated Financial Statements” under Part II, Item 8 of this Annual Report on Form 10-K.</w:t>
      </w:r>
    </w:p>
    <w:p>
      <w:pPr>
        <w:spacing w:after="0" w:line="62" w:lineRule="exact"/>
        <w:rPr>
          <w:sz w:val="20"/>
          <w:szCs w:val="20"/>
          <w:color w:val="auto"/>
        </w:rPr>
      </w:pPr>
    </w:p>
    <w:p>
      <w:pPr>
        <w:ind w:left="1760" w:hanging="578"/>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Appendix A, Schedule II – Consolidated Valuation and Qualifying Accounts</w:t>
      </w:r>
    </w:p>
    <w:p>
      <w:pPr>
        <w:spacing w:after="0" w:line="117" w:lineRule="exact"/>
        <w:rPr>
          <w:sz w:val="20"/>
          <w:szCs w:val="20"/>
          <w:color w:val="auto"/>
        </w:rPr>
      </w:pPr>
    </w:p>
    <w:p>
      <w:pPr>
        <w:ind w:left="1180" w:right="440"/>
        <w:spacing w:after="0" w:line="342" w:lineRule="auto"/>
        <w:rPr>
          <w:sz w:val="20"/>
          <w:szCs w:val="20"/>
          <w:color w:val="auto"/>
        </w:rPr>
      </w:pPr>
      <w:r>
        <w:rPr>
          <w:rFonts w:ascii="Arial" w:cs="Arial" w:eastAsia="Arial" w:hAnsi="Arial"/>
          <w:sz w:val="16"/>
          <w:szCs w:val="16"/>
          <w:color w:val="auto"/>
        </w:rPr>
        <w:t>Schedules not listed above are omitted as the required information is inapplicable or the information is presented in the consolidated financial statements or notes to the consolidated financial statements under Part II, Item 8 of this Annual Report on Form 10-K.</w:t>
      </w:r>
    </w:p>
    <w:p>
      <w:pPr>
        <w:spacing w:after="0" w:line="16" w:lineRule="exact"/>
        <w:rPr>
          <w:sz w:val="20"/>
          <w:szCs w:val="20"/>
          <w:color w:val="auto"/>
        </w:rPr>
      </w:pPr>
    </w:p>
    <w:p>
      <w:pPr>
        <w:ind w:left="1760" w:hanging="578"/>
        <w:spacing w:after="0"/>
        <w:tabs>
          <w:tab w:leader="none" w:pos="1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jc w:val="both"/>
        <w:ind w:left="1180"/>
        <w:spacing w:after="0" w:line="263" w:lineRule="auto"/>
        <w:rPr>
          <w:sz w:val="20"/>
          <w:szCs w:val="20"/>
          <w:color w:val="auto"/>
        </w:rPr>
      </w:pPr>
      <w:r>
        <w:rPr>
          <w:rFonts w:ascii="Arial" w:cs="Arial" w:eastAsia="Arial" w:hAnsi="Arial"/>
          <w:sz w:val="18"/>
          <w:szCs w:val="18"/>
          <w:color w:val="auto"/>
        </w:rPr>
        <w:t>The exhibits listed below are filed as part of this Annual Report. References under the caption “Incorporated by Reference” to exhibits or other filings indicate that the exhibit or other filing has been filed, that the indexed exhibit and the exhibit referred to are the same and that the exhibit referred to is incorporated by reference.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20320</wp:posOffset>
            </wp:positionV>
            <wp:extent cx="6343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gridSpan w:val="12"/>
          </w:tcPr>
          <w:p>
            <w:pPr>
              <w:jc w:val="center"/>
              <w:ind w:left="510"/>
              <w:spacing w:after="0"/>
              <w:rPr>
                <w:sz w:val="20"/>
                <w:szCs w:val="20"/>
                <w:color w:val="auto"/>
              </w:rPr>
            </w:pPr>
            <w:r>
              <w:rPr>
                <w:rFonts w:ascii="Arial" w:cs="Arial" w:eastAsia="Arial" w:hAnsi="Arial"/>
                <w:sz w:val="18"/>
                <w:szCs w:val="18"/>
                <w:b w:val="1"/>
                <w:bCs w:val="1"/>
                <w:color w:val="auto"/>
              </w:rPr>
              <w:t>EXHIBIT INDEX</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97"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b w:val="1"/>
                <w:bCs w:val="1"/>
                <w:color w:val="auto"/>
                <w:w w:val="90"/>
              </w:rPr>
              <w:t>Incorporated by Reference</w:t>
            </w:r>
          </w:p>
        </w:tc>
        <w:tc>
          <w:tcPr>
            <w:tcW w:w="130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3420" w:type="dxa"/>
            <w:vAlign w:val="bottom"/>
            <w:gridSpan w:val="13"/>
          </w:tcPr>
          <w:p>
            <w:pPr>
              <w:ind w:left="760"/>
              <w:spacing w:after="0"/>
              <w:rPr>
                <w:sz w:val="20"/>
                <w:szCs w:val="20"/>
                <w:color w:val="auto"/>
              </w:rPr>
            </w:pPr>
            <w:r>
              <w:rPr>
                <w:rFonts w:ascii="Arial" w:cs="Arial" w:eastAsia="Arial" w:hAnsi="Arial"/>
                <w:sz w:val="18"/>
                <w:szCs w:val="18"/>
                <w:b w:val="1"/>
                <w:bCs w:val="1"/>
                <w:color w:val="auto"/>
              </w:rPr>
              <w:t>Description</w:t>
            </w:r>
          </w:p>
        </w:tc>
        <w:tc>
          <w:tcPr>
            <w:tcW w:w="9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Form</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File No.</w:t>
            </w:r>
          </w:p>
        </w:tc>
        <w:tc>
          <w:tcPr>
            <w:tcW w:w="1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Exhibit</w:t>
            </w: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Filing Date</w:t>
            </w:r>
          </w:p>
        </w:tc>
      </w:tr>
      <w:tr>
        <w:trPr>
          <w:trHeight w:val="108"/>
        </w:trPr>
        <w:tc>
          <w:tcPr>
            <w:tcW w:w="8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94967197"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263"/>
        </w:trPr>
        <w:tc>
          <w:tcPr>
            <w:tcW w:w="4160" w:type="dxa"/>
            <w:vAlign w:val="bottom"/>
            <w:tcBorders>
              <w:bottom w:val="single" w:sz="8" w:color="0000EE"/>
            </w:tcBorders>
            <w:gridSpan w:val="7"/>
          </w:tcPr>
          <w:p>
            <w:pPr>
              <w:spacing w:after="0"/>
              <w:rPr>
                <w:rFonts w:ascii="Arial" w:cs="Arial" w:eastAsia="Arial" w:hAnsi="Arial"/>
                <w:sz w:val="18"/>
                <w:szCs w:val="18"/>
                <w:color w:val="0000EE"/>
                <w:w w:val="95"/>
              </w:rPr>
            </w:pPr>
            <w:hyperlink r:id="rId139">
              <w:r>
                <w:rPr>
                  <w:rFonts w:ascii="Arial" w:cs="Arial" w:eastAsia="Arial" w:hAnsi="Arial"/>
                  <w:sz w:val="18"/>
                  <w:szCs w:val="18"/>
                  <w:color w:val="0000EE"/>
                  <w:w w:val="95"/>
                </w:rPr>
                <w:t>Merger Agreement, dated as of June 21, 2018, by and</w:t>
              </w:r>
            </w:hyperlink>
          </w:p>
        </w:tc>
        <w:tc>
          <w:tcPr>
            <w:tcW w:w="140" w:type="dxa"/>
            <w:vAlign w:val="bottom"/>
            <w:gridSpan w:val="7"/>
          </w:tcPr>
          <w:p>
            <w:pPr>
              <w:spacing w:after="0"/>
              <w:rPr>
                <w:sz w:val="22"/>
                <w:szCs w:val="22"/>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9"/>
              </w:rPr>
              <w:t>June 21, 2018</w:t>
            </w:r>
          </w:p>
        </w:tc>
      </w:tr>
      <w:tr>
        <w:trPr>
          <w:trHeight w:val="196"/>
        </w:trPr>
        <w:tc>
          <w:tcPr>
            <w:tcW w:w="422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r:id="rId139">
              <w:r>
                <w:rPr>
                  <w:rFonts w:ascii="Arial" w:cs="Arial" w:eastAsia="Arial" w:hAnsi="Arial"/>
                  <w:sz w:val="18"/>
                  <w:szCs w:val="18"/>
                  <w:color w:val="0000EE"/>
                  <w:w w:val="98"/>
                </w:rPr>
                <w:t>among Gores Holdings II, Inc., AM Merger Sub I, Inc.,</w:t>
              </w:r>
            </w:hyperlink>
          </w:p>
        </w:tc>
        <w:tc>
          <w:tcPr>
            <w:tcW w:w="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AM  Merger  Sub  II,  LLC,  Greenlight  Holding  II</w:t>
              </w:r>
            </w:hyperlink>
          </w:p>
        </w:tc>
        <w:tc>
          <w:tcPr>
            <w:tcW w:w="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2"/>
        </w:trPr>
        <w:tc>
          <w:tcPr>
            <w:tcW w:w="4300" w:type="dxa"/>
            <w:vAlign w:val="bottom"/>
            <w:gridSpan w:val="14"/>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Corporation and PE Greenlight Holdings, LLC, in its</w:t>
              </w:r>
            </w:hyperlink>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00" w:type="dxa"/>
            <w:vAlign w:val="bottom"/>
            <w:gridSpan w:val="14"/>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capacity as the Stockholder Representative</w:t>
              </w:r>
              <w:r>
                <w:rPr>
                  <w:rFonts w:ascii="Arial" w:cs="Arial" w:eastAsia="Arial" w:hAnsi="Arial"/>
                  <w:sz w:val="18"/>
                  <w:szCs w:val="18"/>
                  <w:u w:val="single" w:color="auto"/>
                  <w:color w:val="000000"/>
                </w:rPr>
                <w:t>.</w:t>
              </w:r>
            </w:hyperlink>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4160" w:type="dxa"/>
            <w:vAlign w:val="bottom"/>
            <w:tcBorders>
              <w:bottom w:val="single" w:sz="8" w:color="0000EE"/>
            </w:tcBorders>
            <w:gridSpan w:val="7"/>
          </w:tcPr>
          <w:p>
            <w:pPr>
              <w:spacing w:after="0"/>
              <w:rPr>
                <w:rFonts w:ascii="Arial" w:cs="Arial" w:eastAsia="Arial" w:hAnsi="Arial"/>
                <w:sz w:val="18"/>
                <w:szCs w:val="18"/>
                <w:color w:val="0000EE"/>
                <w:w w:val="98"/>
              </w:rPr>
            </w:pPr>
            <w:hyperlink r:id="rId140">
              <w:r>
                <w:rPr>
                  <w:rFonts w:ascii="Arial" w:cs="Arial" w:eastAsia="Arial" w:hAnsi="Arial"/>
                  <w:sz w:val="18"/>
                  <w:szCs w:val="18"/>
                  <w:color w:val="0000EE"/>
                  <w:w w:val="98"/>
                </w:rPr>
                <w:t>Amendment No. 1 to Agreement and Plan of Merger,</w:t>
              </w:r>
            </w:hyperlink>
          </w:p>
        </w:tc>
        <w:tc>
          <w:tcPr>
            <w:tcW w:w="140" w:type="dxa"/>
            <w:vAlign w:val="bottom"/>
            <w:gridSpan w:val="7"/>
          </w:tcPr>
          <w:p>
            <w:pPr>
              <w:spacing w:after="0"/>
              <w:rPr>
                <w:sz w:val="23"/>
                <w:szCs w:val="23"/>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Aug. 24, 2018</w:t>
            </w:r>
          </w:p>
        </w:tc>
      </w:tr>
      <w:tr>
        <w:trPr>
          <w:trHeight w:val="196"/>
        </w:trPr>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dated as of August 23, 2018, by and among Gores</w:t>
              </w:r>
            </w:hyperlink>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Holdings II, Inc., AM Merger Sub I, Inc., AM Merger</w:t>
              </w:r>
            </w:hyperlink>
          </w:p>
        </w:tc>
        <w:tc>
          <w:tcPr>
            <w:tcW w:w="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Sub II, LLC, Greenlight Holding II Corporation and PE</w:t>
              </w:r>
            </w:hyperlink>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2"/>
        </w:trPr>
        <w:tc>
          <w:tcPr>
            <w:tcW w:w="4300" w:type="dxa"/>
            <w:vAlign w:val="bottom"/>
            <w:gridSpan w:val="14"/>
          </w:tcPr>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Greenlight  Holdings,  LLC,  in  its  capacity  as  the</w:t>
              </w:r>
            </w:hyperlink>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00" w:type="dxa"/>
            <w:vAlign w:val="bottom"/>
            <w:gridSpan w:val="14"/>
          </w:tcPr>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Stockholder Representative</w:t>
              </w:r>
              <w:r>
                <w:rPr>
                  <w:rFonts w:ascii="Arial" w:cs="Arial" w:eastAsia="Arial" w:hAnsi="Arial"/>
                  <w:sz w:val="18"/>
                  <w:szCs w:val="18"/>
                  <w:u w:val="single" w:color="auto"/>
                  <w:color w:val="000000"/>
                </w:rPr>
                <w:t>.</w:t>
              </w:r>
            </w:hyperlink>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4240" w:type="dxa"/>
            <w:vAlign w:val="bottom"/>
            <w:tcBorders>
              <w:bottom w:val="single" w:sz="8" w:color="0000EE"/>
            </w:tcBorders>
            <w:gridSpan w:val="11"/>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Scheme Implementation Agreement, dated as of January</w:t>
              </w:r>
            </w:hyperlink>
          </w:p>
        </w:tc>
        <w:tc>
          <w:tcPr>
            <w:tcW w:w="60" w:type="dxa"/>
            <w:vAlign w:val="bottom"/>
            <w:gridSpan w:val="3"/>
          </w:tcPr>
          <w:p>
            <w:pPr>
              <w:spacing w:after="0"/>
              <w:rPr>
                <w:sz w:val="23"/>
                <w:szCs w:val="23"/>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7"/>
              </w:rPr>
              <w:t>Jan. 21, 2021</w:t>
            </w:r>
          </w:p>
        </w:tc>
      </w:tr>
      <w:tr>
        <w:trPr>
          <w:trHeight w:val="196"/>
        </w:trPr>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21, 2021, by and between Verra Mobility Corporation</w:t>
              </w:r>
            </w:hyperlink>
          </w:p>
        </w:tc>
        <w:tc>
          <w:tcPr>
            <w:tcW w:w="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300" w:type="dxa"/>
            <w:vAlign w:val="bottom"/>
            <w:gridSpan w:val="14"/>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and Redflex Holdings Limited.</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4160" w:type="dxa"/>
            <w:vAlign w:val="bottom"/>
            <w:tcBorders>
              <w:bottom w:val="single" w:sz="8" w:color="0000EE"/>
            </w:tcBorders>
            <w:gridSpan w:val="7"/>
          </w:tcPr>
          <w:p>
            <w:pPr>
              <w:spacing w:after="0"/>
              <w:rPr>
                <w:rFonts w:ascii="Arial" w:cs="Arial" w:eastAsia="Arial" w:hAnsi="Arial"/>
                <w:sz w:val="18"/>
                <w:szCs w:val="18"/>
                <w:color w:val="0000EE"/>
              </w:rPr>
            </w:pPr>
            <w:hyperlink r:id="rId142">
              <w:r>
                <w:rPr>
                  <w:rFonts w:ascii="Arial" w:cs="Arial" w:eastAsia="Arial" w:hAnsi="Arial"/>
                  <w:sz w:val="18"/>
                  <w:szCs w:val="18"/>
                  <w:color w:val="0000EE"/>
                </w:rPr>
                <w:t>Second   Amended   and   Restated   Certificate   of</w:t>
              </w:r>
            </w:hyperlink>
          </w:p>
        </w:tc>
        <w:tc>
          <w:tcPr>
            <w:tcW w:w="140" w:type="dxa"/>
            <w:vAlign w:val="bottom"/>
            <w:gridSpan w:val="7"/>
          </w:tcPr>
          <w:p>
            <w:pPr>
              <w:spacing w:after="0"/>
              <w:rPr>
                <w:sz w:val="24"/>
                <w:szCs w:val="2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Oct. 22, 2018</w:t>
            </w:r>
          </w:p>
        </w:tc>
      </w:tr>
      <w:tr>
        <w:trPr>
          <w:trHeight w:val="196"/>
        </w:trPr>
        <w:tc>
          <w:tcPr>
            <w:tcW w:w="4300" w:type="dxa"/>
            <w:vAlign w:val="bottom"/>
            <w:gridSpan w:val="14"/>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Incorporation of Verra Mobility Corporation</w:t>
              </w:r>
              <w:r>
                <w:rPr>
                  <w:rFonts w:ascii="Arial" w:cs="Arial" w:eastAsia="Arial" w:hAnsi="Arial"/>
                  <w:sz w:val="18"/>
                  <w:szCs w:val="18"/>
                  <w:color w:val="000000"/>
                </w:rPr>
                <w:t>.</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4220" w:type="dxa"/>
            <w:vAlign w:val="bottom"/>
            <w:tcBorders>
              <w:bottom w:val="single" w:sz="8" w:color="0000EE"/>
            </w:tcBorders>
            <w:gridSpan w:val="10"/>
          </w:tcPr>
          <w:p>
            <w:pPr>
              <w:spacing w:after="0"/>
              <w:rPr>
                <w:rFonts w:ascii="Arial" w:cs="Arial" w:eastAsia="Arial" w:hAnsi="Arial"/>
                <w:sz w:val="18"/>
                <w:szCs w:val="18"/>
                <w:color w:val="0000EE"/>
              </w:rPr>
            </w:pPr>
            <w:hyperlink r:id="rId143">
              <w:r>
                <w:rPr>
                  <w:rFonts w:ascii="Arial" w:cs="Arial" w:eastAsia="Arial" w:hAnsi="Arial"/>
                  <w:sz w:val="18"/>
                  <w:szCs w:val="18"/>
                  <w:color w:val="0000EE"/>
                </w:rPr>
                <w:t>Amended  and  Restated  Bylaws  of  Verra  Mobility</w:t>
              </w:r>
            </w:hyperlink>
          </w:p>
        </w:tc>
        <w:tc>
          <w:tcPr>
            <w:tcW w:w="80" w:type="dxa"/>
            <w:vAlign w:val="bottom"/>
            <w:gridSpan w:val="4"/>
          </w:tcPr>
          <w:p>
            <w:pPr>
              <w:spacing w:after="0"/>
              <w:rPr>
                <w:sz w:val="24"/>
                <w:szCs w:val="2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Oct. 22, 2018</w:t>
            </w:r>
          </w:p>
        </w:tc>
      </w:tr>
      <w:tr>
        <w:trPr>
          <w:trHeight w:val="196"/>
        </w:trPr>
        <w:tc>
          <w:tcPr>
            <w:tcW w:w="4300" w:type="dxa"/>
            <w:vAlign w:val="bottom"/>
            <w:gridSpan w:val="14"/>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Corporation</w:t>
              </w:r>
              <w:r>
                <w:rPr>
                  <w:rFonts w:ascii="Arial" w:cs="Arial" w:eastAsia="Arial" w:hAnsi="Arial"/>
                  <w:sz w:val="18"/>
                  <w:szCs w:val="18"/>
                  <w:color w:val="000000"/>
                </w:rPr>
                <w:t>.</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31"/>
        </w:trPr>
        <w:tc>
          <w:tcPr>
            <w:tcW w:w="4300" w:type="dxa"/>
            <w:vAlign w:val="bottom"/>
            <w:gridSpan w:val="14"/>
          </w:tcPr>
          <w:p>
            <w:pPr>
              <w:spacing w:after="0"/>
              <w:rPr>
                <w:rFonts w:ascii="Arial" w:cs="Arial" w:eastAsia="Arial" w:hAnsi="Arial"/>
                <w:sz w:val="18"/>
                <w:szCs w:val="18"/>
                <w:color w:val="0000EE"/>
              </w:rPr>
            </w:pPr>
            <w:hyperlink r:id="rId144">
              <w:r>
                <w:rPr>
                  <w:rFonts w:ascii="Arial" w:cs="Arial" w:eastAsia="Arial" w:hAnsi="Arial"/>
                  <w:sz w:val="18"/>
                  <w:szCs w:val="18"/>
                  <w:u w:val="single" w:color="auto"/>
                  <w:color w:val="0000EE"/>
                </w:rPr>
                <w:t>Specimen Class A Common Stock Certificate</w:t>
              </w:r>
            </w:hyperlink>
            <w:r>
              <w:rPr>
                <w:rFonts w:ascii="Arial" w:cs="Arial" w:eastAsia="Arial" w:hAnsi="Arial"/>
                <w:sz w:val="18"/>
                <w:szCs w:val="18"/>
                <w:color w:val="000000"/>
              </w:rPr>
              <w:t>.</w:t>
            </w:r>
          </w:p>
        </w:tc>
        <w:tc>
          <w:tcPr>
            <w:tcW w:w="9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S-1</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333-21503</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8"/>
              </w:rPr>
              <w:t>Dec. 9, 2016</w:t>
            </w:r>
          </w:p>
        </w:tc>
      </w:tr>
      <w:tr>
        <w:trPr>
          <w:trHeight w:val="310"/>
        </w:trPr>
        <w:tc>
          <w:tcPr>
            <w:tcW w:w="4300" w:type="dxa"/>
            <w:vAlign w:val="bottom"/>
            <w:gridSpan w:val="14"/>
          </w:tcPr>
          <w:p>
            <w:pPr>
              <w:spacing w:after="0"/>
              <w:rPr>
                <w:rFonts w:ascii="Arial" w:cs="Arial" w:eastAsia="Arial" w:hAnsi="Arial"/>
                <w:sz w:val="18"/>
                <w:szCs w:val="18"/>
                <w:color w:val="0000EE"/>
              </w:rPr>
            </w:pPr>
            <w:hyperlink r:id="rId145">
              <w:r>
                <w:rPr>
                  <w:rFonts w:ascii="Arial" w:cs="Arial" w:eastAsia="Arial" w:hAnsi="Arial"/>
                  <w:sz w:val="18"/>
                  <w:szCs w:val="18"/>
                  <w:u w:val="single" w:color="auto"/>
                  <w:color w:val="0000EE"/>
                </w:rPr>
                <w:t>Specimen Warrant Certificate</w:t>
              </w:r>
            </w:hyperlink>
            <w:r>
              <w:rPr>
                <w:rFonts w:ascii="Arial" w:cs="Arial" w:eastAsia="Arial" w:hAnsi="Arial"/>
                <w:sz w:val="18"/>
                <w:szCs w:val="18"/>
                <w:color w:val="000000"/>
              </w:rPr>
              <w:t>.</w:t>
            </w:r>
          </w:p>
        </w:tc>
        <w:tc>
          <w:tcPr>
            <w:tcW w:w="9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S-1</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333-21503</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8"/>
              </w:rPr>
              <w:t>Dec. 9, 2016</w:t>
            </w:r>
          </w:p>
        </w:tc>
      </w:tr>
      <w:tr>
        <w:trPr>
          <w:trHeight w:val="270"/>
        </w:trPr>
        <w:tc>
          <w:tcPr>
            <w:tcW w:w="4300" w:type="dxa"/>
            <w:vAlign w:val="bottom"/>
            <w:gridSpan w:val="14"/>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Warrant Agreement, dated January 12, 2017, between the</w:t>
              </w:r>
            </w:hyperlink>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7"/>
              </w:rPr>
              <w:t>Jan. 19, 2017</w:t>
            </w:r>
          </w:p>
        </w:tc>
      </w:tr>
      <w:tr>
        <w:trPr>
          <w:trHeight w:val="20"/>
        </w:trPr>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146">
              <w:r>
                <w:rPr>
                  <w:rFonts w:ascii="Arial" w:cs="Arial" w:eastAsia="Arial" w:hAnsi="Arial"/>
                  <w:sz w:val="18"/>
                  <w:szCs w:val="18"/>
                  <w:color w:val="0000EE"/>
                  <w:w w:val="96"/>
                </w:rPr>
                <w:t>Registrant  and  Continental  Stock  Transfer  &amp;  Trust</w:t>
              </w:r>
            </w:hyperlink>
          </w:p>
        </w:tc>
        <w:tc>
          <w:tcPr>
            <w:tcW w:w="14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300" w:type="dxa"/>
            <w:vAlign w:val="bottom"/>
            <w:gridSpan w:val="14"/>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Company, as warrant agent</w:t>
              </w:r>
              <w:r>
                <w:rPr>
                  <w:rFonts w:ascii="Arial" w:cs="Arial" w:eastAsia="Arial" w:hAnsi="Arial"/>
                  <w:sz w:val="18"/>
                  <w:szCs w:val="18"/>
                  <w:color w:val="000000"/>
                </w:rPr>
                <w:t>.</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9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4300" w:type="dxa"/>
            <w:vAlign w:val="bottom"/>
            <w:gridSpan w:val="14"/>
          </w:tcPr>
          <w:p>
            <w:pPr>
              <w:spacing w:after="0"/>
              <w:rPr>
                <w:rFonts w:ascii="Arial" w:cs="Arial" w:eastAsia="Arial" w:hAnsi="Arial"/>
                <w:sz w:val="18"/>
                <w:szCs w:val="18"/>
                <w:color w:val="0000EE"/>
                <w:w w:val="96"/>
              </w:rPr>
            </w:pPr>
            <w:hyperlink r:id="rId147">
              <w:r>
                <w:rPr>
                  <w:rFonts w:ascii="Arial" w:cs="Arial" w:eastAsia="Arial" w:hAnsi="Arial"/>
                  <w:sz w:val="18"/>
                  <w:szCs w:val="18"/>
                  <w:color w:val="0000EE"/>
                  <w:w w:val="96"/>
                </w:rPr>
                <w:t>First Amendment to Warrant Agreement, dated January</w:t>
              </w:r>
            </w:hyperlink>
          </w:p>
        </w:tc>
        <w:tc>
          <w:tcPr>
            <w:tcW w:w="9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9"/>
              </w:rPr>
              <w:t>Mar. 2, 2020</w:t>
            </w:r>
          </w:p>
        </w:tc>
      </w:tr>
      <w:tr>
        <w:trPr>
          <w:trHeight w:val="20"/>
        </w:trPr>
        <w:tc>
          <w:tcPr>
            <w:tcW w:w="1980" w:type="dxa"/>
            <w:vAlign w:val="bottom"/>
            <w:gridSpan w:val="3"/>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420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15, 2020, by and among the Registrant, Continental</w:t>
              </w:r>
            </w:hyperlink>
          </w:p>
        </w:tc>
        <w:tc>
          <w:tcPr>
            <w:tcW w:w="10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18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Stock Transfer &amp; Trust Company and American Stock</w:t>
              </w:r>
            </w:hyperlink>
          </w:p>
        </w:tc>
        <w:tc>
          <w:tcPr>
            <w:tcW w:w="12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300" w:type="dxa"/>
            <w:vAlign w:val="bottom"/>
            <w:gridSpan w:val="14"/>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Transfer &amp; Trust Company.</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980" w:type="dxa"/>
            <w:vAlign w:val="bottom"/>
            <w:gridSpan w:val="3"/>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4160" w:type="dxa"/>
            <w:vAlign w:val="bottom"/>
            <w:tcBorders>
              <w:bottom w:val="single" w:sz="8" w:color="0000EE"/>
            </w:tcBorders>
            <w:gridSpan w:val="7"/>
          </w:tcPr>
          <w:p>
            <w:pPr>
              <w:spacing w:after="0"/>
              <w:rPr>
                <w:rFonts w:ascii="Arial" w:cs="Arial" w:eastAsia="Arial" w:hAnsi="Arial"/>
                <w:sz w:val="18"/>
                <w:szCs w:val="18"/>
                <w:color w:val="0000EE"/>
                <w:w w:val="98"/>
              </w:rPr>
            </w:pPr>
            <w:hyperlink r:id="rId148">
              <w:r>
                <w:rPr>
                  <w:rFonts w:ascii="Arial" w:cs="Arial" w:eastAsia="Arial" w:hAnsi="Arial"/>
                  <w:sz w:val="18"/>
                  <w:szCs w:val="18"/>
                  <w:color w:val="0000EE"/>
                  <w:w w:val="98"/>
                </w:rPr>
                <w:t>Description of Verra Mobility Corporation’s Securities</w:t>
              </w:r>
            </w:hyperlink>
          </w:p>
        </w:tc>
        <w:tc>
          <w:tcPr>
            <w:tcW w:w="140" w:type="dxa"/>
            <w:vAlign w:val="bottom"/>
            <w:gridSpan w:val="7"/>
          </w:tcPr>
          <w:p>
            <w:pPr>
              <w:spacing w:after="0"/>
              <w:rPr>
                <w:sz w:val="24"/>
                <w:szCs w:val="2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9"/>
              </w:rPr>
              <w:t>Mar. 2, 2020</w:t>
            </w:r>
          </w:p>
        </w:tc>
      </w:tr>
      <w:tr>
        <w:trPr>
          <w:trHeight w:val="237"/>
        </w:trPr>
        <w:tc>
          <w:tcPr>
            <w:tcW w:w="4300" w:type="dxa"/>
            <w:vAlign w:val="bottom"/>
            <w:gridSpan w:val="14"/>
          </w:tcPr>
          <w:p>
            <w:pPr>
              <w:spacing w:after="0"/>
              <w:rPr>
                <w:rFonts w:ascii="Arial" w:cs="Arial" w:eastAsia="Arial" w:hAnsi="Arial"/>
                <w:sz w:val="18"/>
                <w:szCs w:val="18"/>
                <w:u w:val="single" w:color="auto"/>
                <w:color w:val="0000EE"/>
                <w:w w:val="96"/>
              </w:rPr>
            </w:pPr>
            <w:hyperlink r:id="rId148">
              <w:r>
                <w:rPr>
                  <w:rFonts w:ascii="Arial" w:cs="Arial" w:eastAsia="Arial" w:hAnsi="Arial"/>
                  <w:sz w:val="18"/>
                  <w:szCs w:val="18"/>
                  <w:u w:val="single" w:color="auto"/>
                  <w:color w:val="0000EE"/>
                  <w:w w:val="96"/>
                </w:rPr>
                <w:t>Registered Pursuant to Section 12 of the Exchange Act.</w:t>
              </w:r>
            </w:hyperlink>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27"/>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97"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68580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13335</wp:posOffset>
            </wp:positionV>
            <wp:extent cx="634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ectPr>
          <w:pgSz w:w="11900" w:h="16838" w:orient="portrait"/>
          <w:cols w:equalWidth="0" w:num="3">
            <w:col w:w="640" w:space="280"/>
            <w:col w:w="9000" w:space="280"/>
            <w:col w:w="720"/>
          </w:cols>
          <w:pgMar w:left="500" w:top="337" w:right="479" w:bottom="1440" w:gutter="0" w:footer="0" w:header="0"/>
        </w:sectPr>
      </w:pPr>
    </w:p>
    <w:bookmarkStart w:id="112" w:name="page113"/>
    <w:bookmarkEnd w:id="112"/>
    <w:p>
      <w:pPr>
        <w:spacing w:after="0" w:line="21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6343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ind w:left="620"/>
              <w:spacing w:after="0"/>
              <w:rPr>
                <w:sz w:val="20"/>
                <w:szCs w:val="20"/>
                <w:color w:val="auto"/>
              </w:rPr>
            </w:pPr>
            <w:r>
              <w:rPr>
                <w:rFonts w:ascii="Arial" w:cs="Arial" w:eastAsia="Arial" w:hAnsi="Arial"/>
                <w:sz w:val="18"/>
                <w:szCs w:val="18"/>
                <w:b w:val="1"/>
                <w:bCs w:val="1"/>
                <w:color w:val="auto"/>
                <w:w w:val="91"/>
              </w:rPr>
              <w:t>Incorporated by Reference</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8"/>
        </w:trPr>
        <w:tc>
          <w:tcPr>
            <w:tcW w:w="4300" w:type="dxa"/>
            <w:vAlign w:val="bottom"/>
            <w:gridSpan w:val="5"/>
            <w:vMerge w:val="restart"/>
          </w:tcPr>
          <w:p>
            <w:pPr>
              <w:ind w:left="1640"/>
              <w:spacing w:after="0"/>
              <w:rPr>
                <w:sz w:val="20"/>
                <w:szCs w:val="20"/>
                <w:color w:val="auto"/>
              </w:rPr>
            </w:pPr>
            <w:r>
              <w:rPr>
                <w:rFonts w:ascii="Arial" w:cs="Arial" w:eastAsia="Arial" w:hAnsi="Arial"/>
                <w:sz w:val="18"/>
                <w:szCs w:val="18"/>
                <w:b w:val="1"/>
                <w:bCs w:val="1"/>
                <w:color w:val="auto"/>
              </w:rPr>
              <w:t>Description</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File No.</w:t>
            </w:r>
          </w:p>
        </w:tc>
        <w:tc>
          <w:tcPr>
            <w:tcW w:w="128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3"/>
              </w:rPr>
              <w:t>Exhibit</w:t>
            </w: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300" w:type="dxa"/>
            <w:vAlign w:val="bottom"/>
            <w:gridSpan w:val="5"/>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08"/>
        </w:trPr>
        <w:tc>
          <w:tcPr>
            <w:tcW w:w="4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300" w:type="dxa"/>
            <w:vAlign w:val="bottom"/>
            <w:gridSpan w:val="5"/>
          </w:tcPr>
          <w:p>
            <w:pPr>
              <w:spacing w:after="0"/>
              <w:rPr>
                <w:rFonts w:ascii="Arial" w:cs="Arial" w:eastAsia="Arial" w:hAnsi="Arial"/>
                <w:sz w:val="18"/>
                <w:szCs w:val="18"/>
                <w:color w:val="0000EE"/>
              </w:rPr>
            </w:pPr>
            <w:hyperlink r:id="rId152">
              <w:r>
                <w:rPr>
                  <w:rFonts w:ascii="Arial" w:cs="Arial" w:eastAsia="Arial" w:hAnsi="Arial"/>
                  <w:sz w:val="18"/>
                  <w:szCs w:val="18"/>
                  <w:u w:val="single" w:color="auto"/>
                  <w:color w:val="0000EE"/>
                </w:rPr>
                <w:t>Form of Indemnity Agreement</w:t>
              </w:r>
            </w:hyperlink>
            <w:r>
              <w:rPr>
                <w:rFonts w:ascii="Arial" w:cs="Arial" w:eastAsia="Arial" w:hAnsi="Arial"/>
                <w:sz w:val="18"/>
                <w:szCs w:val="18"/>
                <w:color w:val="000000"/>
              </w:rPr>
              <w:t>.</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333-21503</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 9, 2016</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Borders>
              <w:bottom w:val="single" w:sz="8" w:color="0000EE"/>
            </w:tcBorders>
            <w:gridSpan w:val="3"/>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Amended and Restated Registration Rights Agreement</w:t>
              </w:r>
            </w:hyperlink>
          </w:p>
        </w:tc>
        <w:tc>
          <w:tcPr>
            <w:tcW w:w="120" w:type="dxa"/>
            <w:vAlign w:val="bottom"/>
            <w:gridSpan w:val="2"/>
          </w:tcPr>
          <w:p>
            <w:pPr>
              <w:spacing w:after="0"/>
              <w:rPr>
                <w:sz w:val="23"/>
                <w:szCs w:val="2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Oct. 22, 2018</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r:id="rId153">
              <w:r>
                <w:rPr>
                  <w:rFonts w:ascii="Arial" w:cs="Arial" w:eastAsia="Arial" w:hAnsi="Arial"/>
                  <w:sz w:val="18"/>
                  <w:szCs w:val="18"/>
                  <w:color w:val="0000EE"/>
                  <w:w w:val="96"/>
                </w:rPr>
                <w:t>dated October 17, 2018, by and among Verra Mobility</w:t>
              </w:r>
            </w:hyperlink>
          </w:p>
        </w:tc>
        <w:tc>
          <w:tcPr>
            <w:tcW w:w="1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gridSpan w:val="5"/>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Corporation,  Gores  Sponsor  II  LLC,  Randall  Bort,</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gridSpan w:val="5"/>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William Patton, Jeffrey Rea and the stockholders of</w:t>
              </w:r>
            </w:hyperlink>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5"/>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Greenlight Holding II Corporation.</w:t>
              </w:r>
            </w:hyperlink>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2">
            <w:col w:w="720" w:space="280"/>
            <w:col w:w="10140"/>
          </w:cols>
          <w:pgMar w:left="420" w:top="33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10.3</w:t>
            </w:r>
          </w:p>
        </w:tc>
        <w:tc>
          <w:tcPr>
            <w:tcW w:w="4160" w:type="dxa"/>
            <w:vAlign w:val="bottom"/>
            <w:tcBorders>
              <w:bottom w:val="single" w:sz="8" w:color="0000EE"/>
            </w:tcBorders>
            <w:gridSpan w:val="3"/>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Investor Rights Agreement dated October 17, 2018, by</w:t>
              </w:r>
            </w:hyperlink>
          </w:p>
        </w:tc>
        <w:tc>
          <w:tcPr>
            <w:tcW w:w="140" w:type="dxa"/>
            <w:vAlign w:val="bottom"/>
            <w:gridSpan w:val="4"/>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001-37979</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1340" w:type="dxa"/>
            <w:vAlign w:val="bottom"/>
          </w:tcPr>
          <w:p>
            <w:pPr>
              <w:ind w:left="360"/>
              <w:spacing w:after="0"/>
              <w:rPr>
                <w:sz w:val="20"/>
                <w:szCs w:val="20"/>
                <w:color w:val="auto"/>
              </w:rPr>
            </w:pPr>
            <w:r>
              <w:rPr>
                <w:rFonts w:ascii="Arial" w:cs="Arial" w:eastAsia="Arial" w:hAnsi="Arial"/>
                <w:sz w:val="18"/>
                <w:szCs w:val="18"/>
                <w:color w:val="auto"/>
                <w:w w:val="88"/>
              </w:rPr>
              <w:t>Oct. 22, 2018</w:t>
            </w: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and  among  Verra  Mobility  Corporation  and  PE</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300" w:type="dxa"/>
            <w:vAlign w:val="bottom"/>
            <w:gridSpan w:val="7"/>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Greenlight Holdings, LLC</w:t>
              </w:r>
              <w:r>
                <w:rPr>
                  <w:rFonts w:ascii="Arial" w:cs="Arial" w:eastAsia="Arial" w:hAnsi="Arial"/>
                  <w:sz w:val="18"/>
                  <w:szCs w:val="18"/>
                  <w:color w:val="000000"/>
                </w:rPr>
                <w:t>.</w:t>
              </w:r>
            </w:hyperlink>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10.4</w:t>
            </w:r>
          </w:p>
        </w:tc>
        <w:tc>
          <w:tcPr>
            <w:tcW w:w="4160" w:type="dxa"/>
            <w:vAlign w:val="bottom"/>
            <w:tcBorders>
              <w:bottom w:val="single" w:sz="8" w:color="0000EE"/>
            </w:tcBorders>
            <w:gridSpan w:val="3"/>
          </w:tcPr>
          <w:p>
            <w:pPr>
              <w:spacing w:after="0"/>
              <w:rPr>
                <w:rFonts w:ascii="Arial" w:cs="Arial" w:eastAsia="Arial" w:hAnsi="Arial"/>
                <w:sz w:val="18"/>
                <w:szCs w:val="18"/>
                <w:color w:val="0000EE"/>
                <w:w w:val="94"/>
              </w:rPr>
            </w:pPr>
            <w:hyperlink r:id="rId155">
              <w:r>
                <w:rPr>
                  <w:rFonts w:ascii="Arial" w:cs="Arial" w:eastAsia="Arial" w:hAnsi="Arial"/>
                  <w:sz w:val="18"/>
                  <w:szCs w:val="18"/>
                  <w:color w:val="0000EE"/>
                  <w:w w:val="94"/>
                </w:rPr>
                <w:t>Tax Receivable Agreement dated October 17, 2018, by</w:t>
              </w:r>
            </w:hyperlink>
          </w:p>
        </w:tc>
        <w:tc>
          <w:tcPr>
            <w:tcW w:w="140" w:type="dxa"/>
            <w:vAlign w:val="bottom"/>
            <w:gridSpan w:val="4"/>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001-37979</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340" w:type="dxa"/>
            <w:vAlign w:val="bottom"/>
          </w:tcPr>
          <w:p>
            <w:pPr>
              <w:ind w:left="360"/>
              <w:spacing w:after="0"/>
              <w:rPr>
                <w:sz w:val="20"/>
                <w:szCs w:val="20"/>
                <w:color w:val="auto"/>
              </w:rPr>
            </w:pPr>
            <w:r>
              <w:rPr>
                <w:rFonts w:ascii="Arial" w:cs="Arial" w:eastAsia="Arial" w:hAnsi="Arial"/>
                <w:sz w:val="18"/>
                <w:szCs w:val="18"/>
                <w:color w:val="auto"/>
                <w:w w:val="88"/>
              </w:rPr>
              <w:t>Oct. 22, 2018</w:t>
            </w: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and  among  Verra  Mobility  Corporation,  the  persons</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identified as “Stockholders” on Schedule 1 thereto, and</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4300" w:type="dxa"/>
            <w:vAlign w:val="bottom"/>
            <w:gridSpan w:val="7"/>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PE Greenlight Holdings, LLC, solely in its capacity as</w:t>
              </w:r>
            </w:hyperlink>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4300" w:type="dxa"/>
            <w:vAlign w:val="bottom"/>
            <w:gridSpan w:val="7"/>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the stockholders’ representative thereunder</w:t>
              </w:r>
              <w:r>
                <w:rPr>
                  <w:rFonts w:ascii="Arial" w:cs="Arial" w:eastAsia="Arial" w:hAnsi="Arial"/>
                  <w:sz w:val="18"/>
                  <w:szCs w:val="18"/>
                  <w:u w:val="single" w:color="auto"/>
                  <w:color w:val="000000"/>
                </w:rPr>
                <w:t>.</w:t>
              </w:r>
            </w:hyperlink>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10.5</w:t>
            </w:r>
          </w:p>
        </w:tc>
        <w:tc>
          <w:tcPr>
            <w:tcW w:w="4160" w:type="dxa"/>
            <w:vAlign w:val="bottom"/>
            <w:tcBorders>
              <w:bottom w:val="single" w:sz="8" w:color="0000EE"/>
            </w:tcBorders>
            <w:gridSpan w:val="3"/>
          </w:tcPr>
          <w:p>
            <w:pPr>
              <w:spacing w:after="0"/>
              <w:rPr>
                <w:rFonts w:ascii="Arial" w:cs="Arial" w:eastAsia="Arial" w:hAnsi="Arial"/>
                <w:sz w:val="18"/>
                <w:szCs w:val="18"/>
                <w:color w:val="0000EE"/>
                <w:w w:val="93"/>
              </w:rPr>
            </w:pPr>
            <w:hyperlink r:id="rId156">
              <w:r>
                <w:rPr>
                  <w:rFonts w:ascii="Arial" w:cs="Arial" w:eastAsia="Arial" w:hAnsi="Arial"/>
                  <w:sz w:val="18"/>
                  <w:szCs w:val="18"/>
                  <w:color w:val="0000EE"/>
                  <w:w w:val="93"/>
                </w:rPr>
                <w:t>Revolving Credit Agreement dated as of March 1, 2018,</w:t>
              </w:r>
            </w:hyperlink>
          </w:p>
        </w:tc>
        <w:tc>
          <w:tcPr>
            <w:tcW w:w="140" w:type="dxa"/>
            <w:vAlign w:val="bottom"/>
            <w:gridSpan w:val="4"/>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001-37979</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10.5</w:t>
            </w:r>
          </w:p>
        </w:tc>
        <w:tc>
          <w:tcPr>
            <w:tcW w:w="1340" w:type="dxa"/>
            <w:vAlign w:val="bottom"/>
          </w:tcPr>
          <w:p>
            <w:pPr>
              <w:ind w:left="360"/>
              <w:spacing w:after="0"/>
              <w:rPr>
                <w:sz w:val="20"/>
                <w:szCs w:val="20"/>
                <w:color w:val="auto"/>
              </w:rPr>
            </w:pPr>
            <w:r>
              <w:rPr>
                <w:rFonts w:ascii="Arial" w:cs="Arial" w:eastAsia="Arial" w:hAnsi="Arial"/>
                <w:sz w:val="18"/>
                <w:szCs w:val="18"/>
                <w:color w:val="auto"/>
                <w:w w:val="88"/>
              </w:rPr>
              <w:t>Oct. 22, 2018</w:t>
            </w: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among  Greenlight  Acquisition  Corporation,  ATS</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22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Consolidated Inc., each of the other borrowers party</w:t>
              </w:r>
            </w:hyperlink>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4300" w:type="dxa"/>
            <w:vAlign w:val="bottom"/>
            <w:gridSpan w:val="7"/>
          </w:tcPr>
          <w:p>
            <w:pPr>
              <w:spacing w:after="0"/>
              <w:rPr>
                <w:rFonts w:ascii="Arial" w:cs="Arial" w:eastAsia="Arial" w:hAnsi="Arial"/>
                <w:sz w:val="18"/>
                <w:szCs w:val="18"/>
                <w:u w:val="single" w:color="auto"/>
                <w:color w:val="0000EE"/>
                <w:w w:val="97"/>
              </w:rPr>
            </w:pPr>
            <w:hyperlink r:id="rId156">
              <w:r>
                <w:rPr>
                  <w:rFonts w:ascii="Arial" w:cs="Arial" w:eastAsia="Arial" w:hAnsi="Arial"/>
                  <w:sz w:val="18"/>
                  <w:szCs w:val="18"/>
                  <w:u w:val="single" w:color="auto"/>
                  <w:color w:val="0000EE"/>
                  <w:w w:val="97"/>
                </w:rPr>
                <w:t>thereto, the lenders party thereto and Bank of America,</w:t>
              </w:r>
            </w:hyperlink>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4300" w:type="dxa"/>
            <w:vAlign w:val="bottom"/>
            <w:gridSpan w:val="7"/>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N.A. as Administrative Agent and Collateral Agent</w:t>
              </w:r>
              <w:r>
                <w:rPr>
                  <w:rFonts w:ascii="Arial" w:cs="Arial" w:eastAsia="Arial" w:hAnsi="Arial"/>
                  <w:sz w:val="18"/>
                  <w:szCs w:val="18"/>
                  <w:u w:val="single" w:color="auto"/>
                  <w:color w:val="000000"/>
                </w:rPr>
                <w:t>.</w:t>
              </w:r>
            </w:hyperlink>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10.6</w:t>
            </w:r>
          </w:p>
        </w:tc>
        <w:tc>
          <w:tcPr>
            <w:tcW w:w="4160" w:type="dxa"/>
            <w:vAlign w:val="bottom"/>
            <w:tcBorders>
              <w:bottom w:val="single" w:sz="8" w:color="0000EE"/>
            </w:tcBorders>
            <w:gridSpan w:val="3"/>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First Lien Term Loan Credit Agreement dated as of</w:t>
              </w:r>
            </w:hyperlink>
          </w:p>
        </w:tc>
        <w:tc>
          <w:tcPr>
            <w:tcW w:w="140" w:type="dxa"/>
            <w:vAlign w:val="bottom"/>
            <w:gridSpan w:val="4"/>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001-37979</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10.6</w:t>
            </w:r>
          </w:p>
        </w:tc>
        <w:tc>
          <w:tcPr>
            <w:tcW w:w="1340" w:type="dxa"/>
            <w:vAlign w:val="bottom"/>
          </w:tcPr>
          <w:p>
            <w:pPr>
              <w:ind w:left="360"/>
              <w:spacing w:after="0"/>
              <w:rPr>
                <w:sz w:val="20"/>
                <w:szCs w:val="20"/>
                <w:color w:val="auto"/>
              </w:rPr>
            </w:pPr>
            <w:r>
              <w:rPr>
                <w:rFonts w:ascii="Arial" w:cs="Arial" w:eastAsia="Arial" w:hAnsi="Arial"/>
                <w:sz w:val="18"/>
                <w:szCs w:val="18"/>
                <w:color w:val="auto"/>
                <w:w w:val="88"/>
              </w:rPr>
              <w:t>Oct. 22, 2018</w:t>
            </w:r>
          </w:p>
        </w:tc>
      </w:tr>
      <w:tr>
        <w:trPr>
          <w:trHeight w:val="196"/>
        </w:trPr>
        <w:tc>
          <w:tcPr>
            <w:tcW w:w="1000" w:type="dxa"/>
            <w:vAlign w:val="bottom"/>
          </w:tcPr>
          <w:p>
            <w:pPr>
              <w:spacing w:after="0"/>
              <w:rPr>
                <w:sz w:val="17"/>
                <w:szCs w:val="17"/>
                <w:color w:val="auto"/>
              </w:rPr>
            </w:pPr>
          </w:p>
        </w:tc>
        <w:tc>
          <w:tcPr>
            <w:tcW w:w="420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March  1,  2018,   among   Greenlight  Acquisition</w:t>
              </w:r>
            </w:hyperlink>
          </w:p>
        </w:tc>
        <w:tc>
          <w:tcPr>
            <w:tcW w:w="1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157">
              <w:r>
                <w:rPr>
                  <w:rFonts w:ascii="Arial" w:cs="Arial" w:eastAsia="Arial" w:hAnsi="Arial"/>
                  <w:sz w:val="18"/>
                  <w:szCs w:val="18"/>
                  <w:color w:val="0000EE"/>
                  <w:w w:val="96"/>
                </w:rPr>
                <w:t>Corporation, ATS Consolidated, Inc., American Traffic</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Solutions, Inc., Lasercraft, Inc., the lenders party thereto</w:t>
              </w:r>
            </w:hyperlink>
          </w:p>
        </w:tc>
        <w:tc>
          <w:tcPr>
            <w:tcW w:w="1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4300" w:type="dxa"/>
            <w:vAlign w:val="bottom"/>
            <w:gridSpan w:val="7"/>
          </w:tcPr>
          <w:p>
            <w:pPr>
              <w:spacing w:after="0"/>
              <w:rPr>
                <w:rFonts w:ascii="Arial" w:cs="Arial" w:eastAsia="Arial" w:hAnsi="Arial"/>
                <w:sz w:val="18"/>
                <w:szCs w:val="18"/>
                <w:u w:val="single" w:color="auto"/>
                <w:color w:val="0000EE"/>
                <w:w w:val="96"/>
              </w:rPr>
            </w:pPr>
            <w:hyperlink r:id="rId157">
              <w:r>
                <w:rPr>
                  <w:rFonts w:ascii="Arial" w:cs="Arial" w:eastAsia="Arial" w:hAnsi="Arial"/>
                  <w:sz w:val="18"/>
                  <w:szCs w:val="18"/>
                  <w:u w:val="single" w:color="auto"/>
                  <w:color w:val="0000EE"/>
                  <w:w w:val="96"/>
                </w:rPr>
                <w:t>and Bank of America, N.A. as Administrative Agent and</w:t>
              </w:r>
            </w:hyperlink>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4300" w:type="dxa"/>
            <w:vAlign w:val="bottom"/>
            <w:gridSpan w:val="7"/>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Collateral Agent</w:t>
              </w:r>
              <w:r>
                <w:rPr>
                  <w:rFonts w:ascii="Arial" w:cs="Arial" w:eastAsia="Arial" w:hAnsi="Arial"/>
                  <w:sz w:val="18"/>
                  <w:szCs w:val="18"/>
                  <w:u w:val="single" w:color="auto"/>
                  <w:color w:val="000000"/>
                </w:rPr>
                <w:t>.</w:t>
              </w:r>
            </w:hyperlink>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10.7</w:t>
            </w:r>
          </w:p>
        </w:tc>
        <w:tc>
          <w:tcPr>
            <w:tcW w:w="4160" w:type="dxa"/>
            <w:vAlign w:val="bottom"/>
            <w:tcBorders>
              <w:bottom w:val="single" w:sz="8" w:color="0000EE"/>
            </w:tcBorders>
            <w:gridSpan w:val="3"/>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Amendment No. 1 to Revolving Credit Agreement dated</w:t>
              </w:r>
            </w:hyperlink>
          </w:p>
        </w:tc>
        <w:tc>
          <w:tcPr>
            <w:tcW w:w="140" w:type="dxa"/>
            <w:vAlign w:val="bottom"/>
            <w:gridSpan w:val="4"/>
          </w:tcPr>
          <w:p>
            <w:pPr>
              <w:spacing w:after="0"/>
              <w:rPr>
                <w:sz w:val="23"/>
                <w:szCs w:val="23"/>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001-37979</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1340" w:type="dxa"/>
            <w:vAlign w:val="bottom"/>
          </w:tcPr>
          <w:p>
            <w:pPr>
              <w:ind w:left="360"/>
              <w:spacing w:after="0"/>
              <w:rPr>
                <w:sz w:val="20"/>
                <w:szCs w:val="20"/>
                <w:color w:val="auto"/>
              </w:rPr>
            </w:pPr>
            <w:r>
              <w:rPr>
                <w:rFonts w:ascii="Arial" w:cs="Arial" w:eastAsia="Arial" w:hAnsi="Arial"/>
                <w:sz w:val="18"/>
                <w:szCs w:val="18"/>
                <w:color w:val="auto"/>
                <w:w w:val="88"/>
              </w:rPr>
              <w:t>Oct. 22, 2018</w:t>
            </w: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as  of  July  24,  2018,  among  Greenlight  Acquisition</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300" w:type="dxa"/>
            <w:vAlign w:val="bottom"/>
            <w:gridSpan w:val="7"/>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Corporation,  Verra  Mobility  Corporation  (formerly</w:t>
              </w:r>
            </w:hyperlink>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known as ATS Consolidated Inc.), each of the other</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13" w:lineRule="exact"/>
        <w:rPr>
          <w:sz w:val="20"/>
          <w:szCs w:val="20"/>
          <w:color w:val="auto"/>
        </w:rPr>
      </w:pPr>
    </w:p>
    <w:p>
      <w:pPr>
        <w:ind w:left="1000"/>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borrowers party thereto, the lenders party thereto and</w:t>
        </w:r>
      </w:hyperlink>
    </w:p>
    <w:p>
      <w:pPr>
        <w:spacing w:after="0" w:line="23" w:lineRule="exact"/>
        <w:rPr>
          <w:sz w:val="20"/>
          <w:szCs w:val="20"/>
          <w:color w:val="auto"/>
        </w:rPr>
      </w:pPr>
    </w:p>
    <w:p>
      <w:pPr>
        <w:ind w:left="1000"/>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Bank of America, N.A. as Administrative Agent and</w:t>
        </w:r>
      </w:hyperlink>
    </w:p>
    <w:p>
      <w:pPr>
        <w:spacing w:after="0" w:line="9" w:lineRule="exact"/>
        <w:rPr>
          <w:sz w:val="20"/>
          <w:szCs w:val="20"/>
          <w:color w:val="auto"/>
        </w:rPr>
      </w:pPr>
    </w:p>
    <w:p>
      <w:pPr>
        <w:ind w:left="1000"/>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Collateral Agent</w:t>
        </w:r>
        <w:r>
          <w:rPr>
            <w:rFonts w:ascii="Arial" w:cs="Arial" w:eastAsia="Arial" w:hAnsi="Arial"/>
            <w:sz w:val="18"/>
            <w:szCs w:val="18"/>
            <w:u w:val="single" w:color="auto"/>
            <w:color w:val="000000"/>
          </w:rPr>
          <w:t>.</w:t>
        </w:r>
      </w:hyperlink>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37" w:right="339" w:bottom="1440" w:gutter="0" w:footer="0" w:header="0"/>
          <w:type w:val="continuous"/>
        </w:sectPr>
      </w:pPr>
    </w:p>
    <w:bookmarkStart w:id="113" w:name="page114"/>
    <w:bookmarkEnd w:id="113"/>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gridSpan w:val="2"/>
            <w:vMerge w:val="restart"/>
          </w:tcPr>
          <w:p>
            <w:pPr>
              <w:ind w:left="10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10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000" w:type="dxa"/>
            <w:vAlign w:val="bottom"/>
          </w:tcPr>
          <w:p>
            <w:pPr>
              <w:ind w:lef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Amendment No. 1 to First Lien Term Loan Credit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5"/>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Agreement dated as of July 24, 2018, among Greenlight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Acquisition  Corporation,  Verra  Mobility  Corporation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r:id="rId160">
              <w:r>
                <w:rPr>
                  <w:rFonts w:ascii="Arial" w:cs="Arial" w:eastAsia="Arial" w:hAnsi="Arial"/>
                  <w:sz w:val="18"/>
                  <w:szCs w:val="18"/>
                  <w:color w:val="0000EE"/>
                  <w:w w:val="95"/>
                </w:rPr>
                <w:t>(formerly known as ATS Consolidated, Inc.), American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5"/>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Traffic Solutions, Inc., Lasercraft, Inc., the lenders party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5"/>
          </w:tcPr>
          <w:p>
            <w:pPr>
              <w:spacing w:after="0"/>
              <w:rPr>
                <w:rFonts w:ascii="Arial" w:cs="Arial" w:eastAsia="Arial" w:hAnsi="Arial"/>
                <w:sz w:val="18"/>
                <w:szCs w:val="18"/>
                <w:u w:val="single" w:color="auto"/>
                <w:color w:val="0000EE"/>
                <w:w w:val="99"/>
              </w:rPr>
            </w:pPr>
            <w:hyperlink r:id="rId160">
              <w:r>
                <w:rPr>
                  <w:rFonts w:ascii="Arial" w:cs="Arial" w:eastAsia="Arial" w:hAnsi="Arial"/>
                  <w:sz w:val="18"/>
                  <w:szCs w:val="18"/>
                  <w:u w:val="single" w:color="auto"/>
                  <w:color w:val="0000EE"/>
                  <w:w w:val="99"/>
                </w:rPr>
                <w:t>thereto and Bank of America, N.A. as Administrative</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Agent and Collateral Agent</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70"/>
        </w:trPr>
        <w:tc>
          <w:tcPr>
            <w:tcW w:w="1000" w:type="dxa"/>
            <w:vAlign w:val="bottom"/>
          </w:tcPr>
          <w:p>
            <w:pPr>
              <w:ind w:lef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rPr>
            </w:pPr>
            <w:hyperlink r:id="rId161">
              <w:r>
                <w:rPr>
                  <w:rFonts w:ascii="Arial" w:cs="Arial" w:eastAsia="Arial" w:hAnsi="Arial"/>
                  <w:sz w:val="18"/>
                  <w:szCs w:val="18"/>
                  <w:color w:val="0000EE"/>
                </w:rPr>
                <w:t>Amendment No. 2 to First Lien Term Loan Credit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Agreement  dated  as  of  February  20,  2020,  among</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161">
              <w:r>
                <w:rPr>
                  <w:rFonts w:ascii="Arial" w:cs="Arial" w:eastAsia="Arial" w:hAnsi="Arial"/>
                  <w:sz w:val="18"/>
                  <w:szCs w:val="18"/>
                  <w:color w:val="0000EE"/>
                  <w:w w:val="97"/>
                </w:rPr>
                <w:t>Greenlight Acquisition Corporation, VM Consolidated,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Inc. (formerly known as ATS Consolidated, Inc.), each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the  other  borrowers  and  subsidiary  guarantors  party</w:t>
              </w:r>
            </w:hyperlink>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5"/>
          </w:tcPr>
          <w:p>
            <w:pPr>
              <w:spacing w:after="0"/>
              <w:rPr>
                <w:rFonts w:ascii="Arial" w:cs="Arial" w:eastAsia="Arial" w:hAnsi="Arial"/>
                <w:sz w:val="18"/>
                <w:szCs w:val="18"/>
                <w:u w:val="single" w:color="auto"/>
                <w:color w:val="0000EE"/>
                <w:w w:val="94"/>
              </w:rPr>
            </w:pPr>
            <w:hyperlink r:id="rId161">
              <w:r>
                <w:rPr>
                  <w:rFonts w:ascii="Arial" w:cs="Arial" w:eastAsia="Arial" w:hAnsi="Arial"/>
                  <w:sz w:val="18"/>
                  <w:szCs w:val="18"/>
                  <w:u w:val="single" w:color="auto"/>
                  <w:color w:val="0000EE"/>
                  <w:w w:val="94"/>
                </w:rPr>
                <w:t>thereto, the lenders party thereto and Bank of America,</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N.A. as Administrative Agent and Collateral Agent.</w:t>
              </w:r>
            </w:hyperlink>
          </w:p>
        </w:tc>
        <w:tc>
          <w:tcPr>
            <w:tcW w:w="0" w:type="dxa"/>
            <w:vAlign w:val="bottom"/>
          </w:tcPr>
          <w:p>
            <w:pPr>
              <w:spacing w:after="0"/>
              <w:rPr>
                <w:sz w:val="1"/>
                <w:szCs w:val="1"/>
                <w:color w:val="auto"/>
              </w:rPr>
            </w:pPr>
          </w:p>
        </w:tc>
      </w:tr>
      <w:tr>
        <w:trPr>
          <w:trHeight w:val="270"/>
        </w:trPr>
        <w:tc>
          <w:tcPr>
            <w:tcW w:w="1000" w:type="dxa"/>
            <w:vAlign w:val="bottom"/>
          </w:tcPr>
          <w:p>
            <w:pPr>
              <w:ind w:left="10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3"/>
                <w:szCs w:val="23"/>
                <w:color w:val="auto"/>
              </w:rPr>
            </w:pPr>
          </w:p>
        </w:tc>
        <w:tc>
          <w:tcPr>
            <w:tcW w:w="4140" w:type="dxa"/>
            <w:vAlign w:val="bottom"/>
            <w:tcBorders>
              <w:bottom w:val="single" w:sz="8" w:color="0000EE"/>
            </w:tcBorders>
            <w:gridSpan w:val="4"/>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Employee Offer Letter by and between American Traffic</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5"/>
          </w:tcPr>
          <w:p>
            <w:pPr>
              <w:spacing w:after="0"/>
              <w:rPr>
                <w:rFonts w:ascii="Arial" w:cs="Arial" w:eastAsia="Arial" w:hAnsi="Arial"/>
                <w:sz w:val="18"/>
                <w:szCs w:val="18"/>
                <w:u w:val="single" w:color="auto"/>
                <w:color w:val="0000EE"/>
                <w:w w:val="92"/>
              </w:rPr>
            </w:pPr>
            <w:hyperlink r:id="rId162">
              <w:r>
                <w:rPr>
                  <w:rFonts w:ascii="Arial" w:cs="Arial" w:eastAsia="Arial" w:hAnsi="Arial"/>
                  <w:sz w:val="18"/>
                  <w:szCs w:val="18"/>
                  <w:u w:val="single" w:color="auto"/>
                  <w:color w:val="0000EE"/>
                  <w:w w:val="92"/>
                </w:rPr>
                <w:t>Solutions, Inc. and David Roberts, dated June 27, 2014</w:t>
              </w:r>
              <w:r>
                <w:rPr>
                  <w:rFonts w:ascii="Arial" w:cs="Arial" w:eastAsia="Arial" w:hAnsi="Arial"/>
                  <w:sz w:val="18"/>
                  <w:szCs w:val="18"/>
                  <w:u w:val="single" w:color="auto"/>
                  <w:color w:val="000000"/>
                  <w:w w:val="92"/>
                </w:rPr>
                <w:t>.</w:t>
              </w:r>
            </w:hyperlink>
          </w:p>
        </w:tc>
        <w:tc>
          <w:tcPr>
            <w:tcW w:w="0" w:type="dxa"/>
            <w:vAlign w:val="bottom"/>
          </w:tcPr>
          <w:p>
            <w:pPr>
              <w:spacing w:after="0"/>
              <w:rPr>
                <w:sz w:val="1"/>
                <w:szCs w:val="1"/>
                <w:color w:val="auto"/>
              </w:rPr>
            </w:pPr>
          </w:p>
        </w:tc>
      </w:tr>
      <w:tr>
        <w:trPr>
          <w:trHeight w:val="190"/>
        </w:trPr>
        <w:tc>
          <w:tcPr>
            <w:tcW w:w="1000" w:type="dxa"/>
            <w:vAlign w:val="bottom"/>
          </w:tcPr>
          <w:p>
            <w:pPr>
              <w:ind w:left="100"/>
              <w:spacing w:after="0" w:line="190"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6"/>
                <w:szCs w:val="16"/>
                <w:color w:val="auto"/>
              </w:rPr>
            </w:pPr>
          </w:p>
        </w:tc>
        <w:tc>
          <w:tcPr>
            <w:tcW w:w="4160" w:type="dxa"/>
            <w:vAlign w:val="bottom"/>
            <w:tcBorders>
              <w:bottom w:val="single" w:sz="8" w:color="0000EE"/>
            </w:tcBorders>
            <w:gridSpan w:val="5"/>
          </w:tcPr>
          <w:p>
            <w:pPr>
              <w:spacing w:after="0" w:line="190" w:lineRule="exact"/>
              <w:rPr>
                <w:rFonts w:ascii="Arial" w:cs="Arial" w:eastAsia="Arial" w:hAnsi="Arial"/>
                <w:sz w:val="18"/>
                <w:szCs w:val="18"/>
                <w:color w:val="0000EE"/>
                <w:w w:val="95"/>
              </w:rPr>
            </w:pPr>
            <w:hyperlink r:id="rId163">
              <w:r>
                <w:rPr>
                  <w:rFonts w:ascii="Arial" w:cs="Arial" w:eastAsia="Arial" w:hAnsi="Arial"/>
                  <w:sz w:val="18"/>
                  <w:szCs w:val="18"/>
                  <w:color w:val="0000EE"/>
                  <w:w w:val="95"/>
                </w:rPr>
                <w:t>Offer Letter Revision by and between American Traffic</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5"/>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Solutions, Inc. and David Roberts, dated as of December</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22, 2014</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Employee Offer Letter by and between American Traffic</w:t>
              </w:r>
            </w:hyperlink>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spacing w:after="0"/>
              <w:rPr>
                <w:rFonts w:ascii="Arial" w:cs="Arial" w:eastAsia="Arial" w:hAnsi="Arial"/>
                <w:sz w:val="18"/>
                <w:szCs w:val="18"/>
                <w:u w:val="single" w:color="auto"/>
                <w:color w:val="0000EE"/>
                <w:w w:val="92"/>
              </w:rPr>
            </w:pPr>
            <w:hyperlink r:id="rId164">
              <w:r>
                <w:rPr>
                  <w:rFonts w:ascii="Arial" w:cs="Arial" w:eastAsia="Arial" w:hAnsi="Arial"/>
                  <w:sz w:val="18"/>
                  <w:szCs w:val="18"/>
                  <w:u w:val="single" w:color="auto"/>
                  <w:color w:val="0000EE"/>
                  <w:w w:val="92"/>
                </w:rPr>
                <w:t>Solutions, Inc. and Patricia Chiodo, dated May 15, 2015</w:t>
              </w:r>
              <w:r>
                <w:rPr>
                  <w:rFonts w:ascii="Arial" w:cs="Arial" w:eastAsia="Arial" w:hAnsi="Arial"/>
                  <w:sz w:val="18"/>
                  <w:szCs w:val="18"/>
                  <w:u w:val="single" w:color="auto"/>
                  <w:color w:val="000000"/>
                  <w:w w:val="92"/>
                </w:rPr>
                <w:t>.</w:t>
              </w:r>
            </w:hyperlink>
          </w:p>
        </w:tc>
        <w:tc>
          <w:tcPr>
            <w:tcW w:w="0" w:type="dxa"/>
            <w:vAlign w:val="bottom"/>
          </w:tcPr>
          <w:p>
            <w:pPr>
              <w:spacing w:after="0"/>
              <w:rPr>
                <w:sz w:val="1"/>
                <w:szCs w:val="1"/>
                <w:color w:val="auto"/>
              </w:rPr>
            </w:pPr>
          </w:p>
        </w:tc>
      </w:tr>
      <w:tr>
        <w:trPr>
          <w:trHeight w:val="270"/>
        </w:trPr>
        <w:tc>
          <w:tcPr>
            <w:tcW w:w="1000" w:type="dxa"/>
            <w:vAlign w:val="bottom"/>
          </w:tcPr>
          <w:p>
            <w:pPr>
              <w:ind w:left="10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3"/>
                <w:szCs w:val="23"/>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w w:val="95"/>
              </w:rPr>
            </w:pPr>
            <w:hyperlink r:id="rId165">
              <w:r>
                <w:rPr>
                  <w:rFonts w:ascii="Arial" w:cs="Arial" w:eastAsia="Arial" w:hAnsi="Arial"/>
                  <w:sz w:val="18"/>
                  <w:szCs w:val="18"/>
                  <w:color w:val="0000EE"/>
                  <w:w w:val="95"/>
                </w:rPr>
                <w:t>Offer Letter Revision by and between American Traffic</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5"/>
          </w:tcPr>
          <w:p>
            <w:pPr>
              <w:spacing w:after="0" w:line="196" w:lineRule="exact"/>
              <w:rPr>
                <w:rFonts w:ascii="Arial" w:cs="Arial" w:eastAsia="Arial" w:hAnsi="Arial"/>
                <w:sz w:val="18"/>
                <w:szCs w:val="18"/>
                <w:color w:val="0000EE"/>
                <w:w w:val="94"/>
              </w:rPr>
            </w:pPr>
            <w:hyperlink r:id="rId165">
              <w:r>
                <w:rPr>
                  <w:rFonts w:ascii="Arial" w:cs="Arial" w:eastAsia="Arial" w:hAnsi="Arial"/>
                  <w:sz w:val="18"/>
                  <w:szCs w:val="18"/>
                  <w:color w:val="0000EE"/>
                  <w:w w:val="94"/>
                </w:rPr>
                <w:t>Solutions, Inc. and Patricia Chiodo, dated as of June 1,</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2015</w:t>
              </w:r>
              <w:r>
                <w:rPr>
                  <w:rFonts w:ascii="Arial" w:cs="Arial" w:eastAsia="Arial" w:hAnsi="Arial"/>
                  <w:sz w:val="18"/>
                  <w:szCs w:val="18"/>
                  <w:color w:val="000000"/>
                </w:rPr>
                <w:t>.</w:t>
              </w:r>
            </w:hyperlink>
          </w:p>
        </w:tc>
        <w:tc>
          <w:tcPr>
            <w:tcW w:w="3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Separation and Release Agreement by and between VM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Consolidated, Inc. and Vincent Brigidi, dated September</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30, 2020</w:t>
              </w:r>
            </w:hyperlink>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20">
              <w:r>
                <w:rPr>
                  <w:rFonts w:ascii="Arial" w:cs="Arial" w:eastAsia="Arial" w:hAnsi="Arial"/>
                  <w:sz w:val="18"/>
                  <w:szCs w:val="18"/>
                  <w:color w:val="0000EE"/>
                  <w:w w:val="94"/>
                </w:rPr>
                <w:t>Executive Employment Agreement by and between VM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Consolidated, Inc. and Steven Lalla, dated January 31,</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20">
              <w:r>
                <w:rPr>
                  <w:rFonts w:ascii="Arial" w:cs="Arial" w:eastAsia="Arial" w:hAnsi="Arial"/>
                  <w:sz w:val="18"/>
                  <w:szCs w:val="18"/>
                  <w:color w:val="0000EE"/>
                  <w:w w:val="84"/>
                </w:rPr>
                <w:t>2021</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rPr>
            </w:pPr>
            <w:hyperlink r:id="rId167">
              <w:r>
                <w:rPr>
                  <w:rFonts w:ascii="Arial" w:cs="Arial" w:eastAsia="Arial" w:hAnsi="Arial"/>
                  <w:sz w:val="18"/>
                  <w:szCs w:val="18"/>
                  <w:color w:val="0000EE"/>
                </w:rPr>
                <w:t>Employee   Offer   Letter   by   and   between   VM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r:id="rId167">
              <w:r>
                <w:rPr>
                  <w:rFonts w:ascii="Arial" w:cs="Arial" w:eastAsia="Arial" w:hAnsi="Arial"/>
                  <w:sz w:val="18"/>
                  <w:szCs w:val="18"/>
                  <w:color w:val="0000EE"/>
                  <w:w w:val="96"/>
                </w:rPr>
                <w:t>Consolidated, Inc. and Garrett Miller, dated as of April</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4"/>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24, 2019</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4160" w:type="dxa"/>
            <w:vAlign w:val="bottom"/>
            <w:tcBorders>
              <w:bottom w:val="single" w:sz="8" w:color="0000EE"/>
            </w:tcBorders>
            <w:gridSpan w:val="5"/>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Employee Offer Letter by and between American Traffic</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5"/>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Solutions, Inc. and Rebecca Collins, dated as of April 21,</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2016.</w:t>
              </w:r>
            </w:hyperlink>
          </w:p>
        </w:tc>
        <w:tc>
          <w:tcPr>
            <w:tcW w:w="3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ind w:left="10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4160" w:type="dxa"/>
            <w:vAlign w:val="bottom"/>
            <w:gridSpan w:val="5"/>
          </w:tcPr>
          <w:p>
            <w:pPr>
              <w:spacing w:after="0"/>
              <w:rPr>
                <w:rFonts w:ascii="Arial" w:cs="Arial" w:eastAsia="Arial" w:hAnsi="Arial"/>
                <w:sz w:val="18"/>
                <w:szCs w:val="18"/>
                <w:color w:val="0000EE"/>
                <w:w w:val="95"/>
              </w:rPr>
            </w:pPr>
            <w:hyperlink r:id="rId169">
              <w:r>
                <w:rPr>
                  <w:rFonts w:ascii="Arial" w:cs="Arial" w:eastAsia="Arial" w:hAnsi="Arial"/>
                  <w:sz w:val="18"/>
                  <w:szCs w:val="18"/>
                  <w:u w:val="single" w:color="auto"/>
                  <w:color w:val="0000EE"/>
                  <w:w w:val="95"/>
                </w:rPr>
                <w:t>Verra Mobility Corporation 2018 Equity Incentive Plan</w:t>
              </w:r>
            </w:hyperlink>
            <w:r>
              <w:rPr>
                <w:rFonts w:ascii="Arial" w:cs="Arial" w:eastAsia="Arial" w:hAnsi="Arial"/>
                <w:sz w:val="18"/>
                <w:szCs w:val="18"/>
                <w:color w:val="000000"/>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ind w:left="620"/>
              <w:spacing w:after="0"/>
              <w:rPr>
                <w:sz w:val="20"/>
                <w:szCs w:val="20"/>
                <w:color w:val="auto"/>
              </w:rPr>
            </w:pPr>
            <w:r>
              <w:rPr>
                <w:rFonts w:ascii="Arial" w:cs="Arial" w:eastAsia="Arial" w:hAnsi="Arial"/>
                <w:sz w:val="18"/>
                <w:szCs w:val="18"/>
                <w:b w:val="1"/>
                <w:bCs w:val="1"/>
                <w:color w:val="auto"/>
                <w:w w:val="91"/>
              </w:rPr>
              <w:t>Incorporated by Reference</w:t>
            </w:r>
          </w:p>
        </w:tc>
        <w:tc>
          <w:tcPr>
            <w:tcW w:w="1280" w:type="dxa"/>
            <w:vAlign w:val="bottom"/>
          </w:tcPr>
          <w:p>
            <w:pPr>
              <w:spacing w:after="0"/>
              <w:rPr>
                <w:sz w:val="20"/>
                <w:szCs w:val="20"/>
                <w:color w:val="auto"/>
              </w:rPr>
            </w:pPr>
          </w:p>
        </w:tc>
      </w:tr>
      <w:tr>
        <w:trPr>
          <w:trHeight w:val="324"/>
        </w:trPr>
        <w:tc>
          <w:tcPr>
            <w:tcW w:w="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File No.</w:t>
            </w: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Exhibit</w:t>
            </w: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Filing Date</w:t>
            </w:r>
          </w:p>
        </w:tc>
      </w:tr>
      <w:tr>
        <w:trPr>
          <w:trHeight w:val="108"/>
        </w:trPr>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r>
        <w:trPr>
          <w:trHeight w:val="304"/>
        </w:trPr>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001-37979</w:t>
            </w:r>
          </w:p>
        </w:tc>
        <w:tc>
          <w:tcPr>
            <w:tcW w:w="14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color w:val="auto"/>
                <w:w w:val="90"/>
              </w:rPr>
              <w:t>Oct. 22,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tabs>
          <w:tab w:leader="none" w:pos="940" w:val="left"/>
          <w:tab w:leader="none" w:pos="2400" w:val="left"/>
          <w:tab w:leader="none" w:pos="34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001-37979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Feb.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300" w:type="dxa"/>
            <w:vAlign w:val="bottom"/>
          </w:tcPr>
          <w:p>
            <w:pPr>
              <w:jc w:val="center"/>
              <w:ind w:left="230"/>
              <w:spacing w:after="0"/>
              <w:rPr>
                <w:sz w:val="20"/>
                <w:szCs w:val="20"/>
                <w:color w:val="auto"/>
              </w:rPr>
            </w:pPr>
            <w:r>
              <w:rPr>
                <w:rFonts w:ascii="Arial" w:cs="Arial" w:eastAsia="Arial" w:hAnsi="Arial"/>
                <w:sz w:val="18"/>
                <w:szCs w:val="18"/>
                <w:color w:val="auto"/>
                <w:w w:val="90"/>
              </w:rPr>
              <w:t>Oct. 22, 2018</w:t>
            </w:r>
          </w:p>
        </w:tc>
      </w:tr>
      <w:tr>
        <w:trPr>
          <w:trHeight w:val="432"/>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300" w:type="dxa"/>
            <w:vAlign w:val="bottom"/>
          </w:tcPr>
          <w:p>
            <w:pPr>
              <w:jc w:val="center"/>
              <w:ind w:left="230"/>
              <w:spacing w:after="0"/>
              <w:rPr>
                <w:sz w:val="20"/>
                <w:szCs w:val="20"/>
                <w:color w:val="auto"/>
              </w:rPr>
            </w:pPr>
            <w:r>
              <w:rPr>
                <w:rFonts w:ascii="Arial" w:cs="Arial" w:eastAsia="Arial" w:hAnsi="Arial"/>
                <w:sz w:val="18"/>
                <w:szCs w:val="18"/>
                <w:color w:val="auto"/>
                <w:w w:val="90"/>
              </w:rPr>
              <w:t>Oct. 22, 2018</w:t>
            </w:r>
          </w:p>
        </w:tc>
      </w:tr>
      <w:tr>
        <w:trPr>
          <w:trHeight w:val="743"/>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300" w:type="dxa"/>
            <w:vAlign w:val="bottom"/>
          </w:tcPr>
          <w:p>
            <w:pPr>
              <w:jc w:val="center"/>
              <w:ind w:left="230"/>
              <w:spacing w:after="0"/>
              <w:rPr>
                <w:sz w:val="20"/>
                <w:szCs w:val="20"/>
                <w:color w:val="auto"/>
              </w:rPr>
            </w:pPr>
            <w:r>
              <w:rPr>
                <w:rFonts w:ascii="Arial" w:cs="Arial" w:eastAsia="Arial" w:hAnsi="Arial"/>
                <w:sz w:val="18"/>
                <w:szCs w:val="18"/>
                <w:color w:val="auto"/>
                <w:w w:val="90"/>
              </w:rPr>
              <w:t>Oct. 22, 2018</w:t>
            </w:r>
          </w:p>
        </w:tc>
      </w:tr>
      <w:tr>
        <w:trPr>
          <w:trHeight w:val="527"/>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300" w:type="dxa"/>
            <w:vAlign w:val="bottom"/>
          </w:tcPr>
          <w:p>
            <w:pPr>
              <w:jc w:val="center"/>
              <w:ind w:left="230"/>
              <w:spacing w:after="0"/>
              <w:rPr>
                <w:sz w:val="20"/>
                <w:szCs w:val="20"/>
                <w:color w:val="auto"/>
              </w:rPr>
            </w:pPr>
            <w:r>
              <w:rPr>
                <w:rFonts w:ascii="Arial" w:cs="Arial" w:eastAsia="Arial" w:hAnsi="Arial"/>
                <w:sz w:val="18"/>
                <w:szCs w:val="18"/>
                <w:color w:val="auto"/>
                <w:w w:val="90"/>
              </w:rPr>
              <w:t>Oct. 22, 2018</w:t>
            </w:r>
          </w:p>
        </w:tc>
      </w:tr>
      <w:tr>
        <w:trPr>
          <w:trHeight w:val="742"/>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300" w:type="dxa"/>
            <w:vAlign w:val="bottom"/>
          </w:tcPr>
          <w:p>
            <w:pPr>
              <w:jc w:val="center"/>
              <w:ind w:left="230"/>
              <w:spacing w:after="0"/>
              <w:rPr>
                <w:sz w:val="20"/>
                <w:szCs w:val="20"/>
                <w:color w:val="auto"/>
              </w:rPr>
            </w:pPr>
            <w:r>
              <w:rPr>
                <w:rFonts w:ascii="Arial" w:cs="Arial" w:eastAsia="Arial" w:hAnsi="Arial"/>
                <w:sz w:val="18"/>
                <w:szCs w:val="18"/>
                <w:color w:val="auto"/>
                <w:w w:val="92"/>
              </w:rPr>
              <w:t>Nov. 5,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00" w:type="dxa"/>
            <w:vAlign w:val="bottom"/>
          </w:tcPr>
          <w:p>
            <w:pPr>
              <w:ind w:left="340"/>
              <w:spacing w:after="0"/>
              <w:rPr>
                <w:sz w:val="20"/>
                <w:szCs w:val="20"/>
                <w:color w:val="auto"/>
              </w:rPr>
            </w:pPr>
            <w:r>
              <w:rPr>
                <w:rFonts w:ascii="Arial" w:cs="Arial" w:eastAsia="Arial" w:hAnsi="Arial"/>
                <w:sz w:val="18"/>
                <w:szCs w:val="18"/>
                <w:color w:val="auto"/>
                <w:w w:val="92"/>
              </w:rPr>
              <w:t>Aug. 6, 2019</w:t>
            </w:r>
          </w:p>
        </w:tc>
      </w:tr>
      <w:tr>
        <w:trPr>
          <w:trHeight w:val="743"/>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300" w:type="dxa"/>
            <w:vAlign w:val="bottom"/>
          </w:tcPr>
          <w:p>
            <w:pPr>
              <w:ind w:left="360"/>
              <w:spacing w:after="0"/>
              <w:rPr>
                <w:sz w:val="20"/>
                <w:szCs w:val="20"/>
                <w:color w:val="auto"/>
              </w:rPr>
            </w:pPr>
            <w:r>
              <w:rPr>
                <w:rFonts w:ascii="Arial" w:cs="Arial" w:eastAsia="Arial" w:hAnsi="Arial"/>
                <w:sz w:val="18"/>
                <w:szCs w:val="18"/>
                <w:color w:val="auto"/>
                <w:w w:val="90"/>
              </w:rPr>
              <w:t>Mar. 2, 2020</w:t>
            </w:r>
          </w:p>
        </w:tc>
      </w:tr>
      <w:tr>
        <w:trPr>
          <w:trHeight w:val="743"/>
        </w:trPr>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300" w:type="dxa"/>
            <w:vAlign w:val="bottom"/>
          </w:tcPr>
          <w:p>
            <w:pPr>
              <w:ind w:left="320"/>
              <w:spacing w:after="0"/>
              <w:rPr>
                <w:sz w:val="20"/>
                <w:szCs w:val="20"/>
                <w:color w:val="auto"/>
              </w:rPr>
            </w:pPr>
            <w:r>
              <w:rPr>
                <w:rFonts w:ascii="Arial" w:cs="Arial" w:eastAsia="Arial" w:hAnsi="Arial"/>
                <w:sz w:val="18"/>
                <w:szCs w:val="18"/>
                <w:color w:val="auto"/>
                <w:w w:val="88"/>
              </w:rPr>
              <w:t>Oct. 22, 2018</w:t>
            </w:r>
          </w:p>
        </w:tc>
      </w:tr>
      <w:tr>
        <w:trPr>
          <w:trHeight w:val="526"/>
        </w:trPr>
        <w:tc>
          <w:tcPr>
            <w:tcW w:w="620" w:type="dxa"/>
            <w:vAlign w:val="bottom"/>
          </w:tcPr>
          <w:p>
            <w:pPr>
              <w:spacing w:after="0"/>
              <w:rPr>
                <w:sz w:val="20"/>
                <w:szCs w:val="20"/>
                <w:color w:val="auto"/>
              </w:rPr>
            </w:pPr>
            <w:r>
              <w:rPr>
                <w:rFonts w:ascii="Arial" w:cs="Arial" w:eastAsia="Arial" w:hAnsi="Arial"/>
                <w:sz w:val="18"/>
                <w:szCs w:val="18"/>
                <w:color w:val="auto"/>
              </w:rPr>
              <w:t>114</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68580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13335</wp:posOffset>
            </wp:positionV>
            <wp:extent cx="6343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5260" w:space="140"/>
            <w:col w:w="4700" w:space="280"/>
            <w:col w:w="720"/>
          </w:cols>
          <w:pgMar w:left="320" w:top="337" w:right="479" w:bottom="1440" w:gutter="0" w:footer="0" w:header="0"/>
        </w:sectPr>
      </w:pPr>
    </w:p>
    <w:bookmarkStart w:id="114" w:name="page115"/>
    <w:bookmarkEnd w:id="114"/>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6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10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000" w:type="dxa"/>
            <w:vAlign w:val="bottom"/>
          </w:tcPr>
          <w:p>
            <w:pPr>
              <w:ind w:lef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2"/>
                <w:szCs w:val="22"/>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Form of Notice of Grant of Restricted Stock Unit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172">
              <w:r>
                <w:rPr>
                  <w:rFonts w:ascii="Arial" w:cs="Arial" w:eastAsia="Arial" w:hAnsi="Arial"/>
                  <w:sz w:val="18"/>
                  <w:szCs w:val="18"/>
                  <w:color w:val="0000EE"/>
                  <w:w w:val="96"/>
                </w:rPr>
                <w:t>Agreement under the Verra Mobility Corporation 2018</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Equity Incentive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9"/>
              </w:rPr>
            </w:pPr>
            <w:hyperlink r:id="rId173">
              <w:r>
                <w:rPr>
                  <w:rFonts w:ascii="Arial" w:cs="Arial" w:eastAsia="Arial" w:hAnsi="Arial"/>
                  <w:sz w:val="18"/>
                  <w:szCs w:val="18"/>
                  <w:color w:val="0000EE"/>
                  <w:w w:val="99"/>
                </w:rPr>
                <w:t>Form of Notice of Grant of Restricted Stock Unit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w w:val="98"/>
              </w:rPr>
            </w:pPr>
            <w:hyperlink r:id="rId173">
              <w:r>
                <w:rPr>
                  <w:rFonts w:ascii="Arial" w:cs="Arial" w:eastAsia="Arial" w:hAnsi="Arial"/>
                  <w:sz w:val="18"/>
                  <w:szCs w:val="18"/>
                  <w:color w:val="0000EE"/>
                  <w:w w:val="98"/>
                </w:rPr>
                <w:t>Agreement for Non-U.S. Participants under the Verra</w:t>
              </w:r>
            </w:hyperlink>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Mobility Corporation 2018 Equity Incentive Plan</w:t>
              </w:r>
              <w:r>
                <w:rPr>
                  <w:rFonts w:ascii="Arial" w:cs="Arial" w:eastAsia="Arial" w:hAnsi="Arial"/>
                  <w:sz w:val="18"/>
                  <w:szCs w:val="18"/>
                  <w:u w:val="single" w:color="auto"/>
                  <w:color w:val="000000"/>
                </w:rPr>
                <w: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0" w:type="dxa"/>
            <w:vAlign w:val="bottom"/>
          </w:tcPr>
          <w:p>
            <w:pPr>
              <w:ind w:left="10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3"/>
                <w:szCs w:val="23"/>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rPr>
            </w:pPr>
            <w:hyperlink r:id="rId174">
              <w:r>
                <w:rPr>
                  <w:rFonts w:ascii="Arial" w:cs="Arial" w:eastAsia="Arial" w:hAnsi="Arial"/>
                  <w:sz w:val="18"/>
                  <w:szCs w:val="18"/>
                  <w:color w:val="0000EE"/>
                </w:rPr>
                <w:t>Form  of  Greenlight  Holding  Corporation  2018</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Participation Plan Termination Agreement</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rPr>
            </w:pPr>
            <w:hyperlink r:id="rId175">
              <w:r>
                <w:rPr>
                  <w:rFonts w:ascii="Arial" w:cs="Arial" w:eastAsia="Arial" w:hAnsi="Arial"/>
                  <w:sz w:val="18"/>
                  <w:szCs w:val="18"/>
                  <w:color w:val="0000EE"/>
                </w:rPr>
                <w:t>Form of Notice of Grant of Restricted Stock Unit for</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Non-Employee  Directors  under  the  Verra  Mobility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Corporation 2018 Equity Incentive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Form of Notice of Grant of Stock Option and Agreement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r:id="rId175">
              <w:r>
                <w:rPr>
                  <w:rFonts w:ascii="Arial" w:cs="Arial" w:eastAsia="Arial" w:hAnsi="Arial"/>
                  <w:sz w:val="18"/>
                  <w:szCs w:val="18"/>
                  <w:color w:val="0000EE"/>
                  <w:w w:val="98"/>
                </w:rPr>
                <w:t>under  the  Verra  Mobility  Corporation  2018  Equity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Incentive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Form of Notice of Grant of Stock Option and Agreement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for  U.K.  Participants  under  the  Verra  Mobility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Corporation 2018 Equity Incentive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3"/>
              </w:rPr>
            </w:pPr>
            <w:hyperlink r:id="rId177">
              <w:r>
                <w:rPr>
                  <w:rFonts w:ascii="Arial" w:cs="Arial" w:eastAsia="Arial" w:hAnsi="Arial"/>
                  <w:sz w:val="18"/>
                  <w:szCs w:val="18"/>
                  <w:color w:val="0000EE"/>
                  <w:w w:val="93"/>
                </w:rPr>
                <w:t>Form of Notice of Grant of Performance Share Unit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177">
              <w:r>
                <w:rPr>
                  <w:rFonts w:ascii="Arial" w:cs="Arial" w:eastAsia="Arial" w:hAnsi="Arial"/>
                  <w:sz w:val="18"/>
                  <w:szCs w:val="18"/>
                  <w:color w:val="0000EE"/>
                  <w:w w:val="96"/>
                </w:rPr>
                <w:t>Agreement under the Verra Mobility Corporation 2018</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Equity Incentive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7"/>
              </w:rPr>
            </w:pPr>
            <w:hyperlink r:id="rId178">
              <w:r>
                <w:rPr>
                  <w:rFonts w:ascii="Arial" w:cs="Arial" w:eastAsia="Arial" w:hAnsi="Arial"/>
                  <w:sz w:val="18"/>
                  <w:szCs w:val="18"/>
                  <w:color w:val="0000EE"/>
                  <w:w w:val="97"/>
                </w:rPr>
                <w:t>2020 Form of Notice of Grant of Restricted Stock Unit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and Agreement for Non-U.S. Participants under the Verra</w:t>
              </w:r>
            </w:hyperlink>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9"/>
          </w:tcPr>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Mobility Corporation 2018 Equity Incentive Plan.</w:t>
              </w:r>
            </w:hyperlink>
          </w:p>
        </w:tc>
        <w:tc>
          <w:tcPr>
            <w:tcW w:w="0" w:type="dxa"/>
            <w:vAlign w:val="bottom"/>
          </w:tcPr>
          <w:p>
            <w:pPr>
              <w:spacing w:after="0"/>
              <w:rPr>
                <w:sz w:val="1"/>
                <w:szCs w:val="1"/>
                <w:color w:val="auto"/>
              </w:rPr>
            </w:pPr>
          </w:p>
        </w:tc>
      </w:tr>
      <w:tr>
        <w:trPr>
          <w:trHeight w:val="270"/>
        </w:trPr>
        <w:tc>
          <w:tcPr>
            <w:tcW w:w="1000" w:type="dxa"/>
            <w:vAlign w:val="bottom"/>
          </w:tcPr>
          <w:p>
            <w:pPr>
              <w:ind w:left="10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3"/>
                <w:szCs w:val="23"/>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Form of Notice of Grant of Stock Option and Agreement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r:id="rId179">
              <w:r>
                <w:rPr>
                  <w:rFonts w:ascii="Arial" w:cs="Arial" w:eastAsia="Arial" w:hAnsi="Arial"/>
                  <w:sz w:val="18"/>
                  <w:szCs w:val="18"/>
                  <w:color w:val="0000EE"/>
                  <w:w w:val="97"/>
                </w:rPr>
                <w:t>for  Non-U.S.  Participants  under  the  Verra  Mobility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Corporation 2018 Equity Incentive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6"/>
              </w:rPr>
            </w:pPr>
            <w:hyperlink r:id="rId180">
              <w:r>
                <w:rPr>
                  <w:rFonts w:ascii="Arial" w:cs="Arial" w:eastAsia="Arial" w:hAnsi="Arial"/>
                  <w:sz w:val="18"/>
                  <w:szCs w:val="18"/>
                  <w:color w:val="0000EE"/>
                  <w:w w:val="96"/>
                </w:rPr>
                <w:t>Verra  Mobility  Corporation  Amended  and  Restated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Short-Term Incentive Plan.</w:t>
              </w:r>
            </w:hyperlink>
          </w:p>
        </w:tc>
        <w:tc>
          <w:tcPr>
            <w:tcW w:w="2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10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4160" w:type="dxa"/>
            <w:vAlign w:val="bottom"/>
            <w:gridSpan w:val="9"/>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List of Subsidiaries</w:t>
              </w:r>
            </w:hyperlink>
          </w:p>
        </w:tc>
        <w:tc>
          <w:tcPr>
            <w:tcW w:w="0" w:type="dxa"/>
            <w:vAlign w:val="bottom"/>
          </w:tcPr>
          <w:p>
            <w:pPr>
              <w:spacing w:after="0"/>
              <w:rPr>
                <w:sz w:val="1"/>
                <w:szCs w:val="1"/>
                <w:color w:val="auto"/>
              </w:rPr>
            </w:pPr>
          </w:p>
        </w:tc>
      </w:tr>
      <w:tr>
        <w:trPr>
          <w:trHeight w:val="270"/>
        </w:trPr>
        <w:tc>
          <w:tcPr>
            <w:tcW w:w="1000" w:type="dxa"/>
            <w:vAlign w:val="bottom"/>
          </w:tcPr>
          <w:p>
            <w:pPr>
              <w:ind w:left="1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42">
              <w:r>
                <w:rPr>
                  <w:rFonts w:ascii="Arial" w:cs="Arial" w:eastAsia="Arial" w:hAnsi="Arial"/>
                  <w:sz w:val="18"/>
                  <w:szCs w:val="18"/>
                  <w:color w:val="0000EE"/>
                  <w:w w:val="92"/>
                </w:rPr>
                <w:t>Consent of Ernst &amp; Young LLP, Independent Registered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9"/>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Public Accounting Firm.</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Power of Attorney (included on the signature pages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herein).</w:t>
              </w:r>
            </w:hyperlink>
          </w:p>
        </w:tc>
        <w:tc>
          <w:tcPr>
            <w:tcW w:w="3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620"/>
              <w:spacing w:after="0"/>
              <w:rPr>
                <w:sz w:val="20"/>
                <w:szCs w:val="20"/>
                <w:color w:val="auto"/>
              </w:rPr>
            </w:pPr>
            <w:r>
              <w:rPr>
                <w:rFonts w:ascii="Arial" w:cs="Arial" w:eastAsia="Arial" w:hAnsi="Arial"/>
                <w:sz w:val="18"/>
                <w:szCs w:val="18"/>
                <w:b w:val="1"/>
                <w:bCs w:val="1"/>
                <w:color w:val="auto"/>
                <w:w w:val="90"/>
              </w:rPr>
              <w:t>Incorporated by Reference</w:t>
            </w:r>
          </w:p>
        </w:tc>
        <w:tc>
          <w:tcPr>
            <w:tcW w:w="1300" w:type="dxa"/>
            <w:vAlign w:val="bottom"/>
          </w:tcPr>
          <w:p>
            <w:pPr>
              <w:spacing w:after="0"/>
              <w:rPr>
                <w:sz w:val="20"/>
                <w:szCs w:val="20"/>
                <w:color w:val="auto"/>
              </w:rPr>
            </w:pPr>
          </w:p>
        </w:tc>
      </w:tr>
      <w:tr>
        <w:trPr>
          <w:trHeight w:val="324"/>
        </w:trPr>
        <w:tc>
          <w:tcPr>
            <w:tcW w:w="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File No.</w:t>
            </w:r>
          </w:p>
        </w:tc>
        <w:tc>
          <w:tcPr>
            <w:tcW w:w="126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w:t>
            </w: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Filing Date</w:t>
            </w:r>
          </w:p>
        </w:tc>
      </w:tr>
      <w:tr>
        <w:trPr>
          <w:trHeight w:val="108"/>
        </w:trPr>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304"/>
        </w:trPr>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Oct. 22, 2018</w:t>
            </w:r>
          </w:p>
        </w:tc>
      </w:tr>
      <w:tr>
        <w:trPr>
          <w:trHeight w:val="743"/>
        </w:trPr>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Oct. 22, 2018</w:t>
            </w:r>
          </w:p>
        </w:tc>
      </w:tr>
      <w:tr>
        <w:trPr>
          <w:trHeight w:val="743"/>
        </w:trPr>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Oct. 22, 2018</w:t>
            </w:r>
          </w:p>
        </w:tc>
      </w:tr>
      <w:tr>
        <w:trPr>
          <w:trHeight w:val="527"/>
        </w:trPr>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1"/>
              </w:rPr>
              <w:t>Mar. 18, 2019</w:t>
            </w:r>
          </w:p>
        </w:tc>
      </w:tr>
      <w:tr>
        <w:trPr>
          <w:trHeight w:val="743"/>
        </w:trPr>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9"/>
              </w:rPr>
              <w:t>Mar. 2, 2020</w:t>
            </w:r>
          </w:p>
        </w:tc>
      </w:tr>
      <w:tr>
        <w:trPr>
          <w:trHeight w:val="743"/>
        </w:trPr>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9"/>
              </w:rPr>
              <w:t>Mar. 2, 2020</w:t>
            </w:r>
          </w:p>
        </w:tc>
      </w:tr>
      <w:tr>
        <w:trPr>
          <w:trHeight w:val="743"/>
        </w:trPr>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9"/>
              </w:rPr>
              <w:t>Mar. 2, 2020</w:t>
            </w:r>
          </w:p>
        </w:tc>
      </w:tr>
      <w:tr>
        <w:trPr>
          <w:trHeight w:val="743"/>
        </w:trPr>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2"/>
              </w:rPr>
              <w:t>Nov. 5, 2020</w:t>
            </w:r>
          </w:p>
        </w:tc>
      </w:tr>
      <w:tr>
        <w:trPr>
          <w:trHeight w:val="742"/>
        </w:trPr>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2"/>
              </w:rPr>
              <w:t>Nov. 5, 2020</w:t>
            </w:r>
          </w:p>
        </w:tc>
      </w:tr>
      <w:tr>
        <w:trPr>
          <w:trHeight w:val="743"/>
        </w:trPr>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7"/>
              </w:rPr>
              <w:t>Jan. 29,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13335</wp:posOffset>
            </wp:positionV>
            <wp:extent cx="6343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5260" w:space="140"/>
            <w:col w:w="4700" w:space="280"/>
            <w:col w:w="720"/>
          </w:cols>
          <w:pgMar w:left="320" w:top="337" w:right="479" w:bottom="1440" w:gutter="0" w:footer="0" w:header="0"/>
        </w:sectPr>
      </w:pPr>
    </w:p>
    <w:bookmarkStart w:id="115" w:name="page116"/>
    <w:bookmarkEnd w:id="115"/>
    <w:p>
      <w:pPr>
        <w:spacing w:after="0" w:line="21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343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ind w:left="620"/>
              <w:spacing w:after="0"/>
              <w:rPr>
                <w:sz w:val="20"/>
                <w:szCs w:val="20"/>
                <w:color w:val="auto"/>
              </w:rPr>
            </w:pPr>
            <w:r>
              <w:rPr>
                <w:rFonts w:ascii="Arial" w:cs="Arial" w:eastAsia="Arial" w:hAnsi="Arial"/>
                <w:sz w:val="18"/>
                <w:szCs w:val="18"/>
                <w:b w:val="1"/>
                <w:bCs w:val="1"/>
                <w:color w:val="auto"/>
                <w:w w:val="92"/>
              </w:rPr>
              <w:t>Incorporated by Reference</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8"/>
        </w:trPr>
        <w:tc>
          <w:tcPr>
            <w:tcW w:w="4300" w:type="dxa"/>
            <w:vAlign w:val="bottom"/>
            <w:gridSpan w:val="5"/>
            <w:vMerge w:val="restart"/>
          </w:tcPr>
          <w:p>
            <w:pPr>
              <w:ind w:left="1640"/>
              <w:spacing w:after="0"/>
              <w:rPr>
                <w:sz w:val="20"/>
                <w:szCs w:val="20"/>
                <w:color w:val="auto"/>
              </w:rPr>
            </w:pPr>
            <w:r>
              <w:rPr>
                <w:rFonts w:ascii="Arial" w:cs="Arial" w:eastAsia="Arial" w:hAnsi="Arial"/>
                <w:sz w:val="18"/>
                <w:szCs w:val="18"/>
                <w:b w:val="1"/>
                <w:bCs w:val="1"/>
                <w:color w:val="auto"/>
              </w:rPr>
              <w:t>Description</w:t>
            </w:r>
          </w:p>
        </w:tc>
        <w:tc>
          <w:tcPr>
            <w:tcW w:w="7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Form</w:t>
            </w:r>
          </w:p>
        </w:tc>
        <w:tc>
          <w:tcPr>
            <w:tcW w:w="144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File No.</w:t>
            </w:r>
          </w:p>
        </w:tc>
        <w:tc>
          <w:tcPr>
            <w:tcW w:w="130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Exhibit</w:t>
            </w: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Filing Date</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300" w:type="dxa"/>
            <w:vAlign w:val="bottom"/>
            <w:gridSpan w:val="5"/>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08"/>
        </w:trPr>
        <w:tc>
          <w:tcPr>
            <w:tcW w:w="28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4300" w:type="dxa"/>
            <w:vAlign w:val="bottom"/>
            <w:gridSpan w:val="5"/>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Certification of Principal Executive Officer Pursuant to</w:t>
              </w:r>
            </w:hyperlink>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gridSpan w:val="5"/>
          </w:tcPr>
          <w:p>
            <w:pPr>
              <w:spacing w:after="0" w:line="196" w:lineRule="exact"/>
              <w:rPr>
                <w:rFonts w:ascii="Arial" w:cs="Arial" w:eastAsia="Arial" w:hAnsi="Arial"/>
                <w:sz w:val="18"/>
                <w:szCs w:val="18"/>
                <w:color w:val="0000EE"/>
                <w:w w:val="98"/>
              </w:rPr>
            </w:pPr>
            <w:hyperlink w:anchor="page143">
              <w:r>
                <w:rPr>
                  <w:rFonts w:ascii="Arial" w:cs="Arial" w:eastAsia="Arial" w:hAnsi="Arial"/>
                  <w:sz w:val="18"/>
                  <w:szCs w:val="18"/>
                  <w:color w:val="0000EE"/>
                  <w:w w:val="98"/>
                </w:rPr>
                <w:t>Rules 13a</w:t>
              </w:r>
              <w:r>
                <w:rPr>
                  <w:rFonts w:ascii="MS PGothic" w:cs="MS PGothic" w:eastAsia="MS PGothic" w:hAnsi="MS PGothic"/>
                  <w:sz w:val="18"/>
                  <w:szCs w:val="18"/>
                  <w:color w:val="0000EE"/>
                  <w:w w:val="98"/>
                </w:rPr>
                <w:t>‑</w:t>
              </w:r>
              <w:r>
                <w:rPr>
                  <w:rFonts w:ascii="Arial" w:cs="Arial" w:eastAsia="Arial" w:hAnsi="Arial"/>
                  <w:sz w:val="18"/>
                  <w:szCs w:val="18"/>
                  <w:color w:val="0000EE"/>
                  <w:w w:val="98"/>
                </w:rPr>
                <w:t>14(a)  and  15d</w:t>
              </w:r>
              <w:r>
                <w:rPr>
                  <w:rFonts w:ascii="MS PGothic" w:cs="MS PGothic" w:eastAsia="MS PGothic" w:hAnsi="MS PGothic"/>
                  <w:sz w:val="18"/>
                  <w:szCs w:val="18"/>
                  <w:color w:val="0000EE"/>
                  <w:w w:val="98"/>
                </w:rPr>
                <w:t>‑</w:t>
              </w:r>
              <w:r>
                <w:rPr>
                  <w:rFonts w:ascii="Arial" w:cs="Arial" w:eastAsia="Arial" w:hAnsi="Arial"/>
                  <w:sz w:val="18"/>
                  <w:szCs w:val="18"/>
                  <w:color w:val="0000EE"/>
                  <w:w w:val="98"/>
                </w:rPr>
                <w:t>14(a)  under  the  Securities</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43">
              <w:r>
                <w:rPr>
                  <w:rFonts w:ascii="Arial" w:cs="Arial" w:eastAsia="Arial" w:hAnsi="Arial"/>
                  <w:sz w:val="18"/>
                  <w:szCs w:val="18"/>
                  <w:color w:val="0000EE"/>
                  <w:w w:val="94"/>
                </w:rPr>
                <w:t>Exchange Act of 1934, as Adopted Pursuant to Section</w:t>
              </w:r>
            </w:hyperlink>
          </w:p>
        </w:tc>
        <w:tc>
          <w:tcPr>
            <w:tcW w:w="1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302 of the Sarbanes-Oxley Act of 2002.</w:t>
              </w:r>
            </w:hyperlink>
          </w:p>
        </w:tc>
        <w:tc>
          <w:tcPr>
            <w:tcW w:w="142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2">
            <w:col w:w="820" w:space="280"/>
            <w:col w:w="1014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100"/>
              <w:spacing w:after="0"/>
              <w:rPr>
                <w:sz w:val="20"/>
                <w:szCs w:val="20"/>
                <w:color w:val="auto"/>
              </w:rPr>
            </w:pPr>
            <w:r>
              <w:rPr>
                <w:rFonts w:ascii="Arial" w:cs="Arial" w:eastAsia="Arial" w:hAnsi="Arial"/>
                <w:sz w:val="18"/>
                <w:szCs w:val="18"/>
                <w:color w:val="auto"/>
              </w:rPr>
              <w:t>31.2</w:t>
            </w:r>
          </w:p>
        </w:tc>
        <w:tc>
          <w:tcPr>
            <w:tcW w:w="41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44">
              <w:r>
                <w:rPr>
                  <w:rFonts w:ascii="Arial" w:cs="Arial" w:eastAsia="Arial" w:hAnsi="Arial"/>
                  <w:sz w:val="18"/>
                  <w:szCs w:val="18"/>
                  <w:color w:val="0000EE"/>
                  <w:w w:val="98"/>
                </w:rPr>
                <w:t>Certification of Principal Financial Officer Pursuant to</w:t>
              </w:r>
            </w:hyperlink>
          </w:p>
        </w:tc>
        <w:tc>
          <w:tcPr>
            <w:tcW w:w="2700" w:type="dxa"/>
            <w:vAlign w:val="bottom"/>
            <w:gridSpan w:val="2"/>
          </w:tcPr>
          <w:p>
            <w:pPr>
              <w:spacing w:after="0"/>
              <w:rPr>
                <w:sz w:val="17"/>
                <w:szCs w:val="17"/>
                <w:color w:val="auto"/>
              </w:rPr>
            </w:pP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196"/>
        </w:trPr>
        <w:tc>
          <w:tcPr>
            <w:tcW w:w="1100" w:type="dxa"/>
            <w:vAlign w:val="bottom"/>
          </w:tcPr>
          <w:p>
            <w:pPr>
              <w:spacing w:after="0"/>
              <w:rPr>
                <w:sz w:val="17"/>
                <w:szCs w:val="17"/>
                <w:color w:val="auto"/>
              </w:rPr>
            </w:pPr>
          </w:p>
        </w:tc>
        <w:tc>
          <w:tcPr>
            <w:tcW w:w="416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Rules 13a</w:t>
              </w:r>
              <w:r>
                <w:rPr>
                  <w:rFonts w:ascii="MS PGothic" w:cs="MS PGothic" w:eastAsia="MS PGothic" w:hAnsi="MS PGothic"/>
                  <w:sz w:val="18"/>
                  <w:szCs w:val="18"/>
                  <w:color w:val="0000EE"/>
                  <w:w w:val="94"/>
                </w:rPr>
                <w:t>‑</w:t>
              </w:r>
              <w:r>
                <w:rPr>
                  <w:rFonts w:ascii="Arial" w:cs="Arial" w:eastAsia="Arial" w:hAnsi="Arial"/>
                  <w:sz w:val="18"/>
                  <w:szCs w:val="18"/>
                  <w:color w:val="0000EE"/>
                  <w:w w:val="94"/>
                </w:rPr>
                <w:t>14(a)  and  15d</w:t>
              </w:r>
              <w:r>
                <w:rPr>
                  <w:rFonts w:ascii="MS PGothic" w:cs="MS PGothic" w:eastAsia="MS PGothic" w:hAnsi="MS PGothic"/>
                  <w:sz w:val="18"/>
                  <w:szCs w:val="18"/>
                  <w:color w:val="0000EE"/>
                  <w:w w:val="94"/>
                </w:rPr>
                <w:t>‑</w:t>
              </w:r>
              <w:r>
                <w:rPr>
                  <w:rFonts w:ascii="Arial" w:cs="Arial" w:eastAsia="Arial" w:hAnsi="Arial"/>
                  <w:sz w:val="18"/>
                  <w:szCs w:val="18"/>
                  <w:color w:val="0000EE"/>
                  <w:w w:val="94"/>
                </w:rPr>
                <w:t>14(a)  under  the  Securities</w:t>
              </w:r>
            </w:hyperlink>
          </w:p>
        </w:tc>
        <w:tc>
          <w:tcPr>
            <w:tcW w:w="270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Exchange Act of 1934, as Adopted Pursuant to Section</w:t>
              </w:r>
            </w:hyperlink>
          </w:p>
        </w:tc>
        <w:tc>
          <w:tcPr>
            <w:tcW w:w="2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302 of the Sarbanes-Oxley Act of 2002.</w:t>
              </w:r>
            </w:hyperlink>
          </w:p>
        </w:tc>
        <w:tc>
          <w:tcPr>
            <w:tcW w:w="3960" w:type="dxa"/>
            <w:vAlign w:val="bottom"/>
            <w:gridSpan w:val="4"/>
          </w:tcPr>
          <w:p>
            <w:pPr>
              <w:spacing w:after="0"/>
              <w:rPr>
                <w:sz w:val="17"/>
                <w:szCs w:val="17"/>
                <w:color w:val="auto"/>
              </w:rPr>
            </w:pPr>
          </w:p>
        </w:tc>
        <w:tc>
          <w:tcPr>
            <w:tcW w:w="2840" w:type="dxa"/>
            <w:vAlign w:val="bottom"/>
          </w:tcPr>
          <w:p>
            <w:pPr>
              <w:spacing w:after="0"/>
              <w:rPr>
                <w:sz w:val="17"/>
                <w:szCs w:val="17"/>
                <w:color w:val="auto"/>
              </w:rPr>
            </w:pPr>
          </w:p>
        </w:tc>
      </w:tr>
      <w:tr>
        <w:trPr>
          <w:trHeight w:val="291"/>
        </w:trPr>
        <w:tc>
          <w:tcPr>
            <w:tcW w:w="1100" w:type="dxa"/>
            <w:vAlign w:val="bottom"/>
          </w:tcPr>
          <w:p>
            <w:pPr>
              <w:ind w:left="100"/>
              <w:spacing w:after="0"/>
              <w:rPr>
                <w:sz w:val="20"/>
                <w:szCs w:val="20"/>
                <w:color w:val="auto"/>
              </w:rPr>
            </w:pPr>
            <w:r>
              <w:rPr>
                <w:rFonts w:ascii="Arial" w:cs="Arial" w:eastAsia="Arial" w:hAnsi="Arial"/>
                <w:sz w:val="18"/>
                <w:szCs w:val="18"/>
                <w:color w:val="auto"/>
              </w:rPr>
              <w:t>32.1*</w:t>
            </w:r>
          </w:p>
        </w:tc>
        <w:tc>
          <w:tcPr>
            <w:tcW w:w="6860" w:type="dxa"/>
            <w:vAlign w:val="bottom"/>
            <w:gridSpan w:val="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Certification of Principal Executive Officer Pursuant to</w:t>
              </w:r>
            </w:hyperlink>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0"/>
        </w:trPr>
        <w:tc>
          <w:tcPr>
            <w:tcW w:w="1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1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18 U.S.C. Section 1350, as Adopted Pursuant to Section</w:t>
              </w:r>
            </w:hyperlink>
          </w:p>
        </w:tc>
        <w:tc>
          <w:tcPr>
            <w:tcW w:w="2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906 of the Sarbanes-Oxley Act of 2002.</w:t>
              </w:r>
            </w:hyperlink>
          </w:p>
        </w:tc>
        <w:tc>
          <w:tcPr>
            <w:tcW w:w="3960" w:type="dxa"/>
            <w:vAlign w:val="bottom"/>
            <w:gridSpan w:val="4"/>
          </w:tcPr>
          <w:p>
            <w:pPr>
              <w:spacing w:after="0"/>
              <w:rPr>
                <w:sz w:val="17"/>
                <w:szCs w:val="17"/>
                <w:color w:val="auto"/>
              </w:rPr>
            </w:pPr>
          </w:p>
        </w:tc>
        <w:tc>
          <w:tcPr>
            <w:tcW w:w="2840" w:type="dxa"/>
            <w:vAlign w:val="bottom"/>
          </w:tcPr>
          <w:p>
            <w:pPr>
              <w:spacing w:after="0"/>
              <w:rPr>
                <w:sz w:val="17"/>
                <w:szCs w:val="17"/>
                <w:color w:val="auto"/>
              </w:rPr>
            </w:pPr>
          </w:p>
        </w:tc>
      </w:tr>
      <w:tr>
        <w:trPr>
          <w:trHeight w:val="291"/>
        </w:trPr>
        <w:tc>
          <w:tcPr>
            <w:tcW w:w="1100" w:type="dxa"/>
            <w:vAlign w:val="bottom"/>
          </w:tcPr>
          <w:p>
            <w:pPr>
              <w:ind w:left="100"/>
              <w:spacing w:after="0"/>
              <w:rPr>
                <w:sz w:val="20"/>
                <w:szCs w:val="20"/>
                <w:color w:val="auto"/>
              </w:rPr>
            </w:pPr>
            <w:r>
              <w:rPr>
                <w:rFonts w:ascii="Arial" w:cs="Arial" w:eastAsia="Arial" w:hAnsi="Arial"/>
                <w:sz w:val="18"/>
                <w:szCs w:val="18"/>
                <w:color w:val="auto"/>
              </w:rPr>
              <w:t>32.2*</w:t>
            </w:r>
          </w:p>
        </w:tc>
        <w:tc>
          <w:tcPr>
            <w:tcW w:w="41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46">
              <w:r>
                <w:rPr>
                  <w:rFonts w:ascii="Arial" w:cs="Arial" w:eastAsia="Arial" w:hAnsi="Arial"/>
                  <w:sz w:val="18"/>
                  <w:szCs w:val="18"/>
                  <w:color w:val="0000EE"/>
                  <w:w w:val="98"/>
                </w:rPr>
                <w:t>Certification of Principal Financial Officer Pursuant to</w:t>
              </w:r>
            </w:hyperlink>
          </w:p>
        </w:tc>
        <w:tc>
          <w:tcPr>
            <w:tcW w:w="2700" w:type="dxa"/>
            <w:vAlign w:val="bottom"/>
            <w:gridSpan w:val="2"/>
          </w:tcPr>
          <w:p>
            <w:pPr>
              <w:spacing w:after="0"/>
              <w:rPr>
                <w:sz w:val="24"/>
                <w:szCs w:val="24"/>
                <w:color w:val="auto"/>
              </w:rPr>
            </w:pP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196"/>
        </w:trPr>
        <w:tc>
          <w:tcPr>
            <w:tcW w:w="1100" w:type="dxa"/>
            <w:vAlign w:val="bottom"/>
          </w:tcPr>
          <w:p>
            <w:pPr>
              <w:spacing w:after="0"/>
              <w:rPr>
                <w:sz w:val="17"/>
                <w:szCs w:val="17"/>
                <w:color w:val="auto"/>
              </w:rPr>
            </w:pPr>
          </w:p>
        </w:tc>
        <w:tc>
          <w:tcPr>
            <w:tcW w:w="41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18 U.S.C. Section 1350, as Adopted Pursuant to Section</w:t>
              </w:r>
            </w:hyperlink>
          </w:p>
        </w:tc>
        <w:tc>
          <w:tcPr>
            <w:tcW w:w="2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906 of the Sarbanes-Oxley Act of 2002.</w:t>
              </w:r>
            </w:hyperlink>
          </w:p>
        </w:tc>
        <w:tc>
          <w:tcPr>
            <w:tcW w:w="3980" w:type="dxa"/>
            <w:vAlign w:val="bottom"/>
            <w:gridSpan w:val="5"/>
          </w:tcPr>
          <w:p>
            <w:pPr>
              <w:spacing w:after="0"/>
              <w:rPr>
                <w:sz w:val="17"/>
                <w:szCs w:val="17"/>
                <w:color w:val="auto"/>
              </w:rPr>
            </w:pPr>
          </w:p>
        </w:tc>
        <w:tc>
          <w:tcPr>
            <w:tcW w:w="2840" w:type="dxa"/>
            <w:vAlign w:val="bottom"/>
          </w:tcPr>
          <w:p>
            <w:pPr>
              <w:spacing w:after="0"/>
              <w:rPr>
                <w:sz w:val="17"/>
                <w:szCs w:val="17"/>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686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68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68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100" w:type="dxa"/>
            <w:vAlign w:val="bottom"/>
          </w:tcPr>
          <w:p>
            <w:pPr>
              <w:spacing w:after="0"/>
              <w:rPr>
                <w:sz w:val="20"/>
                <w:szCs w:val="20"/>
                <w:color w:val="auto"/>
              </w:rPr>
            </w:pPr>
          </w:p>
        </w:tc>
        <w:tc>
          <w:tcPr>
            <w:tcW w:w="686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68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100" w:type="dxa"/>
            <w:vAlign w:val="bottom"/>
          </w:tcPr>
          <w:p>
            <w:pPr>
              <w:spacing w:after="0"/>
              <w:rPr>
                <w:sz w:val="20"/>
                <w:szCs w:val="20"/>
                <w:color w:val="auto"/>
              </w:rPr>
            </w:pPr>
          </w:p>
        </w:tc>
        <w:tc>
          <w:tcPr>
            <w:tcW w:w="686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68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Labels Linkbase</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100" w:type="dxa"/>
            <w:vAlign w:val="bottom"/>
          </w:tcPr>
          <w:p>
            <w:pPr>
              <w:spacing w:after="0"/>
              <w:rPr>
                <w:sz w:val="20"/>
                <w:szCs w:val="20"/>
                <w:color w:val="auto"/>
              </w:rPr>
            </w:pPr>
          </w:p>
        </w:tc>
        <w:tc>
          <w:tcPr>
            <w:tcW w:w="686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68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100" w:type="dxa"/>
            <w:vAlign w:val="bottom"/>
          </w:tcPr>
          <w:p>
            <w:pPr>
              <w:spacing w:after="0"/>
              <w:rPr>
                <w:sz w:val="20"/>
                <w:szCs w:val="20"/>
                <w:color w:val="auto"/>
              </w:rPr>
            </w:pPr>
          </w:p>
        </w:tc>
        <w:tc>
          <w:tcPr>
            <w:tcW w:w="686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2840" w:type="dxa"/>
            <w:vAlign w:val="bottom"/>
          </w:tcPr>
          <w:p>
            <w:pPr>
              <w:spacing w:after="0"/>
              <w:rPr>
                <w:sz w:val="20"/>
                <w:szCs w:val="20"/>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686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100" w:type="dxa"/>
            <w:vAlign w:val="bottom"/>
          </w:tcPr>
          <w:p>
            <w:pPr>
              <w:spacing w:after="0"/>
              <w:rPr>
                <w:sz w:val="20"/>
                <w:szCs w:val="20"/>
                <w:color w:val="auto"/>
              </w:rPr>
            </w:pPr>
          </w:p>
        </w:tc>
        <w:tc>
          <w:tcPr>
            <w:tcW w:w="6860" w:type="dxa"/>
            <w:vAlign w:val="bottom"/>
            <w:gridSpan w:val="6"/>
          </w:tcPr>
          <w:p>
            <w:pPr>
              <w:spacing w:after="0"/>
              <w:rPr>
                <w:sz w:val="20"/>
                <w:szCs w:val="20"/>
                <w:color w:val="auto"/>
              </w:rPr>
            </w:pPr>
            <w:r>
              <w:rPr>
                <w:rFonts w:ascii="Arial" w:cs="Arial" w:eastAsia="Arial" w:hAnsi="Arial"/>
                <w:sz w:val="18"/>
                <w:szCs w:val="18"/>
                <w:color w:val="auto"/>
              </w:rPr>
              <w:t>XBRL and contained in Exhibit 101).</w:t>
            </w:r>
          </w:p>
        </w:tc>
        <w:tc>
          <w:tcPr>
            <w:tcW w:w="2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580" w:right="60" w:hanging="572"/>
        <w:spacing w:after="0" w:line="26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IGNATURES</w:t>
      </w:r>
    </w:p>
    <w:p>
      <w:pPr>
        <w:spacing w:after="0" w:line="22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200"/>
              <w:spacing w:after="0"/>
              <w:rPr>
                <w:sz w:val="20"/>
                <w:szCs w:val="20"/>
                <w:color w:val="auto"/>
              </w:rPr>
            </w:pPr>
            <w:r>
              <w:rPr>
                <w:rFonts w:ascii="Arial" w:cs="Arial" w:eastAsia="Arial" w:hAnsi="Arial"/>
                <w:sz w:val="18"/>
                <w:szCs w:val="18"/>
                <w:color w:val="auto"/>
              </w:rPr>
              <w:t>VERRA MOBILITY CORPORATION</w:t>
            </w:r>
          </w:p>
        </w:tc>
      </w:tr>
      <w:tr>
        <w:trPr>
          <w:trHeight w:val="446"/>
        </w:trPr>
        <w:tc>
          <w:tcPr>
            <w:tcW w:w="3540" w:type="dxa"/>
            <w:vAlign w:val="bottom"/>
          </w:tcPr>
          <w:p>
            <w:pPr>
              <w:spacing w:after="0"/>
              <w:rPr>
                <w:sz w:val="20"/>
                <w:szCs w:val="20"/>
                <w:color w:val="auto"/>
              </w:rPr>
            </w:pPr>
            <w:r>
              <w:rPr>
                <w:rFonts w:ascii="Arial" w:cs="Arial" w:eastAsia="Arial" w:hAnsi="Arial"/>
                <w:sz w:val="18"/>
                <w:szCs w:val="18"/>
                <w:color w:val="auto"/>
              </w:rPr>
              <w:t>Date: March 01, 2021</w:t>
            </w:r>
          </w:p>
        </w:tc>
        <w:tc>
          <w:tcPr>
            <w:tcW w:w="7700" w:type="dxa"/>
            <w:vAlign w:val="bottom"/>
            <w:gridSpan w:val="2"/>
          </w:tcPr>
          <w:p>
            <w:pPr>
              <w:ind w:left="2200"/>
              <w:spacing w:after="0"/>
              <w:rPr>
                <w:sz w:val="20"/>
                <w:szCs w:val="20"/>
                <w:color w:val="auto"/>
              </w:rPr>
            </w:pPr>
            <w:r>
              <w:rPr>
                <w:rFonts w:ascii="Arial" w:cs="Arial" w:eastAsia="Arial" w:hAnsi="Arial"/>
                <w:sz w:val="18"/>
                <w:szCs w:val="18"/>
                <w:color w:val="auto"/>
              </w:rPr>
              <w:t>By:   /s/ David Roberts</w:t>
            </w:r>
          </w:p>
        </w:tc>
      </w:tr>
      <w:tr>
        <w:trPr>
          <w:trHeight w:val="195"/>
        </w:trPr>
        <w:tc>
          <w:tcPr>
            <w:tcW w:w="3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540" w:type="dxa"/>
            <w:vAlign w:val="bottom"/>
          </w:tcPr>
          <w:p>
            <w:pPr>
              <w:spacing w:after="0"/>
              <w:rPr>
                <w:sz w:val="24"/>
                <w:szCs w:val="24"/>
                <w:color w:val="auto"/>
              </w:rPr>
            </w:pP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117</w:t>
            </w:r>
          </w:p>
        </w:tc>
        <w:tc>
          <w:tcPr>
            <w:tcW w:w="50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David M. Roberts and Patricia D. Chiodo, and each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or by virtue hereof.</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140" w:type="dxa"/>
            <w:vAlign w:val="bottom"/>
          </w:tcPr>
          <w:p>
            <w:pPr>
              <w:spacing w:after="0"/>
              <w:rPr>
                <w:sz w:val="18"/>
                <w:szCs w:val="18"/>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Capacity in Which Signed</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Roberts</w:t>
            </w:r>
          </w:p>
        </w:tc>
        <w:tc>
          <w:tcPr>
            <w:tcW w:w="140" w:type="dxa"/>
            <w:vAlign w:val="bottom"/>
          </w:tcPr>
          <w:p>
            <w:pPr>
              <w:spacing w:after="0"/>
              <w:rPr>
                <w:sz w:val="24"/>
                <w:szCs w:val="24"/>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David Roberts</w:t>
            </w:r>
          </w:p>
        </w:tc>
        <w:tc>
          <w:tcPr>
            <w:tcW w:w="140" w:type="dxa"/>
            <w:vAlign w:val="bottom"/>
          </w:tcPr>
          <w:p>
            <w:pPr>
              <w:spacing w:after="0"/>
              <w:rPr>
                <w:sz w:val="19"/>
                <w:szCs w:val="19"/>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(Principal Executive Officer)</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/s/ Patricia D. Chiodo</w:t>
            </w:r>
          </w:p>
        </w:tc>
        <w:tc>
          <w:tcPr>
            <w:tcW w:w="14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3"/>
              </w:rPr>
              <w:t>(Principal Financial and Accounting Officer)</w:t>
            </w: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Patricia D. Chiodo</w:t>
            </w:r>
          </w:p>
        </w:tc>
        <w:tc>
          <w:tcPr>
            <w:tcW w:w="140" w:type="dxa"/>
            <w:vAlign w:val="bottom"/>
          </w:tcPr>
          <w:p>
            <w:pPr>
              <w:spacing w:after="0"/>
              <w:rPr>
                <w:sz w:val="19"/>
                <w:szCs w:val="19"/>
                <w:color w:val="auto"/>
              </w:rPr>
            </w:pPr>
          </w:p>
        </w:tc>
        <w:tc>
          <w:tcPr>
            <w:tcW w:w="516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/s/ Patrick Byrne</w:t>
            </w:r>
          </w:p>
        </w:tc>
        <w:tc>
          <w:tcPr>
            <w:tcW w:w="14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Patrick Byrne</w:t>
            </w:r>
          </w:p>
        </w:tc>
        <w:tc>
          <w:tcPr>
            <w:tcW w:w="1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/s/ Douglas Davis</w:t>
            </w:r>
          </w:p>
        </w:tc>
        <w:tc>
          <w:tcPr>
            <w:tcW w:w="14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Douglas Davis</w:t>
            </w:r>
          </w:p>
        </w:tc>
        <w:tc>
          <w:tcPr>
            <w:tcW w:w="1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/s/ Bryan Kelln</w:t>
            </w:r>
          </w:p>
        </w:tc>
        <w:tc>
          <w:tcPr>
            <w:tcW w:w="14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Bryan Kelln</w:t>
            </w:r>
          </w:p>
        </w:tc>
        <w:tc>
          <w:tcPr>
            <w:tcW w:w="1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/s/ Jacob Kotzubei</w:t>
            </w:r>
          </w:p>
        </w:tc>
        <w:tc>
          <w:tcPr>
            <w:tcW w:w="14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Jacob Kotzubei</w:t>
            </w:r>
          </w:p>
        </w:tc>
        <w:tc>
          <w:tcPr>
            <w:tcW w:w="1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/s/ John Rexford</w:t>
            </w:r>
          </w:p>
        </w:tc>
        <w:tc>
          <w:tcPr>
            <w:tcW w:w="14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John Rexford</w:t>
            </w:r>
          </w:p>
        </w:tc>
        <w:tc>
          <w:tcPr>
            <w:tcW w:w="1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/s/ Cynthia Russo</w:t>
            </w:r>
          </w:p>
        </w:tc>
        <w:tc>
          <w:tcPr>
            <w:tcW w:w="14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01, 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Cynthia Russo</w:t>
            </w:r>
          </w:p>
        </w:tc>
        <w:tc>
          <w:tcPr>
            <w:tcW w:w="1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4"/>
        </w:trPr>
        <w:tc>
          <w:tcPr>
            <w:tcW w:w="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00" w:type="dxa"/>
            <w:vAlign w:val="bottom"/>
            <w:gridSpan w:val="2"/>
          </w:tcPr>
          <w:p>
            <w:pPr>
              <w:jc w:val="right"/>
              <w:ind w:right="295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Valuation and Qualifying Accounts for the Years Ended December 31, 2020, 2019 and 2018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10"/>
              <w:spacing w:after="0"/>
              <w:rPr>
                <w:sz w:val="20"/>
                <w:szCs w:val="20"/>
                <w:color w:val="auto"/>
              </w:rPr>
            </w:pPr>
            <w:r>
              <w:rPr>
                <w:rFonts w:ascii="Arial" w:cs="Arial" w:eastAsia="Arial" w:hAnsi="Arial"/>
                <w:sz w:val="13"/>
                <w:szCs w:val="13"/>
                <w:b w:val="1"/>
                <w:bCs w:val="1"/>
                <w:color w:val="auto"/>
                <w:w w:val="97"/>
              </w:rPr>
              <w:t>Beginning</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Charged/Credited to</w:t>
            </w:r>
          </w:p>
        </w:tc>
        <w:tc>
          <w:tcPr>
            <w:tcW w:w="120" w:type="dxa"/>
            <w:vAlign w:val="bottom"/>
          </w:tcPr>
          <w:p>
            <w:pPr>
              <w:spacing w:after="0"/>
              <w:rPr>
                <w:sz w:val="13"/>
                <w:szCs w:val="13"/>
                <w:color w:val="auto"/>
              </w:rPr>
            </w:pPr>
          </w:p>
        </w:tc>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Charged to Other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6"/>
              </w:rPr>
              <w:t>Charges Utilized/</w:t>
            </w:r>
          </w:p>
        </w:tc>
        <w:tc>
          <w:tcPr>
            <w:tcW w:w="24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b w:val="1"/>
                <w:bCs w:val="1"/>
                <w:color w:val="auto"/>
              </w:rPr>
              <w:t>Ending</w:t>
            </w:r>
          </w:p>
        </w:tc>
      </w:tr>
      <w:tr>
        <w:trPr>
          <w:trHeight w:val="140"/>
        </w:trPr>
        <w:tc>
          <w:tcPr>
            <w:tcW w:w="2660" w:type="dxa"/>
            <w:vAlign w:val="bottom"/>
            <w:gridSpan w:val="2"/>
          </w:tcPr>
          <w:p>
            <w:pPr>
              <w:spacing w:after="0" w:line="140"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in thousands)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70"/>
              <w:spacing w:after="0" w:line="140" w:lineRule="exact"/>
              <w:rPr>
                <w:sz w:val="20"/>
                <w:szCs w:val="20"/>
                <w:color w:val="auto"/>
              </w:rPr>
            </w:pPr>
            <w:r>
              <w:rPr>
                <w:rFonts w:ascii="Arial" w:cs="Arial" w:eastAsia="Arial" w:hAnsi="Arial"/>
                <w:sz w:val="13"/>
                <w:szCs w:val="13"/>
                <w:b w:val="1"/>
                <w:bCs w:val="1"/>
                <w:color w:val="auto"/>
              </w:rPr>
              <w:t>Balance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460"/>
              <w:spacing w:after="0" w:line="140" w:lineRule="exact"/>
              <w:rPr>
                <w:sz w:val="20"/>
                <w:szCs w:val="20"/>
                <w:color w:val="auto"/>
              </w:rPr>
            </w:pPr>
            <w:r>
              <w:rPr>
                <w:rFonts w:ascii="Arial" w:cs="Arial" w:eastAsia="Arial" w:hAnsi="Arial"/>
                <w:sz w:val="13"/>
                <w:szCs w:val="13"/>
                <w:b w:val="1"/>
                <w:bCs w:val="1"/>
                <w:color w:val="auto"/>
                <w:w w:val="86"/>
              </w:rPr>
              <w:t>Net (Loss) Income</w:t>
            </w:r>
          </w:p>
        </w:tc>
        <w:tc>
          <w:tcPr>
            <w:tcW w:w="120" w:type="dxa"/>
            <w:vAlign w:val="bottom"/>
          </w:tcPr>
          <w:p>
            <w:pPr>
              <w:spacing w:after="0"/>
              <w:rPr>
                <w:sz w:val="12"/>
                <w:szCs w:val="12"/>
                <w:color w:val="auto"/>
              </w:rPr>
            </w:pPr>
          </w:p>
        </w:tc>
        <w:tc>
          <w:tcPr>
            <w:tcW w:w="1200" w:type="dxa"/>
            <w:vAlign w:val="bottom"/>
          </w:tcPr>
          <w:p>
            <w:pPr>
              <w:ind w:left="300"/>
              <w:spacing w:after="0" w:line="140" w:lineRule="exact"/>
              <w:rPr>
                <w:sz w:val="20"/>
                <w:szCs w:val="20"/>
                <w:color w:val="auto"/>
              </w:rPr>
            </w:pPr>
            <w:r>
              <w:rPr>
                <w:rFonts w:ascii="Arial" w:cs="Arial" w:eastAsia="Arial" w:hAnsi="Arial"/>
                <w:sz w:val="13"/>
                <w:szCs w:val="13"/>
                <w:b w:val="1"/>
                <w:bCs w:val="1"/>
                <w:color w:val="auto"/>
              </w:rPr>
              <w:t>Account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ind w:right="780"/>
              <w:spacing w:after="0" w:line="140" w:lineRule="exact"/>
              <w:rPr>
                <w:sz w:val="20"/>
                <w:szCs w:val="20"/>
                <w:color w:val="auto"/>
              </w:rPr>
            </w:pPr>
            <w:r>
              <w:rPr>
                <w:rFonts w:ascii="Arial" w:cs="Arial" w:eastAsia="Arial" w:hAnsi="Arial"/>
                <w:sz w:val="13"/>
                <w:szCs w:val="13"/>
                <w:b w:val="1"/>
                <w:bCs w:val="1"/>
                <w:color w:val="auto"/>
              </w:rPr>
              <w:t>Write-offs</w:t>
            </w:r>
          </w:p>
        </w:tc>
        <w:tc>
          <w:tcPr>
            <w:tcW w:w="240" w:type="dxa"/>
            <w:vAlign w:val="bottom"/>
          </w:tcPr>
          <w:p>
            <w:pPr>
              <w:spacing w:after="0"/>
              <w:rPr>
                <w:sz w:val="12"/>
                <w:szCs w:val="12"/>
                <w:color w:val="auto"/>
              </w:rPr>
            </w:pPr>
          </w:p>
        </w:tc>
        <w:tc>
          <w:tcPr>
            <w:tcW w:w="1140" w:type="dxa"/>
            <w:vAlign w:val="bottom"/>
            <w:gridSpan w:val="2"/>
          </w:tcPr>
          <w:p>
            <w:pPr>
              <w:ind w:left="180"/>
              <w:spacing w:after="0" w:line="140" w:lineRule="exact"/>
              <w:rPr>
                <w:sz w:val="20"/>
                <w:szCs w:val="20"/>
                <w:color w:val="auto"/>
              </w:rPr>
            </w:pPr>
            <w:r>
              <w:rPr>
                <w:rFonts w:ascii="Arial" w:cs="Arial" w:eastAsia="Arial" w:hAnsi="Arial"/>
                <w:sz w:val="13"/>
                <w:szCs w:val="13"/>
                <w:b w:val="1"/>
                <w:bCs w:val="1"/>
                <w:color w:val="auto"/>
              </w:rPr>
              <w:t>Balance</w:t>
            </w:r>
          </w:p>
        </w:tc>
      </w:tr>
      <w:tr>
        <w:trPr>
          <w:trHeight w:val="20"/>
        </w:trPr>
        <w:tc>
          <w:tcPr>
            <w:tcW w:w="860" w:type="dxa"/>
            <w:vAlign w:val="bottom"/>
            <w:tcBorders>
              <w:bottom w:val="single" w:sz="8" w:color="CFF0FC"/>
            </w:tcBorders>
            <w:shd w:val="clear" w:color="auto" w:fill="000000"/>
          </w:tcPr>
          <w:p>
            <w:pPr>
              <w:spacing w:after="0" w:line="20" w:lineRule="exact"/>
              <w:rPr>
                <w:sz w:val="1"/>
                <w:szCs w:val="1"/>
                <w:color w:val="auto"/>
              </w:rPr>
            </w:pPr>
          </w:p>
        </w:tc>
        <w:tc>
          <w:tcPr>
            <w:tcW w:w="18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49"/>
        </w:trPr>
        <w:tc>
          <w:tcPr>
            <w:tcW w:w="266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Allowance for Credit Loss</w:t>
            </w: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2660" w:type="dxa"/>
            <w:vAlign w:val="bottom"/>
            <w:gridSpan w:val="2"/>
          </w:tcPr>
          <w:p>
            <w:pPr>
              <w:ind w:left="140"/>
              <w:spacing w:after="0"/>
              <w:rPr>
                <w:sz w:val="20"/>
                <w:szCs w:val="20"/>
                <w:color w:val="auto"/>
              </w:rPr>
            </w:pPr>
            <w:r>
              <w:rPr>
                <w:rFonts w:ascii="Arial" w:cs="Arial" w:eastAsia="Arial" w:hAnsi="Arial"/>
                <w:sz w:val="14"/>
                <w:szCs w:val="14"/>
                <w:color w:val="auto"/>
              </w:rPr>
              <w:t xml:space="preserve">Year Ended December 31, 2020 </w:t>
            </w:r>
            <w:r>
              <w:rPr>
                <w:rFonts w:ascii="Arial" w:cs="Arial" w:eastAsia="Arial" w:hAnsi="Arial"/>
                <w:sz w:val="12"/>
                <w:szCs w:val="12"/>
                <w:color w:val="auto"/>
              </w:rPr>
              <w:t>(1)</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8,456</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14,387</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(11,376)</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11,467</w:t>
            </w:r>
          </w:p>
        </w:tc>
        <w:tc>
          <w:tcPr>
            <w:tcW w:w="100" w:type="dxa"/>
            <w:vAlign w:val="bottom"/>
          </w:tcPr>
          <w:p>
            <w:pPr>
              <w:spacing w:after="0"/>
              <w:rPr>
                <w:sz w:val="14"/>
                <w:szCs w:val="14"/>
                <w:color w:val="auto"/>
              </w:rPr>
            </w:pPr>
          </w:p>
        </w:tc>
      </w:tr>
      <w:tr>
        <w:trPr>
          <w:trHeight w:val="162"/>
        </w:trPr>
        <w:tc>
          <w:tcPr>
            <w:tcW w:w="26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Year Ended December 31, 2019</w:t>
            </w: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6,221</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8,100</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(6,684)</w:t>
            </w: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7,637</w:t>
            </w:r>
          </w:p>
        </w:tc>
        <w:tc>
          <w:tcPr>
            <w:tcW w:w="100" w:type="dxa"/>
            <w:vAlign w:val="bottom"/>
            <w:shd w:val="clear" w:color="auto" w:fill="CFF0FC"/>
          </w:tcPr>
          <w:p>
            <w:pPr>
              <w:spacing w:after="0"/>
              <w:rPr>
                <w:sz w:val="14"/>
                <w:szCs w:val="14"/>
                <w:color w:val="auto"/>
              </w:rPr>
            </w:pPr>
          </w:p>
        </w:tc>
      </w:tr>
      <w:tr>
        <w:trPr>
          <w:trHeight w:val="182"/>
        </w:trPr>
        <w:tc>
          <w:tcPr>
            <w:tcW w:w="2660" w:type="dxa"/>
            <w:vAlign w:val="bottom"/>
            <w:gridSpan w:val="2"/>
          </w:tcPr>
          <w:p>
            <w:pPr>
              <w:ind w:left="140"/>
              <w:spacing w:after="0"/>
              <w:rPr>
                <w:sz w:val="20"/>
                <w:szCs w:val="20"/>
                <w:color w:val="auto"/>
              </w:rPr>
            </w:pPr>
            <w:r>
              <w:rPr>
                <w:rFonts w:ascii="Arial" w:cs="Arial" w:eastAsia="Arial" w:hAnsi="Arial"/>
                <w:sz w:val="14"/>
                <w:szCs w:val="14"/>
                <w:color w:val="auto"/>
              </w:rPr>
              <w:t>Year Ended December 31, 2018</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5,497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6,025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(5,301)</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6,221</w:t>
            </w:r>
          </w:p>
        </w:tc>
        <w:tc>
          <w:tcPr>
            <w:tcW w:w="100" w:type="dxa"/>
            <w:vAlign w:val="bottom"/>
          </w:tcPr>
          <w:p>
            <w:pPr>
              <w:spacing w:after="0"/>
              <w:rPr>
                <w:sz w:val="15"/>
                <w:szCs w:val="15"/>
                <w:color w:val="auto"/>
              </w:rPr>
            </w:pPr>
          </w:p>
        </w:tc>
      </w:tr>
      <w:tr>
        <w:trPr>
          <w:trHeight w:val="142"/>
        </w:trPr>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6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Tax Valuation Allowance</w:t>
            </w: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660" w:type="dxa"/>
            <w:vAlign w:val="bottom"/>
            <w:gridSpan w:val="2"/>
          </w:tcPr>
          <w:p>
            <w:pPr>
              <w:ind w:left="140"/>
              <w:spacing w:after="0"/>
              <w:rPr>
                <w:sz w:val="20"/>
                <w:szCs w:val="20"/>
                <w:color w:val="auto"/>
              </w:rPr>
            </w:pPr>
            <w:r>
              <w:rPr>
                <w:rFonts w:ascii="Arial" w:cs="Arial" w:eastAsia="Arial" w:hAnsi="Arial"/>
                <w:sz w:val="14"/>
                <w:szCs w:val="14"/>
                <w:color w:val="auto"/>
              </w:rPr>
              <w:t>Year Ended December 31, 2020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2,564</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858</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3,422</w:t>
            </w:r>
          </w:p>
        </w:tc>
        <w:tc>
          <w:tcPr>
            <w:tcW w:w="100" w:type="dxa"/>
            <w:vAlign w:val="bottom"/>
          </w:tcPr>
          <w:p>
            <w:pPr>
              <w:spacing w:after="0"/>
              <w:rPr>
                <w:sz w:val="14"/>
                <w:szCs w:val="14"/>
                <w:color w:val="auto"/>
              </w:rPr>
            </w:pPr>
          </w:p>
        </w:tc>
      </w:tr>
      <w:tr>
        <w:trPr>
          <w:trHeight w:val="162"/>
        </w:trPr>
        <w:tc>
          <w:tcPr>
            <w:tcW w:w="26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Year Ended December 31, 2019</w:t>
            </w: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2,254</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FF0FC"/>
          </w:tcPr>
          <w:p>
            <w:pPr>
              <w:spacing w:after="0"/>
              <w:rPr>
                <w:sz w:val="14"/>
                <w:szCs w:val="14"/>
                <w:color w:val="auto"/>
              </w:rPr>
            </w:pPr>
          </w:p>
        </w:tc>
      </w:tr>
      <w:tr>
        <w:trPr>
          <w:trHeight w:val="182"/>
        </w:trPr>
        <w:tc>
          <w:tcPr>
            <w:tcW w:w="2660" w:type="dxa"/>
            <w:vAlign w:val="bottom"/>
            <w:gridSpan w:val="2"/>
          </w:tcPr>
          <w:p>
            <w:pPr>
              <w:ind w:left="140"/>
              <w:spacing w:after="0"/>
              <w:rPr>
                <w:sz w:val="20"/>
                <w:szCs w:val="20"/>
                <w:color w:val="auto"/>
              </w:rPr>
            </w:pPr>
            <w:r>
              <w:rPr>
                <w:rFonts w:ascii="Arial" w:cs="Arial" w:eastAsia="Arial" w:hAnsi="Arial"/>
                <w:sz w:val="14"/>
                <w:szCs w:val="14"/>
                <w:color w:val="auto"/>
              </w:rPr>
              <w:t>Year Ended December 31, 2018</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2,149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5"/>
                <w:szCs w:val="15"/>
                <w:color w:val="auto"/>
              </w:rPr>
            </w:pPr>
          </w:p>
        </w:tc>
      </w:tr>
    </w:tbl>
    <w:p>
      <w:pPr>
        <w:spacing w:after="0" w:line="177" w:lineRule="exact"/>
        <w:rPr>
          <w:sz w:val="20"/>
          <w:szCs w:val="20"/>
          <w:color w:val="auto"/>
        </w:rPr>
      </w:pPr>
    </w:p>
    <w:p>
      <w:pPr>
        <w:ind w:left="880" w:hanging="440"/>
        <w:spacing w:after="0"/>
        <w:tabs>
          <w:tab w:leader="none" w:pos="8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includes a $0.8 million increase to the beginning balance of allowance for credit loss as a result of adopting the credit loss standard.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553"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12" w:lineRule="exact"/>
        <w:rPr>
          <w:sz w:val="20"/>
          <w:szCs w:val="20"/>
          <w:color w:val="auto"/>
        </w:rPr>
      </w:pPr>
    </w:p>
    <w:p>
      <w:pPr>
        <w:jc w:val="both"/>
        <w:ind w:firstLine="589"/>
        <w:spacing w:after="0" w:line="282" w:lineRule="auto"/>
        <w:rPr>
          <w:sz w:val="20"/>
          <w:szCs w:val="20"/>
          <w:color w:val="auto"/>
        </w:rPr>
      </w:pPr>
      <w:r>
        <w:rPr>
          <w:rFonts w:ascii="Arial" w:cs="Arial" w:eastAsia="Arial" w:hAnsi="Arial"/>
          <w:sz w:val="19"/>
          <w:szCs w:val="19"/>
          <w:color w:val="auto"/>
        </w:rPr>
        <w:t>THIS EXECUTIVE EMPLOYMENT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by and between VM Consolidated, Inc., a Delaware corporation having its principal offices in Mesa, Arizona and a wholly owned subsidiary of Verra Mobility Corporation (together with Verra Mobility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Steven Lalla (the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This Agreement shall become effective on the date of the last signatory hereto, provided, however, that the Agreement is fully executed by February 2, 2021. If the Agreement is not fully executed by February 2, 2021, it shall become null and void.</w:t>
      </w:r>
    </w:p>
    <w:p>
      <w:pPr>
        <w:spacing w:after="0" w:line="147" w:lineRule="exact"/>
        <w:rPr>
          <w:sz w:val="20"/>
          <w:szCs w:val="20"/>
          <w:color w:val="auto"/>
        </w:rPr>
      </w:pPr>
    </w:p>
    <w:p>
      <w:pPr>
        <w:jc w:val="both"/>
        <w:ind w:right="20" w:firstLine="589"/>
        <w:spacing w:after="0" w:line="328" w:lineRule="auto"/>
        <w:rPr>
          <w:sz w:val="20"/>
          <w:szCs w:val="20"/>
          <w:color w:val="auto"/>
        </w:rPr>
      </w:pPr>
      <w:r>
        <w:rPr>
          <w:rFonts w:ascii="Arial" w:cs="Arial" w:eastAsia="Arial" w:hAnsi="Arial"/>
          <w:sz w:val="19"/>
          <w:szCs w:val="19"/>
          <w:color w:val="auto"/>
        </w:rPr>
        <w:t>WHEREAS, the Company desires to employ Executive as its Executive Vice President, Commercial Services, and Executive desires to serve in such capacity on behalf of the Company, upon the terms and conditions hereinafter set forth; and</w:t>
      </w:r>
    </w:p>
    <w:p>
      <w:pPr>
        <w:spacing w:after="0" w:line="105" w:lineRule="exact"/>
        <w:rPr>
          <w:sz w:val="20"/>
          <w:szCs w:val="20"/>
          <w:color w:val="auto"/>
        </w:rPr>
      </w:pPr>
    </w:p>
    <w:p>
      <w:pPr>
        <w:jc w:val="both"/>
        <w:ind w:firstLine="589"/>
        <w:spacing w:after="0"/>
        <w:rPr>
          <w:sz w:val="20"/>
          <w:szCs w:val="20"/>
          <w:color w:val="auto"/>
        </w:rPr>
      </w:pPr>
      <w:r>
        <w:rPr>
          <w:rFonts w:ascii="Arial" w:cs="Arial" w:eastAsia="Arial" w:hAnsi="Arial"/>
          <w:sz w:val="22"/>
          <w:szCs w:val="22"/>
          <w:color w:val="auto"/>
        </w:rPr>
        <w:t>WHEREAS, Executive acknowledges that he has had an opportunity to consider this Agreement and to consult with an independent advisor of his choosing with regard to the terms of this Agreement and enters into this Agreement voluntarily and with a full understanding of its terms.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27" w:lineRule="exact"/>
        <w:rPr>
          <w:sz w:val="20"/>
          <w:szCs w:val="20"/>
          <w:color w:val="auto"/>
        </w:rPr>
      </w:pPr>
    </w:p>
    <w:p>
      <w:pPr>
        <w:ind w:left="1680" w:hanging="808"/>
        <w:spacing w:after="0"/>
        <w:tabs>
          <w:tab w:leader="none" w:pos="16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Employment Period</w:t>
      </w:r>
      <w:r>
        <w:rPr>
          <w:rFonts w:ascii="Arial" w:cs="Arial" w:eastAsia="Arial" w:hAnsi="Arial"/>
          <w:sz w:val="19"/>
          <w:szCs w:val="19"/>
          <w:color w:val="auto"/>
        </w:rPr>
        <w:t>. Executive’s employment hereunder will commence on or before February 15, 2021 (the “</w:t>
      </w:r>
      <w:r>
        <w:rPr>
          <w:rFonts w:ascii="Arial" w:cs="Arial" w:eastAsia="Arial" w:hAnsi="Arial"/>
          <w:sz w:val="19"/>
          <w:szCs w:val="19"/>
          <w:b w:val="1"/>
          <w:bCs w:val="1"/>
          <w:i w:val="1"/>
          <w:iCs w:val="1"/>
          <w:color w:val="auto"/>
        </w:rPr>
        <w:t>Start Date</w:t>
      </w:r>
      <w:r>
        <w:rPr>
          <w:rFonts w:ascii="Arial" w:cs="Arial" w:eastAsia="Arial" w:hAnsi="Arial"/>
          <w:sz w:val="19"/>
          <w:szCs w:val="19"/>
          <w:color w:val="auto"/>
        </w:rPr>
        <w:t>”). Executive shall be employed by the Company (or a Company subsidiary or affiliate) on an “at will” basis, meaning either the Company or Executive may terminate Executive’s employment at any time, with or without cause or advance notice (such period of employment under this Agreement, the “</w:t>
      </w:r>
      <w:r>
        <w:rPr>
          <w:rFonts w:ascii="Arial" w:cs="Arial" w:eastAsia="Arial" w:hAnsi="Arial"/>
          <w:sz w:val="19"/>
          <w:szCs w:val="19"/>
          <w:b w:val="1"/>
          <w:bCs w:val="1"/>
          <w:i w:val="1"/>
          <w:iCs w:val="1"/>
          <w:color w:val="auto"/>
        </w:rPr>
        <w:t>Employment Period</w:t>
      </w:r>
      <w:r>
        <w:rPr>
          <w:rFonts w:ascii="Arial" w:cs="Arial" w:eastAsia="Arial" w:hAnsi="Arial"/>
          <w:sz w:val="19"/>
          <w:szCs w:val="19"/>
          <w:color w:val="auto"/>
        </w:rPr>
        <w: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18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Public Announcement</w:t>
      </w:r>
      <w:r>
        <w:rPr>
          <w:rFonts w:ascii="Arial" w:cs="Arial" w:eastAsia="Arial" w:hAnsi="Arial"/>
          <w:sz w:val="22"/>
          <w:szCs w:val="22"/>
          <w:color w:val="auto"/>
        </w:rPr>
        <w:t>. Prior to any public announcement made by the Company, Executive shall not make any public release, statement or communication concerning Executive’s acceptance of employment with the Company without the prior written approval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or its designee.</w:t>
      </w:r>
    </w:p>
    <w:p>
      <w:pPr>
        <w:spacing w:after="0" w:line="213"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Duties and Responsibilities</w:t>
      </w:r>
      <w:r>
        <w:rPr>
          <w:rFonts w:ascii="Arial" w:cs="Arial" w:eastAsia="Arial" w:hAnsi="Arial"/>
          <w:sz w:val="22"/>
          <w:szCs w:val="22"/>
          <w:color w:val="auto"/>
        </w:rPr>
        <w:t>. Commencing on the Start Date, Executive shall serve as the Executive Vice President, Commercial Services of the Company, reporting to the Company’s Chief Executive Officer, and shall perform all duties and accept all responsibilities</w:t>
      </w:r>
    </w:p>
    <w:p>
      <w:pPr>
        <w:spacing w:after="0" w:line="186"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both"/>
        <w:ind w:right="20"/>
        <w:spacing w:after="0" w:line="250" w:lineRule="auto"/>
        <w:rPr>
          <w:sz w:val="20"/>
          <w:szCs w:val="20"/>
          <w:color w:val="auto"/>
        </w:rPr>
      </w:pPr>
      <w:r>
        <w:rPr>
          <w:rFonts w:ascii="Arial" w:cs="Arial" w:eastAsia="Arial" w:hAnsi="Arial"/>
          <w:sz w:val="22"/>
          <w:szCs w:val="22"/>
          <w:color w:val="auto"/>
        </w:rPr>
        <w:t>incident to such position and such other duties as may be reasonably assigned to Executive by the Company’s Chief Executive Officer consistent with such position.</w:t>
      </w:r>
    </w:p>
    <w:p>
      <w:pPr>
        <w:spacing w:after="0" w:line="20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Extent of Services</w:t>
      </w:r>
      <w:r>
        <w:rPr>
          <w:rFonts w:ascii="Arial" w:cs="Arial" w:eastAsia="Arial" w:hAnsi="Arial"/>
          <w:sz w:val="19"/>
          <w:szCs w:val="19"/>
          <w:color w:val="auto"/>
        </w:rPr>
        <w:t>. Executive shall use his best efforts to carry out Executive’s duties and responsibilities under Section 1.3 hereof and, consistent with the other provisions of this Agreement, shall devote substantially all of Executive’s business time, attention and energy thereto. In the performance of his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18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Principal Location of Services</w:t>
      </w:r>
      <w:r>
        <w:rPr>
          <w:rFonts w:ascii="Arial" w:cs="Arial" w:eastAsia="Arial" w:hAnsi="Arial"/>
          <w:sz w:val="21"/>
          <w:szCs w:val="21"/>
          <w:color w:val="auto"/>
        </w:rPr>
        <w:t>. Executive shall perform his duties hereunder principally out of the Company’s corporate headquarters (presently located in Mesa, Arizona) and shall undertake travel within or outside of the United States as is necessary or advisable for the efficient operations of the Company and the performance of Executive’s duties hereunder. For the first 12 months of Executive’s employment (the “</w:t>
      </w:r>
      <w:r>
        <w:rPr>
          <w:rFonts w:ascii="Arial" w:cs="Arial" w:eastAsia="Arial" w:hAnsi="Arial"/>
          <w:sz w:val="21"/>
          <w:szCs w:val="21"/>
          <w:b w:val="1"/>
          <w:bCs w:val="1"/>
          <w:i w:val="1"/>
          <w:iCs w:val="1"/>
          <w:color w:val="auto"/>
        </w:rPr>
        <w:t>Commuting Period</w:t>
      </w:r>
      <w:r>
        <w:rPr>
          <w:rFonts w:ascii="Arial" w:cs="Arial" w:eastAsia="Arial" w:hAnsi="Arial"/>
          <w:sz w:val="21"/>
          <w:szCs w:val="21"/>
          <w:color w:val="auto"/>
        </w:rPr>
        <w:t>”), Executive shall be permitted to telecommute from his current home location, with the expectation that Executive relocate to the greater Phoenix metropolitan area by the end of the Commuting Period (such relocation benefits to be governed by Section 2.8). During the Commuting Period, Executive shall be reimbursed for his travel expenses when required to attend meetings in person at the Mesa Headquarters in accordance with the Company’s Travel &amp; Expense Policy.</w:t>
      </w:r>
    </w:p>
    <w:p>
      <w:pPr>
        <w:spacing w:after="0" w:line="20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Background Check and Drug Screen</w:t>
      </w:r>
      <w:r>
        <w:rPr>
          <w:rFonts w:ascii="Arial" w:cs="Arial" w:eastAsia="Arial" w:hAnsi="Arial"/>
          <w:sz w:val="22"/>
          <w:szCs w:val="22"/>
          <w:color w:val="auto"/>
        </w:rPr>
        <w:t>. Executive’s employment is contingent upon verification of Executive’s eligibility to work in the United States and the Company obtaining satisfactory results on a background investigation, reference check, and drug screening of Executive (“</w:t>
      </w:r>
      <w:r>
        <w:rPr>
          <w:rFonts w:ascii="Arial" w:cs="Arial" w:eastAsia="Arial" w:hAnsi="Arial"/>
          <w:sz w:val="22"/>
          <w:szCs w:val="22"/>
          <w:b w:val="1"/>
          <w:bCs w:val="1"/>
          <w:i w:val="1"/>
          <w:iCs w:val="1"/>
          <w:color w:val="auto"/>
        </w:rPr>
        <w:t>Background Check</w:t>
      </w:r>
      <w:r>
        <w:rPr>
          <w:rFonts w:ascii="Arial" w:cs="Arial" w:eastAsia="Arial" w:hAnsi="Arial"/>
          <w:sz w:val="22"/>
          <w:szCs w:val="22"/>
          <w:color w:val="auto"/>
        </w:rPr>
        <w:t>”), which will be conducted at the Company’s expense and in compliance with applicable law. If the results of Executive’s Background Check do not meet the Company’s satisfaction, the Agreement shall be null and void (even if executed by the Parties).</w:t>
      </w:r>
    </w:p>
    <w:p>
      <w:pPr>
        <w:spacing w:after="0" w:line="208" w:lineRule="exact"/>
        <w:rPr>
          <w:sz w:val="20"/>
          <w:szCs w:val="20"/>
          <w:color w:val="auto"/>
        </w:rPr>
      </w:pPr>
    </w:p>
    <w:p>
      <w:pPr>
        <w:ind w:left="1680" w:hanging="808"/>
        <w:spacing w:after="0"/>
        <w:tabs>
          <w:tab w:leader="none" w:pos="168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Base Salary</w:t>
      </w:r>
      <w:r>
        <w:rPr>
          <w:rFonts w:ascii="Arial" w:cs="Arial" w:eastAsia="Arial" w:hAnsi="Arial"/>
          <w:sz w:val="19"/>
          <w:szCs w:val="19"/>
          <w:color w:val="auto"/>
        </w:rPr>
        <w:t>. For all the services rendered by Executive hereunder, the Company shall pay or cause to be paid to Executive a base salary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at the annualized rate of Four Hundred Thousand Dollars ($400,000.00), subject to all required withholdings and authorized deductions and payable in installments at such times as the Company customarily pays its other senior level executives. Executive’s Base Salary is subject to annual review by the Compensation Committee of the Board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consistent with other members of the Company’s executive team.</w:t>
      </w:r>
    </w:p>
    <w:p>
      <w:pPr>
        <w:spacing w:after="0" w:line="17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Short-Term Discretionary Cash Bonus</w:t>
      </w:r>
      <w:r>
        <w:rPr>
          <w:rFonts w:ascii="Arial" w:cs="Arial" w:eastAsia="Arial" w:hAnsi="Arial"/>
          <w:sz w:val="22"/>
          <w:szCs w:val="22"/>
          <w:color w:val="auto"/>
        </w:rPr>
        <w:t>. For each fiscal year during the Employment Period, Executive shall be eligible to receive an annual discretionary cash bonus (the “</w:t>
      </w:r>
      <w:r>
        <w:rPr>
          <w:rFonts w:ascii="Arial" w:cs="Arial" w:eastAsia="Arial" w:hAnsi="Arial"/>
          <w:sz w:val="22"/>
          <w:szCs w:val="22"/>
          <w:b w:val="1"/>
          <w:bCs w:val="1"/>
          <w:i w:val="1"/>
          <w:iCs w:val="1"/>
          <w:color w:val="auto"/>
        </w:rPr>
        <w:t>STIP Bonus</w:t>
      </w:r>
      <w:r>
        <w:rPr>
          <w:rFonts w:ascii="Arial" w:cs="Arial" w:eastAsia="Arial" w:hAnsi="Arial"/>
          <w:sz w:val="22"/>
          <w:szCs w:val="22"/>
          <w:color w:val="auto"/>
        </w:rPr>
        <w:t>”) for the services rendered by Executive under this Agreement, subject to the terms and</w:t>
      </w:r>
    </w:p>
    <w:p>
      <w:pPr>
        <w:spacing w:after="0" w:line="186"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both"/>
        <w:spacing w:after="0" w:line="236" w:lineRule="auto"/>
        <w:rPr>
          <w:sz w:val="20"/>
          <w:szCs w:val="20"/>
          <w:color w:val="auto"/>
        </w:rPr>
      </w:pPr>
      <w:r>
        <w:rPr>
          <w:rFonts w:ascii="Arial" w:cs="Arial" w:eastAsia="Arial" w:hAnsi="Arial"/>
          <w:sz w:val="22"/>
          <w:szCs w:val="22"/>
          <w:color w:val="auto"/>
        </w:rPr>
        <w:t>conditions as set forth in the Verra Mobility Amended and Restated Short-Term Incentive Plan (or any successor plan) (the “</w:t>
      </w:r>
      <w:r>
        <w:rPr>
          <w:rFonts w:ascii="Arial" w:cs="Arial" w:eastAsia="Arial" w:hAnsi="Arial"/>
          <w:sz w:val="22"/>
          <w:szCs w:val="22"/>
          <w:b w:val="1"/>
          <w:bCs w:val="1"/>
          <w:i w:val="1"/>
          <w:iCs w:val="1"/>
          <w:color w:val="auto"/>
        </w:rPr>
        <w:t>STIP</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Executive’s STIP Bonus target shall be seventy five percent (75%) of the Executive’s Base Salary paid during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applicable plan year. The payment and amount of the STIP Bonus, if any, will be determined by the Compensation Committee based on Executive’s performance and Company financial performance, in each case measured against performance goals and financial targets established by the Compensation Committee.</w:t>
      </w:r>
    </w:p>
    <w:p>
      <w:pPr>
        <w:spacing w:after="0" w:line="21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Equity Compensation</w:t>
      </w:r>
      <w:r>
        <w:rPr>
          <w:rFonts w:ascii="Arial" w:cs="Arial" w:eastAsia="Arial" w:hAnsi="Arial"/>
          <w:sz w:val="19"/>
          <w:szCs w:val="19"/>
          <w:color w:val="auto"/>
        </w:rPr>
        <w:t>.</w:t>
      </w:r>
    </w:p>
    <w:p>
      <w:pPr>
        <w:spacing w:after="0" w:line="233" w:lineRule="exact"/>
        <w:rPr>
          <w:sz w:val="20"/>
          <w:szCs w:val="20"/>
          <w:color w:val="auto"/>
        </w:rPr>
      </w:pPr>
    </w:p>
    <w:p>
      <w:pPr>
        <w:jc w:val="both"/>
        <w:ind w:firstLine="1735"/>
        <w:spacing w:after="0" w:line="245" w:lineRule="auto"/>
        <w:tabs>
          <w:tab w:leader="none" w:pos="2615"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Equity Grants</w:t>
      </w:r>
      <w:r>
        <w:rPr>
          <w:rFonts w:ascii="Arial" w:cs="Arial" w:eastAsia="Arial" w:hAnsi="Arial"/>
          <w:sz w:val="21"/>
          <w:szCs w:val="21"/>
          <w:color w:val="auto"/>
        </w:rPr>
        <w:t>. As soon as practical (but not more than two (2) business days) after the first Compensation Committee meeting immediately following Executive’s Start Date (or, if the Compensation Committee’s next such meeting occurs during a blackout period, then promptly after two (2) business days following the end of such blackout period), the Company will grant to Executive, pursuant to the terms of the Verra Mobility Corporation 2018 Equity Incentive Plan, as amended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and applicable award agreements, the following equity grants:</w:t>
      </w:r>
    </w:p>
    <w:p>
      <w:pPr>
        <w:jc w:val="both"/>
        <w:ind w:firstLine="2600"/>
        <w:spacing w:after="0" w:line="232" w:lineRule="auto"/>
        <w:tabs>
          <w:tab w:leader="none" w:pos="3444"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Time-Based Stock Option Grant</w:t>
      </w:r>
      <w:r>
        <w:rPr>
          <w:rFonts w:ascii="Arial" w:cs="Arial" w:eastAsia="Arial" w:hAnsi="Arial"/>
          <w:sz w:val="22"/>
          <w:szCs w:val="22"/>
          <w:color w:val="auto"/>
        </w:rPr>
        <w:t>. A grant of a non-statutory stock option award under the Plan for a number of shares of Verra Mobility Class A Common Stock with a total value, as measured by the closing price of Verra Mobility’s Class A Common Stock on the Nasdaq Capital Market on the date of grant, equal to three hundred twenty thousand dollars ($320,000) (“</w:t>
      </w:r>
      <w:r>
        <w:rPr>
          <w:rFonts w:ascii="Arial" w:cs="Arial" w:eastAsia="Arial" w:hAnsi="Arial"/>
          <w:sz w:val="22"/>
          <w:szCs w:val="22"/>
          <w:b w:val="1"/>
          <w:bCs w:val="1"/>
          <w:i w:val="1"/>
          <w:iCs w:val="1"/>
          <w:color w:val="auto"/>
        </w:rPr>
        <w:t>Time-Based Option”)</w:t>
      </w:r>
      <w:r>
        <w:rPr>
          <w:rFonts w:ascii="Arial" w:cs="Arial" w:eastAsia="Arial" w:hAnsi="Arial"/>
          <w:sz w:val="22"/>
          <w:szCs w:val="22"/>
          <w:color w:val="auto"/>
        </w:rPr>
        <w:t>, subject to the Plan and Executive Time-Based Option award agreement, which shall include an annual time-based vesting of twenty-five percent (25%) increments on each of the first four anniversaries of the grant date, including continued service through each applicable vesting date. The Time-Based Option will have an exercise price per share equal to the Fair Market Value (as defined in the Plan) of a share of common stock of the Company on the date of grant.</w:t>
      </w:r>
    </w:p>
    <w:p>
      <w:pPr>
        <w:spacing w:after="0" w:line="212" w:lineRule="exact"/>
        <w:rPr>
          <w:rFonts w:ascii="Arial" w:cs="Arial" w:eastAsia="Arial" w:hAnsi="Arial"/>
          <w:sz w:val="22"/>
          <w:szCs w:val="22"/>
          <w:color w:val="auto"/>
        </w:rPr>
      </w:pPr>
    </w:p>
    <w:p>
      <w:pPr>
        <w:jc w:val="both"/>
        <w:ind w:firstLine="2600"/>
        <w:spacing w:after="0" w:line="275" w:lineRule="auto"/>
        <w:tabs>
          <w:tab w:leader="none" w:pos="350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Performance Share Unit Grant</w:t>
      </w:r>
      <w:r>
        <w:rPr>
          <w:rFonts w:ascii="Arial" w:cs="Arial" w:eastAsia="Arial" w:hAnsi="Arial"/>
          <w:sz w:val="19"/>
          <w:szCs w:val="19"/>
          <w:color w:val="auto"/>
        </w:rPr>
        <w:t>. A grant of a performance share unit award under the Plan for a number of shares of Verra Mobility Class A Common Stock with a total value, as measured by the closing price of Verra Mobility’s Class A Common Stock on the Nasdaq Capital Market on the date of grant, equal to two hundred forty thousand dollars ($240,000)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subject to the Plan and Executive’s PSU award agreement, which shall include the following vesting schedule: the PSUs shall vest based on Relative Total Stockholder Return (“</w:t>
      </w:r>
      <w:r>
        <w:rPr>
          <w:rFonts w:ascii="Arial" w:cs="Arial" w:eastAsia="Arial" w:hAnsi="Arial"/>
          <w:sz w:val="19"/>
          <w:szCs w:val="19"/>
          <w:b w:val="1"/>
          <w:bCs w:val="1"/>
          <w:i w:val="1"/>
          <w:iCs w:val="1"/>
          <w:color w:val="auto"/>
        </w:rPr>
        <w:t>Relative TSR</w:t>
      </w:r>
      <w:r>
        <w:rPr>
          <w:rFonts w:ascii="Arial" w:cs="Arial" w:eastAsia="Arial" w:hAnsi="Arial"/>
          <w:sz w:val="19"/>
          <w:szCs w:val="19"/>
          <w:color w:val="auto"/>
        </w:rPr>
        <w:t>”), meaning the difference, measured in percentage points (rounded to the nearest 1/100 of 1%), for the three (3) year performance period between the Company Annualized TSR and the Comparator Group Median Annualized TSR, all as determined in accordance with Executive’s PSU award agreement, as well as Executive’s continued service through the end of the performance period.</w:t>
      </w:r>
    </w:p>
    <w:p>
      <w:pPr>
        <w:spacing w:after="0" w:line="184" w:lineRule="exact"/>
        <w:rPr>
          <w:rFonts w:ascii="Arial" w:cs="Arial" w:eastAsia="Arial" w:hAnsi="Arial"/>
          <w:sz w:val="19"/>
          <w:szCs w:val="19"/>
          <w:color w:val="auto"/>
        </w:rPr>
      </w:pPr>
    </w:p>
    <w:p>
      <w:pPr>
        <w:jc w:val="both"/>
        <w:ind w:firstLine="2600"/>
        <w:spacing w:after="0" w:line="249" w:lineRule="auto"/>
        <w:tabs>
          <w:tab w:leader="none" w:pos="3564"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Time-Based Restricted Stock Unit Grant</w:t>
      </w:r>
      <w:r>
        <w:rPr>
          <w:rFonts w:ascii="Arial" w:cs="Arial" w:eastAsia="Arial" w:hAnsi="Arial"/>
          <w:sz w:val="21"/>
          <w:szCs w:val="21"/>
          <w:color w:val="auto"/>
        </w:rPr>
        <w:t>. A grant of a restricted stock unit award under the Plan for a number of shares of Verra Mobility Class A Common Stock with a total value, as measured by the closing price of Verra Mobility’s Class A Common Stock on the Nasdaq Capital Market on the date of grant, equal to two hundred forty thousand dollars ($240,000)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subject to the Plan and Executive’s RSU award agreement, which shall include annual time-based vesting of twenty-five percent (25%) increments on each of the first</w:t>
      </w:r>
    </w:p>
    <w:p>
      <w:pPr>
        <w:spacing w:after="0" w:line="178"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spacing w:after="0" w:line="250" w:lineRule="auto"/>
        <w:rPr>
          <w:sz w:val="20"/>
          <w:szCs w:val="20"/>
          <w:color w:val="auto"/>
        </w:rPr>
      </w:pPr>
      <w:r>
        <w:rPr>
          <w:rFonts w:ascii="Arial" w:cs="Arial" w:eastAsia="Arial" w:hAnsi="Arial"/>
          <w:sz w:val="22"/>
          <w:szCs w:val="22"/>
          <w:color w:val="auto"/>
        </w:rPr>
        <w:t>four anniversaries of the grant date and the terms of the Plan and Executive’s RSU award agreement, including continued service through each applicable vesting date.</w:t>
      </w:r>
    </w:p>
    <w:p>
      <w:pPr>
        <w:spacing w:after="0" w:line="202" w:lineRule="exact"/>
        <w:rPr>
          <w:sz w:val="20"/>
          <w:szCs w:val="20"/>
          <w:color w:val="auto"/>
        </w:rPr>
      </w:pPr>
    </w:p>
    <w:p>
      <w:pPr>
        <w:jc w:val="both"/>
        <w:ind w:firstLine="2600"/>
        <w:spacing w:after="0" w:line="248" w:lineRule="auto"/>
        <w:tabs>
          <w:tab w:leader="none" w:pos="3552"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Make-Whole Restricted Stock Unit Grant</w:t>
      </w:r>
      <w:r>
        <w:rPr>
          <w:rFonts w:ascii="Arial" w:cs="Arial" w:eastAsia="Arial" w:hAnsi="Arial"/>
          <w:sz w:val="21"/>
          <w:szCs w:val="21"/>
          <w:color w:val="auto"/>
        </w:rPr>
        <w:t>. A grant of a restricted stock unit award under the Plan for a number of shares of Verra Mobility Class A Common Stock with a total value, as measured by the closing price of Verra Mobility’s Class A Common Stock on the Nasdaq Capital Market on the date of grant, equal to one hundred thousand dollars ($100,000) (“</w:t>
      </w:r>
      <w:r>
        <w:rPr>
          <w:rFonts w:ascii="Arial" w:cs="Arial" w:eastAsia="Arial" w:hAnsi="Arial"/>
          <w:sz w:val="21"/>
          <w:szCs w:val="21"/>
          <w:b w:val="1"/>
          <w:bCs w:val="1"/>
          <w:i w:val="1"/>
          <w:iCs w:val="1"/>
          <w:color w:val="auto"/>
        </w:rPr>
        <w:t>Make-Whole RSUs</w:t>
      </w:r>
      <w:r>
        <w:rPr>
          <w:rFonts w:ascii="Arial" w:cs="Arial" w:eastAsia="Arial" w:hAnsi="Arial"/>
          <w:sz w:val="21"/>
          <w:szCs w:val="21"/>
          <w:color w:val="auto"/>
        </w:rPr>
        <w:t>”), which shall include annual time-based vesting of twenty-five percent (25%) increments on each of the first four anniversaries of the grant date and the terms of the Plan and Executive’s RSU award agreement, including continued service through each applicable vesting date.</w:t>
      </w:r>
    </w:p>
    <w:p>
      <w:pPr>
        <w:spacing w:after="0" w:line="203" w:lineRule="exact"/>
        <w:rPr>
          <w:rFonts w:ascii="Arial" w:cs="Arial" w:eastAsia="Arial" w:hAnsi="Arial"/>
          <w:sz w:val="21"/>
          <w:szCs w:val="21"/>
          <w:color w:val="auto"/>
        </w:rPr>
      </w:pPr>
    </w:p>
    <w:p>
      <w:pPr>
        <w:jc w:val="both"/>
        <w:ind w:firstLine="1735"/>
        <w:spacing w:after="0" w:line="236" w:lineRule="auto"/>
        <w:tabs>
          <w:tab w:leader="none" w:pos="2627"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Future Equity Compensation</w:t>
      </w:r>
      <w:r>
        <w:rPr>
          <w:rFonts w:ascii="Arial" w:cs="Arial" w:eastAsia="Arial" w:hAnsi="Arial"/>
          <w:sz w:val="22"/>
          <w:szCs w:val="22"/>
          <w:color w:val="auto"/>
        </w:rPr>
        <w:t>. During the Employment Period, Executive shall be eligible from time to time to participate in the Company’s equity incentive programs, subject to the discretion of the Board or its authorized designee(s). The terms and conditions of the vesting, forfeiture, and all other matters related to any equity compensation granted to Executive shall be subject to and governed by the Plan and the applicable award agreements and grant documents provided to Executive in connection with such equity compensation.</w:t>
      </w:r>
    </w:p>
    <w:p>
      <w:pPr>
        <w:spacing w:after="0" w:line="214"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Retirement and Welfare Plans</w:t>
      </w:r>
      <w:r>
        <w:rPr>
          <w:rFonts w:ascii="Arial" w:cs="Arial" w:eastAsia="Arial" w:hAnsi="Arial"/>
          <w:sz w:val="21"/>
          <w:szCs w:val="21"/>
          <w:color w:val="auto"/>
        </w:rPr>
        <w:t>. Executive shall be eligible to participate in employee retirement and welfare benefit plans made available to the Company’s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20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paid vacation pursuant to the terms and conditions of the Company’s vacation and paid time off policies, as may be in effect from time to time.</w:t>
      </w:r>
    </w:p>
    <w:p>
      <w:pPr>
        <w:spacing w:after="0" w:line="20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eligible to be reimbursed for all customary and appropriate business-related expenses actually incurred by Executive and documented in accordance with the Company’s policies applicable to senior level executives and as may be in effect from time to time.</w:t>
      </w:r>
    </w:p>
    <w:p>
      <w:pPr>
        <w:spacing w:after="0" w:line="213"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Sign-On Bonus</w:t>
      </w:r>
      <w:r>
        <w:rPr>
          <w:rFonts w:ascii="Arial" w:cs="Arial" w:eastAsia="Arial" w:hAnsi="Arial"/>
          <w:sz w:val="22"/>
          <w:szCs w:val="22"/>
          <w:color w:val="auto"/>
        </w:rPr>
        <w:t>. Company shall provide a sign-on cash bonus of one hundred thousand dollars ($100,000) (the “</w:t>
      </w:r>
      <w:r>
        <w:rPr>
          <w:rFonts w:ascii="Arial" w:cs="Arial" w:eastAsia="Arial" w:hAnsi="Arial"/>
          <w:sz w:val="22"/>
          <w:szCs w:val="22"/>
          <w:b w:val="1"/>
          <w:bCs w:val="1"/>
          <w:i w:val="1"/>
          <w:iCs w:val="1"/>
          <w:color w:val="auto"/>
        </w:rPr>
        <w:t>Sign-On Bonus</w:t>
      </w:r>
      <w:r>
        <w:rPr>
          <w:rFonts w:ascii="Arial" w:cs="Arial" w:eastAsia="Arial" w:hAnsi="Arial"/>
          <w:sz w:val="22"/>
          <w:szCs w:val="22"/>
          <w:color w:val="auto"/>
        </w:rPr>
        <w:t>”), subject to all required and authorized withholdings. Such Sign-On Bonus shall be paid within thirty (30) days of the Start Date. Executive shall be obligated to immediately repay the gross amount of the Sign-On Bonus if Executive is terminated by the Company for Cause (as defined in Section 3.7) or if Executive voluntarily terminates his employment other than for Good Reason (as defined in Section 3.7), and other than due to Disability (as defined in Section 3.2) or death, prior to the one-year anniversary of the Start Date.</w:t>
      </w:r>
    </w:p>
    <w:p>
      <w:pPr>
        <w:spacing w:after="0" w:line="200" w:lineRule="exact"/>
        <w:rPr>
          <w:sz w:val="20"/>
          <w:szCs w:val="20"/>
          <w:color w:val="auto"/>
        </w:rPr>
      </w:pPr>
    </w:p>
    <w:p>
      <w:pPr>
        <w:spacing w:after="0" w:line="231"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3" w:name="page124"/>
    <w:bookmarkEnd w:id="123"/>
    <w:p>
      <w:pPr>
        <w:jc w:val="both"/>
        <w:ind w:firstLine="864"/>
        <w:spacing w:after="0" w:line="234"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Relocation Assistance</w:t>
      </w:r>
      <w:r>
        <w:rPr>
          <w:rFonts w:ascii="Arial" w:cs="Arial" w:eastAsia="Arial" w:hAnsi="Arial"/>
          <w:sz w:val="22"/>
          <w:szCs w:val="22"/>
          <w:color w:val="auto"/>
        </w:rPr>
        <w:t>. In connection with Executive’s relocation to the greater Phoenix metropolitan area at the end of the Commuting Period, Executive will be entitled to relocation assistance benefits, a summary of which is attached as Exhibit A hereto. Executive shall be obligated to repay the actual expenses incurred by the Company related to shipment of household goods and home purchase expenses in the event Executive is terminated by the Company for Cause (as defined in Section 3.7) or if Executive voluntarily terminates his employment other than for Good Reason (as defined in Section 3.7), and other than due to Disability (as defined in Section 3.2) or death, within twelve (12) months after Executive completes his relocation.</w:t>
      </w:r>
    </w:p>
    <w:p>
      <w:pPr>
        <w:spacing w:after="0" w:line="212" w:lineRule="exact"/>
        <w:rPr>
          <w:sz w:val="20"/>
          <w:szCs w:val="20"/>
          <w:color w:val="auto"/>
        </w:rPr>
      </w:pPr>
    </w:p>
    <w:p>
      <w:pPr>
        <w:ind w:firstLine="872"/>
        <w:spacing w:after="0" w:line="256" w:lineRule="auto"/>
        <w:tabs>
          <w:tab w:leader="none" w:pos="1674"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Section 1, Executive’s employment shall terminate, and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 shall terminate concurrently therewith, upon the occurrence of any of the following events:</w:t>
      </w:r>
    </w:p>
    <w:p>
      <w:pPr>
        <w:spacing w:after="0" w:line="19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Termination By Company Without Cause or Resignation by Executive for Good Reason</w:t>
      </w:r>
      <w:r>
        <w:rPr>
          <w:rFonts w:ascii="Arial" w:cs="Arial" w:eastAsia="Arial" w:hAnsi="Arial"/>
          <w:sz w:val="19"/>
          <w:szCs w:val="19"/>
          <w:color w:val="auto"/>
        </w:rPr>
        <w:t>.</w:t>
      </w:r>
    </w:p>
    <w:p>
      <w:pPr>
        <w:spacing w:after="0" w:line="233" w:lineRule="exact"/>
        <w:rPr>
          <w:sz w:val="20"/>
          <w:szCs w:val="20"/>
          <w:color w:val="auto"/>
        </w:rPr>
      </w:pPr>
    </w:p>
    <w:p>
      <w:pPr>
        <w:jc w:val="both"/>
        <w:ind w:firstLine="1735"/>
        <w:spacing w:after="0" w:line="282" w:lineRule="auto"/>
        <w:tabs>
          <w:tab w:leader="none" w:pos="2615"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174" w:lineRule="exact"/>
        <w:rPr>
          <w:rFonts w:ascii="Arial" w:cs="Arial" w:eastAsia="Arial" w:hAnsi="Arial"/>
          <w:sz w:val="19"/>
          <w:szCs w:val="19"/>
          <w:color w:val="auto"/>
        </w:rPr>
      </w:pPr>
    </w:p>
    <w:p>
      <w:pPr>
        <w:jc w:val="both"/>
        <w:ind w:firstLine="1735"/>
        <w:spacing w:after="0" w:line="234" w:lineRule="auto"/>
        <w:tabs>
          <w:tab w:leader="none" w:pos="2627" w:val="left"/>
        </w:tabs>
        <w:numPr>
          <w:ilvl w:val="0"/>
          <w:numId w:val="70"/>
        </w:numPr>
        <w:rPr>
          <w:rFonts w:ascii="Arial" w:cs="Arial" w:eastAsia="Arial" w:hAnsi="Arial"/>
          <w:sz w:val="22"/>
          <w:szCs w:val="22"/>
          <w:color w:val="auto"/>
        </w:rPr>
      </w:pPr>
      <w:r>
        <w:rPr>
          <w:rFonts w:ascii="Arial" w:cs="Arial" w:eastAsia="Arial" w:hAnsi="Arial"/>
          <w:sz w:val="22"/>
          <w:szCs w:val="22"/>
          <w:color w:val="auto"/>
        </w:rPr>
        <w:t>Upon termination under this Section 3.1, Executive shall receive (i) Executive’s accrued but unpaid Base Salary through the date of termination (payable on the Company’s first (1</w:t>
      </w:r>
      <w:r>
        <w:rPr>
          <w:rFonts w:ascii="Arial" w:cs="Arial" w:eastAsia="Arial" w:hAnsi="Arial"/>
          <w:sz w:val="18"/>
          <w:szCs w:val="18"/>
          <w:color w:val="auto"/>
        </w:rPr>
        <w:t>st</w:t>
      </w:r>
      <w:r>
        <w:rPr>
          <w:rFonts w:ascii="Arial" w:cs="Arial" w:eastAsia="Arial" w:hAnsi="Arial"/>
          <w:sz w:val="22"/>
          <w:szCs w:val="22"/>
          <w:color w:val="auto"/>
        </w:rPr>
        <w:t>) payroll processing date after Executive’s date of termination or earlier if required by applicable law), (ii) any unreimbursed business expenses incurred by Executive and payable in accordance with the Company’s standard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Arial" w:cs="Arial" w:eastAsia="Arial" w:hAnsi="Arial"/>
          <w:sz w:val="22"/>
          <w:szCs w:val="22"/>
          <w:b w:val="1"/>
          <w:bCs w:val="1"/>
          <w:i w:val="1"/>
          <w:iCs w:val="1"/>
          <w:color w:val="auto"/>
        </w:rPr>
        <w:t>Guaranteed Payments</w:t>
      </w:r>
      <w:r>
        <w:rPr>
          <w:rFonts w:ascii="Arial" w:cs="Arial" w:eastAsia="Arial" w:hAnsi="Arial"/>
          <w:sz w:val="22"/>
          <w:szCs w:val="22"/>
          <w:color w:val="auto"/>
        </w:rPr>
        <w:t>”).</w:t>
      </w:r>
    </w:p>
    <w:p>
      <w:pPr>
        <w:spacing w:after="0" w:line="217" w:lineRule="exact"/>
        <w:rPr>
          <w:rFonts w:ascii="Arial" w:cs="Arial" w:eastAsia="Arial" w:hAnsi="Arial"/>
          <w:sz w:val="22"/>
          <w:szCs w:val="22"/>
          <w:color w:val="auto"/>
        </w:rPr>
      </w:pPr>
    </w:p>
    <w:p>
      <w:pPr>
        <w:jc w:val="both"/>
        <w:ind w:firstLine="1735"/>
        <w:spacing w:after="0" w:line="245" w:lineRule="auto"/>
        <w:tabs>
          <w:tab w:leader="none" w:pos="2615" w:val="left"/>
        </w:tabs>
        <w:numPr>
          <w:ilvl w:val="0"/>
          <w:numId w:val="70"/>
        </w:numPr>
        <w:rPr>
          <w:rFonts w:ascii="Arial" w:cs="Arial" w:eastAsia="Arial" w:hAnsi="Arial"/>
          <w:sz w:val="21"/>
          <w:szCs w:val="21"/>
          <w:color w:val="auto"/>
        </w:rPr>
      </w:pPr>
      <w:r>
        <w:rPr>
          <w:rFonts w:ascii="Arial" w:cs="Arial" w:eastAsia="Arial" w:hAnsi="Arial"/>
          <w:sz w:val="21"/>
          <w:szCs w:val="21"/>
          <w:color w:val="auto"/>
        </w:rPr>
        <w:t>If Executive’s employment terminates as described in Section 3.1(a) above and if, upon such termination, Executive (i) executes within twenty-one (21) days (or forty-five (45) days to the extent required by applicable law) after presentation to the Executive of, that he does not timely revoke, a written general release in a form provided by the Company releasing the Company from any and all claims (including with respect to all matters arising out of or related to Executive’s employment by the Company or the termination thereof)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and (ii) complies with the terms and conditions of the Release, including, without limitation, the terms and conditions of Sections 5, 6, 7, 8, and 9 of this Agreement (which shall be incorporated in the Release by reference) below, Executive will be entitled to receive cash severance in an amount equal to twelve (12) months of Executive’s then-current Base Salary, plus a cash amount representing the total cost of the group healthcare premiums the Executive would have paid based</w:t>
      </w:r>
    </w:p>
    <w:p>
      <w:pPr>
        <w:spacing w:after="0" w:line="184"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4" w:name="page125"/>
    <w:bookmarkEnd w:id="124"/>
    <w:p>
      <w:pPr>
        <w:jc w:val="both"/>
        <w:spacing w:after="0" w:line="236" w:lineRule="auto"/>
        <w:rPr>
          <w:sz w:val="20"/>
          <w:szCs w:val="20"/>
          <w:color w:val="auto"/>
        </w:rPr>
      </w:pPr>
      <w:r>
        <w:rPr>
          <w:rFonts w:ascii="Arial" w:cs="Arial" w:eastAsia="Arial" w:hAnsi="Arial"/>
          <w:sz w:val="22"/>
          <w:szCs w:val="22"/>
          <w:color w:val="auto"/>
        </w:rPr>
        <w:t xml:space="preserve">on the coverages in effect at the time of Executive’s termination if the Executive elected continuation coverage under Title X of the Consolidated Omnibus Budget Reconciliation Act of 1985, as amended, for a period of twelve (12) months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Severance</w:t>
      </w:r>
      <w:r>
        <w:rPr>
          <w:rFonts w:ascii="Arial" w:cs="Arial" w:eastAsia="Arial" w:hAnsi="Arial"/>
          <w:sz w:val="22"/>
          <w:szCs w:val="22"/>
          <w:b w:val="1"/>
          <w:bCs w:val="1"/>
          <w:color w:val="auto"/>
        </w:rPr>
        <w:t>”)</w:t>
      </w:r>
      <w:r>
        <w:rPr>
          <w:rFonts w:ascii="Arial" w:cs="Arial" w:eastAsia="Arial" w:hAnsi="Arial"/>
          <w:sz w:val="22"/>
          <w:szCs w:val="22"/>
          <w:color w:val="auto"/>
        </w:rPr>
        <w:t>. The Severance amount, less all required withholdings and authorized deductions, shall be paid in substantially</w:t>
      </w:r>
      <w:r>
        <w:rPr>
          <w:rFonts w:ascii="Arial" w:cs="Arial" w:eastAsia="Arial" w:hAnsi="Arial"/>
          <w:sz w:val="22"/>
          <w:szCs w:val="22"/>
          <w:b w:val="1"/>
          <w:bCs w:val="1"/>
          <w:color w:val="auto"/>
        </w:rPr>
        <w:t xml:space="preserve"> </w:t>
      </w:r>
      <w:r>
        <w:rPr>
          <w:rFonts w:ascii="Arial" w:cs="Arial" w:eastAsia="Arial" w:hAnsi="Arial"/>
          <w:sz w:val="22"/>
          <w:szCs w:val="22"/>
          <w:color w:val="auto"/>
        </w:rPr>
        <w:t>equal installments consistent with the Company’s regularly scheduled payroll procedures until the Severance has been paid in full, subject to Section 3.1(d) below.</w:t>
      </w:r>
    </w:p>
    <w:p>
      <w:pPr>
        <w:spacing w:after="0" w:line="214" w:lineRule="exact"/>
        <w:rPr>
          <w:sz w:val="20"/>
          <w:szCs w:val="20"/>
          <w:color w:val="auto"/>
        </w:rPr>
      </w:pPr>
    </w:p>
    <w:p>
      <w:pPr>
        <w:jc w:val="both"/>
        <w:ind w:firstLine="1735"/>
        <w:spacing w:after="0" w:line="277" w:lineRule="auto"/>
        <w:tabs>
          <w:tab w:leader="none" w:pos="2627"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is subject to execution of the Release could be made in more than one taxable year of Executive, payment shall be made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the earliest date permitted under the terms of the Release in the later such taxable year.</w:t>
      </w:r>
    </w:p>
    <w:p>
      <w:pPr>
        <w:spacing w:after="0" w:line="178" w:lineRule="exact"/>
        <w:rPr>
          <w:rFonts w:ascii="Arial" w:cs="Arial" w:eastAsia="Arial" w:hAnsi="Arial"/>
          <w:sz w:val="19"/>
          <w:szCs w:val="19"/>
          <w:color w:val="auto"/>
        </w:rPr>
      </w:pPr>
    </w:p>
    <w:p>
      <w:pPr>
        <w:jc w:val="both"/>
        <w:ind w:firstLine="1735"/>
        <w:spacing w:after="0"/>
        <w:tabs>
          <w:tab w:leader="none" w:pos="2615"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Executive agrees and acknowledges that the Severance provided to Executive pursuant to Section 3.1(c) is in lieu of, and is not in addition to, any benefits to which Executive may otherwise be entitled under any Company severance plan, policy, or program, other than the Guaranteed Payments.</w:t>
      </w:r>
    </w:p>
    <w:p>
      <w:pPr>
        <w:spacing w:after="0" w:line="213" w:lineRule="exact"/>
        <w:rPr>
          <w:rFonts w:ascii="Arial" w:cs="Arial" w:eastAsia="Arial" w:hAnsi="Arial"/>
          <w:sz w:val="22"/>
          <w:szCs w:val="22"/>
          <w:color w:val="auto"/>
        </w:rPr>
      </w:pPr>
    </w:p>
    <w:p>
      <w:pPr>
        <w:jc w:val="both"/>
        <w:ind w:firstLine="1735"/>
        <w:spacing w:after="0"/>
        <w:tabs>
          <w:tab w:leader="none" w:pos="2591"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w:t>
      </w:r>
    </w:p>
    <w:p>
      <w:pPr>
        <w:spacing w:after="0" w:line="213"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by Reason of Disability</w:t>
      </w:r>
      <w:r>
        <w:rPr>
          <w:rFonts w:ascii="Arial" w:cs="Arial" w:eastAsia="Arial" w:hAnsi="Arial"/>
          <w:sz w:val="22"/>
          <w:szCs w:val="22"/>
          <w:color w:val="auto"/>
        </w:rPr>
        <w:t>. Subject to applicable state and federal law, the Company may terminate Executive’s employment if Executive has been unable to perform the material duties of Executive’s position for a period of ninety (90) consecutive days or one hundred eighty (180) days in the aggregate during any twelve (12) month period because of physical or mental injury or illness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w:t>
      </w:r>
    </w:p>
    <w:p>
      <w:pPr>
        <w:spacing w:after="0" w:line="21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by Reason of Death</w:t>
      </w:r>
      <w:r>
        <w:rPr>
          <w:rFonts w:ascii="Arial" w:cs="Arial" w:eastAsia="Arial" w:hAnsi="Arial"/>
          <w:sz w:val="21"/>
          <w:szCs w:val="21"/>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19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Termination by Company for Cause or Resignation by Executive without Good Reason</w:t>
      </w:r>
      <w:r>
        <w:rPr>
          <w:rFonts w:ascii="Arial" w:cs="Arial" w:eastAsia="Arial" w:hAnsi="Arial"/>
          <w:sz w:val="22"/>
          <w:szCs w:val="22"/>
          <w:color w:val="auto"/>
        </w:rPr>
        <w:t>. The Company may terminate Executive’s employment at any time for Cause upon written notice to Executive and Executive may initiate a termination of employment by resigning without Good Reason upon not less than thirty (30) days’ prior written notice to the Company, and in any</w:t>
      </w:r>
    </w:p>
    <w:p>
      <w:pPr>
        <w:spacing w:after="0" w:line="185"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spacing w:after="0" w:line="328" w:lineRule="auto"/>
        <w:rPr>
          <w:sz w:val="20"/>
          <w:szCs w:val="20"/>
          <w:color w:val="auto"/>
        </w:rPr>
      </w:pPr>
      <w:r>
        <w:rPr>
          <w:rFonts w:ascii="Arial" w:cs="Arial" w:eastAsia="Arial" w:hAnsi="Arial"/>
          <w:sz w:val="19"/>
          <w:szCs w:val="19"/>
          <w:color w:val="auto"/>
        </w:rPr>
        <w:t xml:space="preserve">such event all payments under this Agreement shall cease except that the Company shall pay to Executive the Guaranteed Payments. In such event, Executive will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receive the Severance or any other severance compensation or benefits.</w:t>
      </w:r>
    </w:p>
    <w:p>
      <w:pPr>
        <w:spacing w:after="0" w:line="132" w:lineRule="exact"/>
        <w:rPr>
          <w:sz w:val="20"/>
          <w:szCs w:val="20"/>
          <w:color w:val="auto"/>
        </w:rPr>
      </w:pPr>
    </w:p>
    <w:p>
      <w:pPr>
        <w:ind w:firstLine="864"/>
        <w:spacing w:after="0" w:line="276"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Executive’s employment by either party shall be communicated by a written notice of termination to the other party hereto given in accordance with Section 13. The notice of termination shall</w:t>
      </w:r>
    </w:p>
    <w:p>
      <w:pPr>
        <w:spacing w:after="0" w:line="1" w:lineRule="exact"/>
        <w:rPr>
          <w:sz w:val="20"/>
          <w:szCs w:val="20"/>
          <w:color w:val="auto"/>
        </w:rPr>
      </w:pPr>
    </w:p>
    <w:p>
      <w:pPr>
        <w:jc w:val="both"/>
        <w:ind w:firstLine="8"/>
        <w:spacing w:after="0" w:line="280" w:lineRule="auto"/>
        <w:tabs>
          <w:tab w:leader="none" w:pos="307"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Cooperation with the Company After Termination</w:t>
      </w:r>
      <w:r>
        <w:rPr>
          <w:rFonts w:ascii="Arial" w:cs="Arial" w:eastAsia="Arial" w:hAnsi="Arial"/>
          <w:sz w:val="19"/>
          <w:szCs w:val="19"/>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his employment and about which Executive may have knowledge; and (b) any investigation or review that may be performed by the Company or any government authority or in connection with any litigation or proceeding in which the Company may become involved. Executive’s obligations under this Section 3.6 include (without limitation) (i) making himself available to testify on behalf of the Company or any of its affiliates in any action, suit, or proceeding, whether civil, criminal, administrative, or investigative; (ii) assisting the Company or any of its affiliates in any such action, suit, or proceeding, by providing truthful and accurate information; (iii) and meeting and consulting with the Board or its representatives or counsel, or representatives or counsel to any of the Company’s affiliates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200" w:lineRule="exact"/>
        <w:rPr>
          <w:sz w:val="20"/>
          <w:szCs w:val="20"/>
          <w:color w:val="auto"/>
        </w:rPr>
      </w:pPr>
    </w:p>
    <w:p>
      <w:pPr>
        <w:spacing w:after="0" w:line="23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33" w:lineRule="exact"/>
        <w:rPr>
          <w:sz w:val="20"/>
          <w:szCs w:val="20"/>
          <w:color w:val="auto"/>
        </w:rPr>
      </w:pPr>
    </w:p>
    <w:p>
      <w:pPr>
        <w:jc w:val="both"/>
        <w:ind w:firstLine="872"/>
        <w:spacing w:after="0" w:line="277" w:lineRule="auto"/>
        <w:tabs>
          <w:tab w:leader="none" w:pos="1751"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(i) Executive being charged with a felony or misdemeanor criminal offense, other than a misdemeanor traffic offense; (ii) Executive’s engagement in any act involving gross misconduct or dishonesty that is materially injurious to the Company or any of its affiliates; (iii) Executive’s willful and continued breach of, or failure to substantially perform under or comply with any of the material terms and covenants of any written agreement with the Company or any of its affiliates; (iv) Executive’s willful and continued breach of, or refusal or failure substantially to perform under, any policy or reasonable performance goals set by the Company or any of its affiliates with respect to Executive’s job duties or responsibilities, the operation of the Company's or any of its affiliates’ business and affairs, or the management of the</w:t>
      </w:r>
    </w:p>
    <w:p>
      <w:pPr>
        <w:spacing w:after="0" w:line="152"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jc w:val="both"/>
        <w:spacing w:after="0" w:line="275" w:lineRule="auto"/>
        <w:rPr>
          <w:sz w:val="20"/>
          <w:szCs w:val="20"/>
          <w:color w:val="auto"/>
        </w:rPr>
      </w:pPr>
      <w:r>
        <w:rPr>
          <w:rFonts w:ascii="Arial" w:cs="Arial" w:eastAsia="Arial" w:hAnsi="Arial"/>
          <w:sz w:val="19"/>
          <w:szCs w:val="19"/>
          <w:color w:val="auto"/>
        </w:rPr>
        <w:t>Company’s or any of its affiliates’ employees; or (v) Executive commits or has committed a breach of any laws or regulations which may affect or relate to the conduct of the Company’s or any of its affiliates’ business; provided, however, that with respect to (iii) and (iv) above, Executive will 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184" w:lineRule="exact"/>
        <w:rPr>
          <w:sz w:val="20"/>
          <w:szCs w:val="20"/>
          <w:color w:val="auto"/>
        </w:rPr>
      </w:pPr>
    </w:p>
    <w:p>
      <w:pPr>
        <w:ind w:right="20" w:firstLine="872"/>
        <w:spacing w:after="0" w:line="250" w:lineRule="auto"/>
        <w:tabs>
          <w:tab w:leader="none" w:pos="1831"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the occurrence of any of the following events or conditions, unless Executive has expressly consented in writing thereto:</w:t>
      </w:r>
    </w:p>
    <w:p>
      <w:pPr>
        <w:spacing w:after="0" w:line="201" w:lineRule="exact"/>
        <w:rPr>
          <w:rFonts w:ascii="Arial" w:cs="Arial" w:eastAsia="Arial" w:hAnsi="Arial"/>
          <w:sz w:val="22"/>
          <w:szCs w:val="22"/>
          <w:color w:val="auto"/>
        </w:rPr>
      </w:pPr>
    </w:p>
    <w:p>
      <w:pPr>
        <w:ind w:left="2580" w:hanging="845"/>
        <w:spacing w:after="0"/>
        <w:tabs>
          <w:tab w:leader="none" w:pos="2580" w:val="left"/>
        </w:tabs>
        <w:numPr>
          <w:ilvl w:val="1"/>
          <w:numId w:val="74"/>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33" w:lineRule="exact"/>
        <w:rPr>
          <w:rFonts w:ascii="Arial" w:cs="Arial" w:eastAsia="Arial" w:hAnsi="Arial"/>
          <w:sz w:val="22"/>
          <w:szCs w:val="22"/>
          <w:color w:val="auto"/>
        </w:rPr>
      </w:pPr>
    </w:p>
    <w:p>
      <w:pPr>
        <w:jc w:val="both"/>
        <w:ind w:firstLine="1735"/>
        <w:spacing w:after="0" w:line="287" w:lineRule="auto"/>
        <w:tabs>
          <w:tab w:leader="none" w:pos="2639"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Executive Vice President, Commercial Services;</w:t>
      </w:r>
    </w:p>
    <w:p>
      <w:pPr>
        <w:spacing w:after="0" w:line="169" w:lineRule="exact"/>
        <w:rPr>
          <w:rFonts w:ascii="Arial" w:cs="Arial" w:eastAsia="Arial" w:hAnsi="Arial"/>
          <w:sz w:val="19"/>
          <w:szCs w:val="19"/>
          <w:color w:val="auto"/>
        </w:rPr>
      </w:pPr>
    </w:p>
    <w:p>
      <w:pPr>
        <w:ind w:firstLine="1735"/>
        <w:spacing w:after="0" w:line="328" w:lineRule="auto"/>
        <w:tabs>
          <w:tab w:leader="none" w:pos="2699"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Company requires that Executive’s principal office location be moved to a location more than fifty (50) miles from Executive’s principal office location immediately before the change without Executive’s prior consent; or</w:t>
      </w:r>
    </w:p>
    <w:p>
      <w:pPr>
        <w:spacing w:after="0" w:line="131" w:lineRule="exact"/>
        <w:rPr>
          <w:rFonts w:ascii="Arial" w:cs="Arial" w:eastAsia="Arial" w:hAnsi="Arial"/>
          <w:sz w:val="19"/>
          <w:szCs w:val="19"/>
          <w:color w:val="auto"/>
        </w:rPr>
      </w:pPr>
    </w:p>
    <w:p>
      <w:pPr>
        <w:ind w:left="2700" w:hanging="965"/>
        <w:spacing w:after="0"/>
        <w:tabs>
          <w:tab w:leader="none" w:pos="2700" w:val="left"/>
        </w:tabs>
        <w:numPr>
          <w:ilvl w:val="1"/>
          <w:numId w:val="74"/>
        </w:numPr>
        <w:rPr>
          <w:rFonts w:ascii="Arial" w:cs="Arial" w:eastAsia="Arial" w:hAnsi="Arial"/>
          <w:sz w:val="19"/>
          <w:szCs w:val="19"/>
          <w:color w:val="auto"/>
        </w:rPr>
      </w:pPr>
      <w:r>
        <w:rPr>
          <w:rFonts w:ascii="Arial" w:cs="Arial" w:eastAsia="Arial" w:hAnsi="Arial"/>
          <w:sz w:val="19"/>
          <w:szCs w:val="19"/>
          <w:color w:val="auto"/>
        </w:rPr>
        <w:t>A material breach by the Company of this Agreement or any other written agreement between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parties.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to cure the condition;</w:t>
      </w:r>
    </w:p>
    <w:p>
      <w:pPr>
        <w:spacing w:after="0" w:line="3" w:lineRule="exact"/>
        <w:rPr>
          <w:sz w:val="20"/>
          <w:szCs w:val="20"/>
          <w:color w:val="auto"/>
        </w:rPr>
      </w:pPr>
    </w:p>
    <w:p>
      <w:pPr>
        <w:jc w:val="both"/>
        <w:ind w:firstLine="8"/>
        <w:spacing w:after="0" w:line="233" w:lineRule="auto"/>
        <w:tabs>
          <w:tab w:leader="none" w:pos="4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following expiration of the Cure Period as determined by the Company; and (v) Executive terminates his employment within sixty (60) days after the end of the Cure Period. If the Company cures the Good Reason condition during the Cure Period, Good Reason shall be deemed not to have occurred.</w:t>
      </w:r>
    </w:p>
    <w:p>
      <w:pPr>
        <w:spacing w:after="0" w:line="21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Required Postponement for Specified Executives</w:t>
      </w:r>
      <w:r>
        <w:rPr>
          <w:rFonts w:ascii="Arial" w:cs="Arial" w:eastAsia="Arial" w:hAnsi="Arial"/>
          <w:sz w:val="22"/>
          <w:szCs w:val="22"/>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w:t>
      </w:r>
    </w:p>
    <w:p>
      <w:pPr>
        <w:spacing w:after="0" w:line="185"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jc w:val="both"/>
        <w:spacing w:after="0" w:line="238" w:lineRule="auto"/>
        <w:rPr>
          <w:sz w:val="20"/>
          <w:szCs w:val="20"/>
          <w:color w:val="auto"/>
        </w:rPr>
      </w:pPr>
      <w:r>
        <w:rPr>
          <w:rFonts w:ascii="Arial" w:cs="Arial" w:eastAsia="Arial" w:hAnsi="Arial"/>
          <w:sz w:val="22"/>
          <w:szCs w:val="22"/>
          <w:color w:val="auto"/>
        </w:rPr>
        <w:t>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06" w:lineRule="exact"/>
        <w:rPr>
          <w:sz w:val="20"/>
          <w:szCs w:val="20"/>
          <w:color w:val="auto"/>
        </w:rPr>
      </w:pPr>
    </w:p>
    <w:p>
      <w:pPr>
        <w:jc w:val="both"/>
        <w:ind w:firstLine="872"/>
        <w:spacing w:after="0" w:line="278" w:lineRule="auto"/>
        <w:tabs>
          <w:tab w:leader="none" w:pos="1674"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Non-Exclusivity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Agreement shall prevent or limit Executive’s continuing 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172" w:lineRule="exact"/>
        <w:rPr>
          <w:rFonts w:ascii="Arial" w:cs="Arial" w:eastAsia="Arial" w:hAnsi="Arial"/>
          <w:sz w:val="19"/>
          <w:szCs w:val="19"/>
          <w:b w:val="1"/>
          <w:bCs w:val="1"/>
          <w:color w:val="auto"/>
        </w:rPr>
      </w:pPr>
    </w:p>
    <w:p>
      <w:pPr>
        <w:jc w:val="both"/>
        <w:ind w:firstLine="872"/>
        <w:spacing w:after="0" w:line="275" w:lineRule="auto"/>
        <w:tabs>
          <w:tab w:leader="none" w:pos="1674"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Executive’s services to the Company are of a special, unique and</w:t>
      </w:r>
      <w:r>
        <w:rPr>
          <w:rFonts w:ascii="Arial" w:cs="Arial" w:eastAsia="Arial" w:hAnsi="Arial"/>
          <w:sz w:val="19"/>
          <w:szCs w:val="19"/>
          <w:b w:val="1"/>
          <w:bCs w:val="1"/>
          <w:color w:val="auto"/>
        </w:rPr>
        <w:t xml:space="preserve"> </w:t>
      </w:r>
      <w:r>
        <w:rPr>
          <w:rFonts w:ascii="Arial" w:cs="Arial" w:eastAsia="Arial" w:hAnsi="Arial"/>
          <w:sz w:val="19"/>
          <w:szCs w:val="19"/>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183" w:lineRule="exact"/>
        <w:rPr>
          <w:sz w:val="20"/>
          <w:szCs w:val="20"/>
          <w:color w:val="auto"/>
        </w:rPr>
      </w:pPr>
    </w:p>
    <w:p>
      <w:pPr>
        <w:jc w:val="both"/>
        <w:ind w:firstLine="872"/>
        <w:spacing w:after="0" w:line="273" w:lineRule="auto"/>
        <w:tabs>
          <w:tab w:leader="none" w:pos="1751" w:val="left"/>
        </w:tabs>
        <w:numPr>
          <w:ilvl w:val="0"/>
          <w:numId w:val="77"/>
        </w:numPr>
        <w:rPr>
          <w:rFonts w:ascii="Arial" w:cs="Arial" w:eastAsia="Arial" w:hAnsi="Arial"/>
          <w:sz w:val="19"/>
          <w:szCs w:val="19"/>
          <w:color w:val="auto"/>
        </w:rPr>
      </w:pPr>
      <w:r>
        <w:rPr>
          <w:rFonts w:ascii="Arial" w:cs="Arial" w:eastAsia="Arial" w:hAnsi="Arial"/>
          <w:sz w:val="19"/>
          <w:szCs w:val="19"/>
          <w:color w:val="auto"/>
        </w:rPr>
        <w:t>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w:t>
      </w:r>
      <w:r>
        <w:rPr>
          <w:rFonts w:ascii="Arial" w:cs="Arial" w:eastAsia="Arial" w:hAnsi="Arial"/>
          <w:sz w:val="19"/>
          <w:szCs w:val="19"/>
          <w:b w:val="1"/>
          <w:bCs w:val="1"/>
          <w:i w:val="1"/>
          <w:i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except as may be required in the ordinary course of performing Executive’s duties as an employee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182" w:lineRule="exact"/>
        <w:rPr>
          <w:rFonts w:ascii="Arial" w:cs="Arial" w:eastAsia="Arial" w:hAnsi="Arial"/>
          <w:sz w:val="19"/>
          <w:szCs w:val="19"/>
          <w:color w:val="auto"/>
        </w:rPr>
      </w:pPr>
    </w:p>
    <w:p>
      <w:pPr>
        <w:ind w:firstLine="872"/>
        <w:spacing w:after="0" w:line="250" w:lineRule="auto"/>
        <w:tabs>
          <w:tab w:leader="none" w:pos="1763"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above restrictions shall not apply to: (i) information that at the time of disclosure is in the public domain through no fault of Executive; (ii) information received from a</w:t>
      </w:r>
    </w:p>
    <w:p>
      <w:pPr>
        <w:spacing w:after="0" w:line="175"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p>
      <w:pPr>
        <w:jc w:val="both"/>
        <w:spacing w:after="0" w:line="270" w:lineRule="auto"/>
        <w:rPr>
          <w:sz w:val="20"/>
          <w:szCs w:val="20"/>
          <w:color w:val="auto"/>
        </w:rPr>
      </w:pPr>
      <w:r>
        <w:rPr>
          <w:rFonts w:ascii="Arial" w:cs="Arial" w:eastAsia="Arial" w:hAnsi="Arial"/>
          <w:sz w:val="19"/>
          <w:szCs w:val="19"/>
          <w:color w:val="auto"/>
        </w:rPr>
        <w:t>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w:t>
      </w:r>
    </w:p>
    <w:p>
      <w:pPr>
        <w:spacing w:after="0" w:line="1" w:lineRule="exact"/>
        <w:rPr>
          <w:sz w:val="20"/>
          <w:szCs w:val="20"/>
          <w:color w:val="auto"/>
        </w:rPr>
      </w:pPr>
    </w:p>
    <w:p>
      <w:pPr>
        <w:jc w:val="both"/>
        <w:ind w:firstLine="8"/>
        <w:spacing w:after="0" w:line="234" w:lineRule="auto"/>
        <w:tabs>
          <w:tab w:leader="none" w:pos="368"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214" w:lineRule="exact"/>
        <w:rPr>
          <w:rFonts w:ascii="Arial" w:cs="Arial" w:eastAsia="Arial" w:hAnsi="Arial"/>
          <w:sz w:val="22"/>
          <w:szCs w:val="22"/>
          <w:color w:val="auto"/>
        </w:rPr>
      </w:pPr>
    </w:p>
    <w:p>
      <w:pPr>
        <w:jc w:val="both"/>
        <w:ind w:firstLine="872"/>
        <w:spacing w:after="0" w:line="273" w:lineRule="auto"/>
        <w:tabs>
          <w:tab w:leader="none" w:pos="1751" w:val="left"/>
        </w:tabs>
        <w:numPr>
          <w:ilvl w:val="1"/>
          <w:numId w:val="78"/>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main office.</w:t>
      </w:r>
    </w:p>
    <w:p>
      <w:pPr>
        <w:spacing w:after="0" w:line="182" w:lineRule="exact"/>
        <w:rPr>
          <w:rFonts w:ascii="Arial" w:cs="Arial" w:eastAsia="Arial" w:hAnsi="Arial"/>
          <w:sz w:val="19"/>
          <w:szCs w:val="19"/>
          <w:color w:val="auto"/>
        </w:rPr>
      </w:pPr>
    </w:p>
    <w:p>
      <w:pPr>
        <w:jc w:val="both"/>
        <w:ind w:firstLine="872"/>
        <w:spacing w:after="0" w:line="245" w:lineRule="auto"/>
        <w:tabs>
          <w:tab w:leader="none" w:pos="1763" w:val="left"/>
        </w:tabs>
        <w:numPr>
          <w:ilvl w:val="1"/>
          <w:numId w:val="78"/>
        </w:numPr>
        <w:rPr>
          <w:rFonts w:ascii="Arial" w:cs="Arial" w:eastAsia="Arial" w:hAnsi="Arial"/>
          <w:sz w:val="21"/>
          <w:szCs w:val="21"/>
          <w:color w:val="auto"/>
        </w:rPr>
      </w:pPr>
      <w:r>
        <w:rPr>
          <w:rFonts w:ascii="Arial" w:cs="Arial" w:eastAsia="Arial" w:hAnsi="Arial"/>
          <w:sz w:val="21"/>
          <w:szCs w:val="21"/>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11" w:lineRule="exact"/>
        <w:rPr>
          <w:rFonts w:ascii="Arial" w:cs="Arial" w:eastAsia="Arial" w:hAnsi="Arial"/>
          <w:sz w:val="21"/>
          <w:szCs w:val="21"/>
          <w:color w:val="auto"/>
        </w:rPr>
      </w:pPr>
    </w:p>
    <w:p>
      <w:pPr>
        <w:jc w:val="both"/>
        <w:ind w:firstLine="872"/>
        <w:spacing w:after="0" w:line="238" w:lineRule="auto"/>
        <w:tabs>
          <w:tab w:leader="none" w:pos="1751" w:val="left"/>
        </w:tabs>
        <w:numPr>
          <w:ilvl w:val="1"/>
          <w:numId w:val="78"/>
        </w:numPr>
        <w:rPr>
          <w:rFonts w:ascii="Arial" w:cs="Arial" w:eastAsia="Arial" w:hAnsi="Arial"/>
          <w:sz w:val="22"/>
          <w:szCs w:val="22"/>
          <w:color w:val="auto"/>
        </w:rPr>
      </w:pPr>
      <w:r>
        <w:rPr>
          <w:rFonts w:ascii="Arial" w:cs="Arial" w:eastAsia="Arial" w:hAnsi="Arial"/>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w:t>
      </w:r>
    </w:p>
    <w:p>
      <w:pPr>
        <w:spacing w:after="0" w:line="185"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ind w:left="10140"/>
        <w:spacing w:after="0"/>
        <w:rPr>
          <w:sz w:val="20"/>
          <w:szCs w:val="20"/>
          <w:color w:val="auto"/>
        </w:rPr>
      </w:pPr>
      <w:r>
        <w:rPr>
          <w:rFonts w:ascii="Arial" w:cs="Arial" w:eastAsia="Arial" w:hAnsi="Arial"/>
          <w:sz w:val="13"/>
          <w:szCs w:val="13"/>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spacing w:after="0" w:line="250" w:lineRule="auto"/>
        <w:rPr>
          <w:sz w:val="20"/>
          <w:szCs w:val="20"/>
          <w:color w:val="auto"/>
        </w:rPr>
      </w:pPr>
      <w:r>
        <w:rPr>
          <w:rFonts w:ascii="Arial" w:cs="Arial" w:eastAsia="Arial" w:hAnsi="Arial"/>
          <w:sz w:val="22"/>
          <w:szCs w:val="22"/>
          <w:color w:val="auto"/>
        </w:rPr>
        <w:t>or investigating a suspected violation of law; or (ii) is made in a complaint or other document filed in a lawsuit or other proceeding, if such filing is made under seal.</w:t>
      </w:r>
    </w:p>
    <w:p>
      <w:pPr>
        <w:spacing w:after="0" w:line="196" w:lineRule="exact"/>
        <w:rPr>
          <w:sz w:val="20"/>
          <w:szCs w:val="20"/>
          <w:color w:val="auto"/>
        </w:rPr>
      </w:pPr>
    </w:p>
    <w:p>
      <w:pPr>
        <w:ind w:left="1680" w:hanging="808"/>
        <w:spacing w:after="0"/>
        <w:tabs>
          <w:tab w:leader="none" w:pos="168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i w:val="1"/>
          <w:iCs w:val="1"/>
          <w:color w:val="auto"/>
        </w:rPr>
        <w:t>.</w:t>
      </w:r>
    </w:p>
    <w:p>
      <w:pPr>
        <w:spacing w:after="0" w:line="239" w:lineRule="exact"/>
        <w:rPr>
          <w:sz w:val="20"/>
          <w:szCs w:val="20"/>
          <w:color w:val="auto"/>
        </w:rPr>
      </w:pPr>
    </w:p>
    <w:p>
      <w:pPr>
        <w:jc w:val="both"/>
        <w:ind w:firstLine="872"/>
        <w:spacing w:after="0" w:line="270" w:lineRule="auto"/>
        <w:tabs>
          <w:tab w:leader="none" w:pos="1751"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that (i) relates to the business of the Company or any of the products or services being developed, manufactured or sold by the Company or which may be used in relation therewith,</w:t>
      </w:r>
    </w:p>
    <w:p>
      <w:pPr>
        <w:spacing w:after="0" w:line="1" w:lineRule="exact"/>
        <w:rPr>
          <w:rFonts w:ascii="Arial" w:cs="Arial" w:eastAsia="Arial" w:hAnsi="Arial"/>
          <w:sz w:val="19"/>
          <w:szCs w:val="19"/>
          <w:color w:val="auto"/>
        </w:rPr>
      </w:pPr>
    </w:p>
    <w:p>
      <w:pPr>
        <w:jc w:val="both"/>
        <w:ind w:firstLine="8"/>
        <w:spacing w:after="0" w:line="243" w:lineRule="auto"/>
        <w:tabs>
          <w:tab w:leader="none" w:pos="355" w:val="left"/>
        </w:tabs>
        <w:numPr>
          <w:ilvl w:val="0"/>
          <w:numId w:val="81"/>
        </w:numPr>
        <w:rPr>
          <w:rFonts w:ascii="Arial" w:cs="Arial" w:eastAsia="Arial" w:hAnsi="Arial"/>
          <w:sz w:val="21"/>
          <w:szCs w:val="21"/>
          <w:color w:val="auto"/>
        </w:rPr>
      </w:pPr>
      <w:r>
        <w:rPr>
          <w:rFonts w:ascii="Arial" w:cs="Arial" w:eastAsia="Arial" w:hAnsi="Arial"/>
          <w:sz w:val="21"/>
          <w:szCs w:val="21"/>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214" w:lineRule="exact"/>
        <w:rPr>
          <w:rFonts w:ascii="Arial" w:cs="Arial" w:eastAsia="Arial" w:hAnsi="Arial"/>
          <w:sz w:val="21"/>
          <w:szCs w:val="21"/>
          <w:color w:val="auto"/>
        </w:rPr>
      </w:pPr>
    </w:p>
    <w:p>
      <w:pPr>
        <w:jc w:val="both"/>
        <w:ind w:firstLine="872"/>
        <w:spacing w:after="0"/>
        <w:tabs>
          <w:tab w:leader="none" w:pos="1763" w:val="left"/>
        </w:tabs>
        <w:numPr>
          <w:ilvl w:val="1"/>
          <w:numId w:val="81"/>
        </w:numPr>
        <w:rPr>
          <w:rFonts w:ascii="Arial" w:cs="Arial" w:eastAsia="Arial" w:hAnsi="Arial"/>
          <w:sz w:val="22"/>
          <w:szCs w:val="22"/>
          <w:color w:val="auto"/>
        </w:rPr>
      </w:pPr>
      <w:r>
        <w:rPr>
          <w:rFonts w:ascii="Arial" w:cs="Arial" w:eastAsia="Arial" w:hAnsi="Arial"/>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13" w:lineRule="exact"/>
        <w:rPr>
          <w:rFonts w:ascii="Arial" w:cs="Arial" w:eastAsia="Arial" w:hAnsi="Arial"/>
          <w:sz w:val="22"/>
          <w:szCs w:val="22"/>
          <w:color w:val="auto"/>
        </w:rPr>
      </w:pPr>
    </w:p>
    <w:p>
      <w:pPr>
        <w:jc w:val="both"/>
        <w:ind w:firstLine="1735"/>
        <w:spacing w:after="0"/>
        <w:tabs>
          <w:tab w:leader="none" w:pos="2579" w:val="left"/>
        </w:tabs>
        <w:numPr>
          <w:ilvl w:val="2"/>
          <w:numId w:val="81"/>
        </w:numPr>
        <w:rPr>
          <w:rFonts w:ascii="Arial" w:cs="Arial" w:eastAsia="Arial" w:hAnsi="Arial"/>
          <w:sz w:val="22"/>
          <w:szCs w:val="22"/>
          <w:color w:val="auto"/>
        </w:rPr>
      </w:pPr>
      <w:r>
        <w:rPr>
          <w:rFonts w:ascii="Arial" w:cs="Arial" w:eastAsia="Arial" w:hAnsi="Arial"/>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13" w:lineRule="exact"/>
        <w:rPr>
          <w:rFonts w:ascii="Arial" w:cs="Arial" w:eastAsia="Arial" w:hAnsi="Arial"/>
          <w:sz w:val="22"/>
          <w:szCs w:val="22"/>
          <w:color w:val="auto"/>
        </w:rPr>
      </w:pPr>
    </w:p>
    <w:p>
      <w:pPr>
        <w:ind w:firstLine="1735"/>
        <w:spacing w:after="0" w:line="274" w:lineRule="auto"/>
        <w:tabs>
          <w:tab w:leader="none" w:pos="2639" w:val="left"/>
        </w:tabs>
        <w:numPr>
          <w:ilvl w:val="2"/>
          <w:numId w:val="81"/>
        </w:numPr>
        <w:rPr>
          <w:rFonts w:ascii="Arial" w:cs="Arial" w:eastAsia="Arial" w:hAnsi="Arial"/>
          <w:sz w:val="21"/>
          <w:szCs w:val="21"/>
          <w:color w:val="auto"/>
        </w:rPr>
      </w:pPr>
      <w:r>
        <w:rPr>
          <w:rFonts w:ascii="Arial" w:cs="Arial" w:eastAsia="Arial" w:hAnsi="Arial"/>
          <w:sz w:val="21"/>
          <w:szCs w:val="21"/>
          <w:color w:val="auto"/>
        </w:rPr>
        <w:t>to defend any opposition proceedings in respect of such applications and any opposition proceedings or petitions or applications for revocation of such letters patent, copyright or other analogous protection.</w:t>
      </w:r>
    </w:p>
    <w:p>
      <w:pPr>
        <w:spacing w:after="0" w:line="177" w:lineRule="exact"/>
        <w:rPr>
          <w:rFonts w:ascii="Arial" w:cs="Arial" w:eastAsia="Arial" w:hAnsi="Arial"/>
          <w:sz w:val="21"/>
          <w:szCs w:val="21"/>
          <w:color w:val="auto"/>
        </w:rPr>
      </w:pPr>
    </w:p>
    <w:p>
      <w:pPr>
        <w:jc w:val="both"/>
        <w:ind w:firstLine="872"/>
        <w:spacing w:after="0" w:line="246" w:lineRule="auto"/>
        <w:tabs>
          <w:tab w:leader="none" w:pos="1751" w:val="left"/>
        </w:tabs>
        <w:numPr>
          <w:ilvl w:val="1"/>
          <w:numId w:val="81"/>
        </w:numPr>
        <w:rPr>
          <w:rFonts w:ascii="Arial" w:cs="Arial" w:eastAsia="Arial" w:hAnsi="Arial"/>
          <w:sz w:val="21"/>
          <w:szCs w:val="21"/>
          <w:color w:val="auto"/>
        </w:rPr>
      </w:pPr>
      <w:r>
        <w:rPr>
          <w:rFonts w:ascii="Arial" w:cs="Arial" w:eastAsia="Arial" w:hAnsi="Arial"/>
          <w:sz w:val="21"/>
          <w:szCs w:val="21"/>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his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200" w:lineRule="exact"/>
        <w:rPr>
          <w:sz w:val="20"/>
          <w:szCs w:val="20"/>
          <w:color w:val="auto"/>
        </w:rPr>
      </w:pPr>
    </w:p>
    <w:p>
      <w:pPr>
        <w:spacing w:after="0" w:line="227"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jc w:val="both"/>
        <w:ind w:firstLine="872"/>
        <w:spacing w:after="0" w:line="272" w:lineRule="auto"/>
        <w:tabs>
          <w:tab w:leader="none" w:pos="1674"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with the Company and for a period of twelve (12)</w:t>
      </w:r>
      <w:r>
        <w:rPr>
          <w:rFonts w:ascii="Arial" w:cs="Arial" w:eastAsia="Arial" w:hAnsi="Arial"/>
          <w:sz w:val="19"/>
          <w:szCs w:val="19"/>
          <w:b w:val="1"/>
          <w:bCs w:val="1"/>
          <w:color w:val="auto"/>
        </w:rPr>
        <w:t xml:space="preserve"> </w:t>
      </w:r>
      <w:r>
        <w:rPr>
          <w:rFonts w:ascii="Arial" w:cs="Arial" w:eastAsia="Arial" w:hAnsi="Arial"/>
          <w:sz w:val="19"/>
          <w:szCs w:val="19"/>
          <w:color w:val="auto"/>
        </w:rPr>
        <w:t>months after termination of Executive’s employment (for any reason whatsoever, whether voluntary or involuntary) (the “</w:t>
      </w:r>
      <w:r>
        <w:rPr>
          <w:rFonts w:ascii="Arial" w:cs="Arial" w:eastAsia="Arial" w:hAnsi="Arial"/>
          <w:sz w:val="19"/>
          <w:szCs w:val="19"/>
          <w:b w:val="1"/>
          <w:bCs w:val="1"/>
          <w:i w:val="1"/>
          <w:iCs w:val="1"/>
          <w:color w:val="auto"/>
        </w:rPr>
        <w:t>Non-Competition Period</w:t>
      </w:r>
      <w:r>
        <w:rPr>
          <w:rFonts w:ascii="Arial" w:cs="Arial" w:eastAsia="Arial" w:hAnsi="Arial"/>
          <w:sz w:val="19"/>
          <w:szCs w:val="19"/>
          <w:color w:val="auto"/>
        </w:rPr>
        <w:t>”), Executive shall not, without the prior written approval of the Board, whether alone or as a partner, officer,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director, 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traffic control solutions, which include without limitation, photo, speed and red light automated enforcement technologies, parking systems, electronic toll collection, toll and traffic violation enforcement management, automated revenue collection processing systems and software, related transaction processing operations for any of the foregoing, and any other products or services offered, conducted, authorized or provided by the Company during the last twelve (12) months of Executive’s employment (the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in 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 .</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198" w:lineRule="exact"/>
        <w:rPr>
          <w:sz w:val="20"/>
          <w:szCs w:val="20"/>
          <w:color w:val="auto"/>
        </w:rPr>
      </w:pPr>
    </w:p>
    <w:p>
      <w:pPr>
        <w:jc w:val="both"/>
        <w:ind w:firstLine="872"/>
        <w:spacing w:after="0" w:line="243" w:lineRule="auto"/>
        <w:tabs>
          <w:tab w:leader="none" w:pos="1674"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eighteen (18)</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termination of such employment (for any reason, whether voluntary or involuntary), Executive agrees that Executive will not:</w:t>
      </w:r>
    </w:p>
    <w:p>
      <w:pPr>
        <w:spacing w:after="0" w:line="210" w:lineRule="exact"/>
        <w:rPr>
          <w:sz w:val="20"/>
          <w:szCs w:val="20"/>
          <w:color w:val="auto"/>
        </w:rPr>
      </w:pPr>
    </w:p>
    <w:p>
      <w:pPr>
        <w:jc w:val="both"/>
        <w:ind w:firstLine="872"/>
        <w:spacing w:after="0" w:line="279" w:lineRule="auto"/>
        <w:tabs>
          <w:tab w:leader="none" w:pos="1751" w:val="left"/>
        </w:tabs>
        <w:numPr>
          <w:ilvl w:val="0"/>
          <w:numId w:val="84"/>
        </w:numPr>
        <w:rPr>
          <w:rFonts w:ascii="Arial" w:cs="Arial" w:eastAsia="Arial" w:hAnsi="Arial"/>
          <w:sz w:val="19"/>
          <w:szCs w:val="19"/>
          <w:color w:val="auto"/>
        </w:rPr>
      </w:pPr>
      <w:r>
        <w:rPr>
          <w:rFonts w:ascii="Arial" w:cs="Arial" w:eastAsia="Arial" w:hAnsi="Arial"/>
          <w:sz w:val="19"/>
          <w:szCs w:val="19"/>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 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177" w:lineRule="exact"/>
        <w:rPr>
          <w:rFonts w:ascii="Arial" w:cs="Arial" w:eastAsia="Arial" w:hAnsi="Arial"/>
          <w:sz w:val="19"/>
          <w:szCs w:val="19"/>
          <w:color w:val="auto"/>
        </w:rPr>
      </w:pPr>
    </w:p>
    <w:p>
      <w:pPr>
        <w:jc w:val="both"/>
        <w:ind w:firstLine="872"/>
        <w:spacing w:after="0" w:line="236" w:lineRule="auto"/>
        <w:tabs>
          <w:tab w:leader="none" w:pos="1763" w:val="left"/>
        </w:tabs>
        <w:numPr>
          <w:ilvl w:val="0"/>
          <w:numId w:val="84"/>
        </w:numPr>
        <w:rPr>
          <w:rFonts w:ascii="Arial" w:cs="Arial" w:eastAsia="Arial" w:hAnsi="Arial"/>
          <w:sz w:val="22"/>
          <w:szCs w:val="22"/>
          <w:color w:val="auto"/>
        </w:rPr>
      </w:pPr>
      <w:r>
        <w:rPr>
          <w:rFonts w:ascii="Arial" w:cs="Arial" w:eastAsia="Arial" w:hAnsi="Arial"/>
          <w:sz w:val="22"/>
          <w:szCs w:val="22"/>
          <w:color w:val="auto"/>
        </w:rPr>
        <w:t>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w:t>
      </w:r>
    </w:p>
    <w:p>
      <w:pPr>
        <w:spacing w:after="0" w:line="187"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1" w:name="page132"/>
    <w:bookmarkEnd w:id="131"/>
    <w:p>
      <w:pPr>
        <w:jc w:val="both"/>
        <w:ind w:firstLine="872"/>
        <w:spacing w:after="0" w:line="271" w:lineRule="auto"/>
        <w:tabs>
          <w:tab w:leader="none" w:pos="1674"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and at all times following Executive’s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for any reason, Executive agrees not to make, or knowingly cause to be made, any public disparaging statement or public communication, written or oral, concerning the Company, or otherwise impugn the business or management of, damage the reputation of, or interfere with the normal operations of the Company or any of its respective past or present employees, executives, officers, directors, shareholders, members, managers, 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rFonts w:ascii="Arial" w:cs="Arial" w:eastAsia="Arial" w:hAnsi="Arial"/>
          <w:sz w:val="19"/>
          <w:szCs w:val="19"/>
          <w:b w:val="1"/>
          <w:bCs w:val="1"/>
          <w:color w:val="auto"/>
        </w:rPr>
      </w:pPr>
    </w:p>
    <w:p>
      <w:pPr>
        <w:spacing w:after="0" w:line="226" w:lineRule="exact"/>
        <w:rPr>
          <w:rFonts w:ascii="Arial" w:cs="Arial" w:eastAsia="Arial" w:hAnsi="Arial"/>
          <w:sz w:val="19"/>
          <w:szCs w:val="19"/>
          <w:b w:val="1"/>
          <w:bCs w:val="1"/>
          <w:color w:val="auto"/>
        </w:rPr>
      </w:pPr>
    </w:p>
    <w:p>
      <w:pPr>
        <w:ind w:left="1780" w:hanging="908"/>
        <w:spacing w:after="0"/>
        <w:tabs>
          <w:tab w:leader="none" w:pos="178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72"/>
        <w:spacing w:after="0"/>
        <w:tabs>
          <w:tab w:leader="none" w:pos="17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213" w:lineRule="exact"/>
        <w:rPr>
          <w:rFonts w:ascii="Arial" w:cs="Arial" w:eastAsia="Arial" w:hAnsi="Arial"/>
          <w:sz w:val="22"/>
          <w:szCs w:val="22"/>
          <w:color w:val="auto"/>
        </w:rPr>
      </w:pPr>
    </w:p>
    <w:p>
      <w:pPr>
        <w:jc w:val="both"/>
        <w:ind w:firstLine="872"/>
        <w:spacing w:after="0" w:line="272" w:lineRule="auto"/>
        <w:tabs>
          <w:tab w:leader="none" w:pos="1763" w:val="left"/>
        </w:tabs>
        <w:numPr>
          <w:ilvl w:val="0"/>
          <w:numId w:val="86"/>
        </w:numPr>
        <w:rPr>
          <w:rFonts w:ascii="Arial" w:cs="Arial" w:eastAsia="Arial" w:hAnsi="Arial"/>
          <w:sz w:val="19"/>
          <w:szCs w:val="19"/>
          <w:color w:val="auto"/>
        </w:rPr>
      </w:pPr>
      <w:r>
        <w:rPr>
          <w:rFonts w:ascii="Arial" w:cs="Arial" w:eastAsia="Arial" w:hAnsi="Arial"/>
          <w:sz w:val="19"/>
          <w:szCs w:val="19"/>
          <w:color w:val="auto"/>
        </w:rPr>
        <w:t>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 Executive recognizes and agrees that the Company competes and provides its products and services in numerous jurisdictions throughout the word,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w:t>
      </w:r>
    </w:p>
    <w:p>
      <w:pPr>
        <w:spacing w:after="0" w:line="161"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2" w:name="page133"/>
    <w:bookmarkEnd w:id="132"/>
    <w:p>
      <w:pPr>
        <w:jc w:val="both"/>
        <w:spacing w:after="0"/>
        <w:rPr>
          <w:sz w:val="20"/>
          <w:szCs w:val="20"/>
          <w:color w:val="auto"/>
        </w:rPr>
      </w:pPr>
      <w:r>
        <w:rPr>
          <w:rFonts w:ascii="Arial" w:cs="Arial" w:eastAsia="Arial" w:hAnsi="Arial"/>
          <w:sz w:val="22"/>
          <w:szCs w:val="22"/>
          <w:color w:val="auto"/>
        </w:rPr>
        <w:t>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213" w:lineRule="exact"/>
        <w:rPr>
          <w:sz w:val="20"/>
          <w:szCs w:val="20"/>
          <w:color w:val="auto"/>
        </w:rPr>
      </w:pPr>
    </w:p>
    <w:p>
      <w:pPr>
        <w:jc w:val="both"/>
        <w:ind w:firstLine="872"/>
        <w:spacing w:after="0" w:line="275" w:lineRule="auto"/>
        <w:tabs>
          <w:tab w:leader="none" w:pos="1751" w:val="left"/>
        </w:tabs>
        <w:numPr>
          <w:ilvl w:val="0"/>
          <w:numId w:val="87"/>
        </w:numPr>
        <w:rPr>
          <w:rFonts w:ascii="Arial" w:cs="Arial" w:eastAsia="Arial" w:hAnsi="Arial"/>
          <w:sz w:val="19"/>
          <w:szCs w:val="19"/>
          <w:color w:val="auto"/>
        </w:rPr>
      </w:pPr>
      <w:r>
        <w:rPr>
          <w:rFonts w:ascii="Arial" w:cs="Arial" w:eastAsia="Arial" w:hAnsi="Arial"/>
          <w:sz w:val="19"/>
          <w:szCs w:val="19"/>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184" w:lineRule="exact"/>
        <w:rPr>
          <w:rFonts w:ascii="Arial" w:cs="Arial" w:eastAsia="Arial" w:hAnsi="Arial"/>
          <w:sz w:val="19"/>
          <w:szCs w:val="19"/>
          <w:color w:val="auto"/>
        </w:rPr>
      </w:pPr>
    </w:p>
    <w:p>
      <w:pPr>
        <w:jc w:val="both"/>
        <w:ind w:firstLine="872"/>
        <w:spacing w:after="0" w:line="297" w:lineRule="auto"/>
        <w:tabs>
          <w:tab w:leader="none" w:pos="1763" w:val="left"/>
        </w:tabs>
        <w:numPr>
          <w:ilvl w:val="0"/>
          <w:numId w:val="87"/>
        </w:numPr>
        <w:rPr>
          <w:rFonts w:ascii="Arial" w:cs="Arial" w:eastAsia="Arial" w:hAnsi="Arial"/>
          <w:sz w:val="19"/>
          <w:szCs w:val="19"/>
          <w:color w:val="auto"/>
        </w:rPr>
      </w:pPr>
      <w:r>
        <w:rPr>
          <w:rFonts w:ascii="Arial" w:cs="Arial" w:eastAsia="Arial" w:hAnsi="Arial"/>
          <w:sz w:val="19"/>
          <w:szCs w:val="19"/>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160" w:lineRule="exact"/>
        <w:rPr>
          <w:rFonts w:ascii="Arial" w:cs="Arial" w:eastAsia="Arial" w:hAnsi="Arial"/>
          <w:sz w:val="19"/>
          <w:szCs w:val="19"/>
          <w:color w:val="auto"/>
        </w:rPr>
      </w:pPr>
    </w:p>
    <w:p>
      <w:pPr>
        <w:jc w:val="both"/>
        <w:ind w:firstLine="872"/>
        <w:spacing w:after="0"/>
        <w:tabs>
          <w:tab w:leader="none" w:pos="1751" w:val="left"/>
        </w:tabs>
        <w:numPr>
          <w:ilvl w:val="0"/>
          <w:numId w:val="87"/>
        </w:numPr>
        <w:rPr>
          <w:rFonts w:ascii="Arial" w:cs="Arial" w:eastAsia="Arial" w:hAnsi="Arial"/>
          <w:sz w:val="22"/>
          <w:szCs w:val="22"/>
          <w:color w:val="auto"/>
        </w:rPr>
      </w:pPr>
      <w:r>
        <w:rPr>
          <w:rFonts w:ascii="Arial" w:cs="Arial" w:eastAsia="Arial" w:hAnsi="Arial"/>
          <w:sz w:val="22"/>
          <w:szCs w:val="22"/>
          <w:color w:val="auto"/>
        </w:rPr>
        <w:t>Executive acknowledges and agrees that the payments and benefits to be provided to Executive under this Agreement are provided as, and constitute sufficient and adequate, consideration for the covenants in Sections 5, 6, 7, 8, and 9 hereof.</w:t>
      </w:r>
    </w:p>
    <w:p>
      <w:pPr>
        <w:spacing w:after="0" w:line="213" w:lineRule="exact"/>
        <w:rPr>
          <w:rFonts w:ascii="Arial" w:cs="Arial" w:eastAsia="Arial" w:hAnsi="Arial"/>
          <w:sz w:val="22"/>
          <w:szCs w:val="22"/>
          <w:color w:val="auto"/>
        </w:rPr>
      </w:pPr>
    </w:p>
    <w:p>
      <w:pPr>
        <w:jc w:val="both"/>
        <w:ind w:firstLine="872"/>
        <w:spacing w:after="0" w:line="236" w:lineRule="auto"/>
        <w:tabs>
          <w:tab w:leader="none" w:pos="1727" w:val="left"/>
        </w:tabs>
        <w:numPr>
          <w:ilvl w:val="0"/>
          <w:numId w:val="87"/>
        </w:numPr>
        <w:rPr>
          <w:rFonts w:ascii="Arial" w:cs="Arial" w:eastAsia="Arial" w:hAnsi="Arial"/>
          <w:sz w:val="22"/>
          <w:szCs w:val="22"/>
          <w:color w:val="auto"/>
        </w:rPr>
      </w:pPr>
      <w:r>
        <w:rPr>
          <w:rFonts w:ascii="Arial" w:cs="Arial" w:eastAsia="Arial" w:hAnsi="Arial"/>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make them unenforceable.</w:t>
      </w:r>
    </w:p>
    <w:p>
      <w:pPr>
        <w:spacing w:after="0" w:line="208" w:lineRule="exact"/>
        <w:rPr>
          <w:sz w:val="20"/>
          <w:szCs w:val="20"/>
          <w:color w:val="auto"/>
        </w:rPr>
      </w:pPr>
    </w:p>
    <w:p>
      <w:pPr>
        <w:jc w:val="both"/>
        <w:ind w:firstLine="872"/>
        <w:spacing w:after="0" w:line="243" w:lineRule="auto"/>
        <w:tabs>
          <w:tab w:leader="none" w:pos="177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the following to the Company,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acknowledges is a material inducement to the Company’s willingness to enter into this Agreement and a material provision of this Agreement:</w:t>
      </w:r>
    </w:p>
    <w:p>
      <w:pPr>
        <w:spacing w:after="0" w:line="210" w:lineRule="exact"/>
        <w:rPr>
          <w:sz w:val="20"/>
          <w:szCs w:val="20"/>
          <w:color w:val="auto"/>
        </w:rPr>
      </w:pPr>
    </w:p>
    <w:p>
      <w:pPr>
        <w:jc w:val="both"/>
        <w:ind w:firstLine="872"/>
        <w:spacing w:after="0" w:line="235" w:lineRule="auto"/>
        <w:tabs>
          <w:tab w:leader="none" w:pos="1751" w:val="left"/>
        </w:tabs>
        <w:numPr>
          <w:ilvl w:val="0"/>
          <w:numId w:val="89"/>
        </w:numPr>
        <w:rPr>
          <w:rFonts w:ascii="Arial" w:cs="Arial" w:eastAsia="Arial" w:hAnsi="Arial"/>
          <w:sz w:val="22"/>
          <w:szCs w:val="22"/>
          <w:color w:val="auto"/>
        </w:rPr>
      </w:pPr>
      <w:r>
        <w:rPr>
          <w:rFonts w:ascii="Arial" w:cs="Arial" w:eastAsia="Arial" w:hAnsi="Arial"/>
          <w:sz w:val="22"/>
          <w:szCs w:val="22"/>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Arial" w:cs="Arial" w:eastAsia="Arial" w:hAnsi="Arial"/>
          <w:sz w:val="22"/>
          <w:szCs w:val="22"/>
          <w:b w:val="1"/>
          <w:bCs w:val="1"/>
          <w:i w:val="1"/>
          <w:iCs w:val="1"/>
          <w:color w:val="auto"/>
        </w:rPr>
        <w:t>Restrictive Agreement</w:t>
      </w:r>
      <w:r>
        <w:rPr>
          <w:rFonts w:ascii="Arial" w:cs="Arial" w:eastAsia="Arial" w:hAnsi="Arial"/>
          <w:sz w:val="22"/>
          <w:szCs w:val="22"/>
          <w:color w:val="auto"/>
        </w:rPr>
        <w:t>”), and Executive has conducted a thorough review of any and all agreements he may have entered into with any current or former employer or any other relevant party to ensure that this representation and warranty is correct.</w:t>
      </w:r>
    </w:p>
    <w:p>
      <w:pPr>
        <w:spacing w:after="0" w:line="200" w:lineRule="exact"/>
        <w:rPr>
          <w:sz w:val="20"/>
          <w:szCs w:val="20"/>
          <w:color w:val="auto"/>
        </w:rPr>
      </w:pPr>
    </w:p>
    <w:p>
      <w:pPr>
        <w:spacing w:after="0" w:line="231"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ind w:left="10140"/>
        <w:spacing w:after="0"/>
        <w:rPr>
          <w:sz w:val="20"/>
          <w:szCs w:val="20"/>
          <w:color w:val="auto"/>
        </w:rPr>
      </w:pPr>
      <w:r>
        <w:rPr>
          <w:rFonts w:ascii="Arial" w:cs="Arial" w:eastAsia="Arial" w:hAnsi="Arial"/>
          <w:sz w:val="13"/>
          <w:szCs w:val="13"/>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jc w:val="both"/>
        <w:ind w:firstLine="872"/>
        <w:spacing w:after="0"/>
        <w:tabs>
          <w:tab w:leader="none" w:pos="1763"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213" w:lineRule="exact"/>
        <w:rPr>
          <w:rFonts w:ascii="Arial" w:cs="Arial" w:eastAsia="Arial" w:hAnsi="Arial"/>
          <w:sz w:val="22"/>
          <w:szCs w:val="22"/>
          <w:color w:val="auto"/>
        </w:rPr>
      </w:pPr>
    </w:p>
    <w:p>
      <w:pPr>
        <w:ind w:firstLine="872"/>
        <w:spacing w:after="0" w:line="328" w:lineRule="auto"/>
        <w:tabs>
          <w:tab w:leader="none" w:pos="1751"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Executive has not made any material misrepresentation or omission in the course of his communications with the Company regarding the Restrictive Agreements or other obligations to any current or former employer or other third party.</w:t>
      </w:r>
    </w:p>
    <w:p>
      <w:pPr>
        <w:spacing w:after="0" w:line="131" w:lineRule="exact"/>
        <w:rPr>
          <w:rFonts w:ascii="Arial" w:cs="Arial" w:eastAsia="Arial" w:hAnsi="Arial"/>
          <w:sz w:val="19"/>
          <w:szCs w:val="19"/>
          <w:color w:val="auto"/>
        </w:rPr>
      </w:pPr>
    </w:p>
    <w:p>
      <w:pPr>
        <w:jc w:val="both"/>
        <w:ind w:firstLine="872"/>
        <w:spacing w:after="0" w:line="234" w:lineRule="auto"/>
        <w:tabs>
          <w:tab w:leader="none" w:pos="1763"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his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his employment with the Company.</w:t>
      </w:r>
    </w:p>
    <w:p>
      <w:pPr>
        <w:spacing w:after="0" w:line="212" w:lineRule="exact"/>
        <w:rPr>
          <w:sz w:val="20"/>
          <w:szCs w:val="20"/>
          <w:color w:val="auto"/>
        </w:rPr>
      </w:pPr>
    </w:p>
    <w:p>
      <w:pPr>
        <w:jc w:val="both"/>
        <w:ind w:firstLine="872"/>
        <w:spacing w:after="0" w:line="239" w:lineRule="auto"/>
        <w:tabs>
          <w:tab w:leader="none" w:pos="1782"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Survivorship</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rights and obligations of the parties under this Agreement,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those rights and obligations set forth in Sections 5, 6, 7, 8, and 9, shall survive termination of Executive’s employment and any termination of this Agreement for any reason to the extent necessary to the intended preservation of such rights and obligations.</w:t>
      </w:r>
    </w:p>
    <w:p>
      <w:pPr>
        <w:spacing w:after="0" w:line="207" w:lineRule="exact"/>
        <w:rPr>
          <w:rFonts w:ascii="Arial" w:cs="Arial" w:eastAsia="Arial" w:hAnsi="Arial"/>
          <w:sz w:val="22"/>
          <w:szCs w:val="22"/>
          <w:b w:val="1"/>
          <w:bCs w:val="1"/>
          <w:color w:val="auto"/>
        </w:rPr>
      </w:pPr>
    </w:p>
    <w:p>
      <w:pPr>
        <w:jc w:val="both"/>
        <w:ind w:firstLine="872"/>
        <w:spacing w:after="0" w:line="300" w:lineRule="auto"/>
        <w:tabs>
          <w:tab w:leader="none" w:pos="1782"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and other communications required or permitted under this Agreement or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convenient in connection herewith shall be in writing and shall be deemed to have been given when hand-delivered or mailed by registered or certified mail, as follows (provided that notice of change of address shall be deemed given only when received):</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If to the Company, to:</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VM Consolidated, Inc.</w:t>
      </w:r>
    </w:p>
    <w:p>
      <w:pPr>
        <w:ind w:left="1180"/>
        <w:spacing w:after="0" w:line="238" w:lineRule="auto"/>
        <w:rPr>
          <w:sz w:val="20"/>
          <w:szCs w:val="20"/>
          <w:color w:val="auto"/>
        </w:rPr>
      </w:pPr>
      <w:r>
        <w:rPr>
          <w:rFonts w:ascii="Arial" w:cs="Arial" w:eastAsia="Arial" w:hAnsi="Arial"/>
          <w:sz w:val="22"/>
          <w:szCs w:val="22"/>
          <w:color w:val="auto"/>
        </w:rPr>
        <w:t>1150 North Alma School Road</w:t>
      </w:r>
    </w:p>
    <w:p>
      <w:pPr>
        <w:ind w:left="1180"/>
        <w:spacing w:after="0" w:line="230" w:lineRule="auto"/>
        <w:rPr>
          <w:sz w:val="20"/>
          <w:szCs w:val="20"/>
          <w:color w:val="auto"/>
        </w:rPr>
      </w:pPr>
      <w:r>
        <w:rPr>
          <w:rFonts w:ascii="Arial" w:cs="Arial" w:eastAsia="Arial" w:hAnsi="Arial"/>
          <w:sz w:val="22"/>
          <w:szCs w:val="22"/>
          <w:color w:val="auto"/>
        </w:rPr>
        <w:t>Mesa, AZ 85201</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Attn: General Counsel</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If to Executive, to:</w:t>
      </w:r>
    </w:p>
    <w:p>
      <w:pPr>
        <w:spacing w:after="0" w:line="23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The address of his principal residence most recently on file with the Company.</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names or addresses as the Company or Executive, as the case may be, shall designate by notice to each other person entitled to receive notices in the manner specified in this Section.</w:t>
      </w:r>
    </w:p>
    <w:p>
      <w:pPr>
        <w:spacing w:after="0" w:line="196" w:lineRule="exact"/>
        <w:rPr>
          <w:sz w:val="20"/>
          <w:szCs w:val="20"/>
          <w:color w:val="auto"/>
        </w:rPr>
      </w:pPr>
    </w:p>
    <w:p>
      <w:pPr>
        <w:ind w:left="1780" w:hanging="908"/>
        <w:spacing w:after="0"/>
        <w:tabs>
          <w:tab w:leader="none" w:pos="178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Contents of Agreement, Amendment, Interpretation and Assignment</w:t>
      </w:r>
      <w:r>
        <w:rPr>
          <w:rFonts w:ascii="Arial" w:cs="Arial" w:eastAsia="Arial" w:hAnsi="Arial"/>
          <w:sz w:val="22"/>
          <w:szCs w:val="22"/>
          <w:b w:val="1"/>
          <w:bCs w:val="1"/>
          <w:color w:val="auto"/>
        </w:rPr>
        <w:t>.</w:t>
      </w:r>
    </w:p>
    <w:p>
      <w:pPr>
        <w:spacing w:after="0" w:line="239" w:lineRule="exact"/>
        <w:rPr>
          <w:sz w:val="20"/>
          <w:szCs w:val="20"/>
          <w:color w:val="auto"/>
        </w:rPr>
      </w:pPr>
    </w:p>
    <w:p>
      <w:pPr>
        <w:ind w:firstLine="872"/>
        <w:spacing w:after="0" w:line="250" w:lineRule="auto"/>
        <w:tabs>
          <w:tab w:leader="none" w:pos="1751"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between the parties hereto with respect to the subject matter hereof and supersedes any and all prior agreements and</w:t>
      </w:r>
    </w:p>
    <w:p>
      <w:pPr>
        <w:spacing w:after="0" w:line="175"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spacing w:after="0" w:line="274" w:lineRule="auto"/>
        <w:rPr>
          <w:sz w:val="20"/>
          <w:szCs w:val="20"/>
          <w:color w:val="auto"/>
        </w:rPr>
      </w:pPr>
      <w:r>
        <w:rPr>
          <w:rFonts w:ascii="Arial" w:cs="Arial" w:eastAsia="Arial" w:hAnsi="Arial"/>
          <w:sz w:val="21"/>
          <w:szCs w:val="21"/>
          <w:color w:val="auto"/>
        </w:rPr>
        <w:t>understandings concerning Executive’s employment by the Company and cannot be changed or modified except upon written amendment approved by the Board and executed on its behalf by a duly authorized officer and by Executive.</w:t>
      </w:r>
    </w:p>
    <w:p>
      <w:pPr>
        <w:spacing w:after="0" w:line="178" w:lineRule="exact"/>
        <w:rPr>
          <w:sz w:val="20"/>
          <w:szCs w:val="20"/>
          <w:color w:val="auto"/>
        </w:rPr>
      </w:pPr>
    </w:p>
    <w:p>
      <w:pPr>
        <w:ind w:firstLine="872"/>
        <w:spacing w:after="0" w:line="274" w:lineRule="auto"/>
        <w:tabs>
          <w:tab w:leader="none" w:pos="1763"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headings in this Agreement are for convenience only, and both parties agree that they shall not be construed or interpreted to modify or affect the construction or interpretation of any provision of this Agreement.</w:t>
      </w:r>
    </w:p>
    <w:p>
      <w:pPr>
        <w:spacing w:after="0" w:line="177" w:lineRule="exact"/>
        <w:rPr>
          <w:rFonts w:ascii="Arial" w:cs="Arial" w:eastAsia="Arial" w:hAnsi="Arial"/>
          <w:sz w:val="21"/>
          <w:szCs w:val="21"/>
          <w:color w:val="auto"/>
        </w:rPr>
      </w:pPr>
    </w:p>
    <w:p>
      <w:pPr>
        <w:jc w:val="both"/>
        <w:ind w:firstLine="872"/>
        <w:spacing w:after="0" w:line="238" w:lineRule="auto"/>
        <w:tabs>
          <w:tab w:leader="none" w:pos="1751"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206" w:lineRule="exact"/>
        <w:rPr>
          <w:sz w:val="20"/>
          <w:szCs w:val="20"/>
          <w:color w:val="auto"/>
        </w:rPr>
      </w:pPr>
    </w:p>
    <w:p>
      <w:pPr>
        <w:jc w:val="both"/>
        <w:ind w:firstLine="872"/>
        <w:spacing w:after="0" w:line="249" w:lineRule="auto"/>
        <w:tabs>
          <w:tab w:leader="none" w:pos="1782"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Agreement or application thereof to anyone or under any circumstances</w:t>
      </w:r>
      <w:r>
        <w:rPr>
          <w:rFonts w:ascii="Arial" w:cs="Arial" w:eastAsia="Arial" w:hAnsi="Arial"/>
          <w:sz w:val="21"/>
          <w:szCs w:val="21"/>
          <w:b w:val="1"/>
          <w:bCs w:val="1"/>
          <w:color w:val="auto"/>
        </w:rPr>
        <w:t xml:space="preserve"> </w:t>
      </w:r>
      <w:r>
        <w:rPr>
          <w:rFonts w:ascii="Arial" w:cs="Arial" w:eastAsia="Arial" w:hAnsi="Arial"/>
          <w:sz w:val="21"/>
          <w:szCs w:val="21"/>
          <w:color w:val="auto"/>
        </w:rPr>
        <w:t>is 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197" w:lineRule="exact"/>
        <w:rPr>
          <w:rFonts w:ascii="Arial" w:cs="Arial" w:eastAsia="Arial" w:hAnsi="Arial"/>
          <w:sz w:val="21"/>
          <w:szCs w:val="21"/>
          <w:b w:val="1"/>
          <w:bCs w:val="1"/>
          <w:color w:val="auto"/>
        </w:rPr>
      </w:pPr>
    </w:p>
    <w:p>
      <w:pPr>
        <w:jc w:val="both"/>
        <w:ind w:firstLine="872"/>
        <w:spacing w:after="0" w:line="236" w:lineRule="auto"/>
        <w:tabs>
          <w:tab w:leader="none" w:pos="1782"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 Cumulative; 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remedy conferred upon a party by this Agreement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spacing w:after="0" w:line="208" w:lineRule="exact"/>
        <w:rPr>
          <w:rFonts w:ascii="Arial" w:cs="Arial" w:eastAsia="Arial" w:hAnsi="Arial"/>
          <w:sz w:val="22"/>
          <w:szCs w:val="22"/>
          <w:b w:val="1"/>
          <w:bCs w:val="1"/>
          <w:color w:val="auto"/>
        </w:rPr>
      </w:pPr>
    </w:p>
    <w:p>
      <w:pPr>
        <w:jc w:val="both"/>
        <w:ind w:firstLine="872"/>
        <w:spacing w:after="0" w:line="236" w:lineRule="auto"/>
        <w:tabs>
          <w:tab w:leader="none" w:pos="1782"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payments under this Agreement shall be made subject to applicable tax withholding,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8" w:lineRule="exact"/>
        <w:rPr>
          <w:rFonts w:ascii="Arial" w:cs="Arial" w:eastAsia="Arial" w:hAnsi="Arial"/>
          <w:sz w:val="22"/>
          <w:szCs w:val="22"/>
          <w:b w:val="1"/>
          <w:bCs w:val="1"/>
          <w:color w:val="auto"/>
        </w:rPr>
      </w:pPr>
    </w:p>
    <w:p>
      <w:pPr>
        <w:jc w:val="both"/>
        <w:ind w:firstLine="872"/>
        <w:spacing w:after="0" w:line="260" w:lineRule="auto"/>
        <w:tabs>
          <w:tab w:leader="none" w:pos="1782"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each of which is an original. It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200" w:lineRule="exact"/>
        <w:rPr>
          <w:sz w:val="20"/>
          <w:szCs w:val="20"/>
          <w:color w:val="auto"/>
        </w:rPr>
      </w:pPr>
    </w:p>
    <w:p>
      <w:pPr>
        <w:spacing w:after="0" w:line="209"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ind w:left="-872" w:firstLine="872"/>
        <w:spacing w:after="0" w:line="273" w:lineRule="auto"/>
        <w:tabs>
          <w:tab w:leader="none" w:pos="91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interpreted under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182" w:lineRule="exact"/>
        <w:rPr>
          <w:rFonts w:ascii="Arial" w:cs="Arial" w:eastAsia="Arial" w:hAnsi="Arial"/>
          <w:sz w:val="19"/>
          <w:szCs w:val="19"/>
          <w:b w:val="1"/>
          <w:bCs w:val="1"/>
          <w:color w:val="auto"/>
        </w:rPr>
      </w:pPr>
    </w:p>
    <w:p>
      <w:pPr>
        <w:jc w:val="both"/>
        <w:ind w:left="-872" w:firstLine="872"/>
        <w:spacing w:after="0" w:line="270" w:lineRule="auto"/>
        <w:tabs>
          <w:tab w:leader="none" w:pos="91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intended to comply with or otherwise be exempt from Section 409A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192" w:lineRule="exact"/>
        <w:rPr>
          <w:rFonts w:ascii="Arial" w:cs="Arial" w:eastAsia="Arial" w:hAnsi="Arial"/>
          <w:sz w:val="19"/>
          <w:szCs w:val="19"/>
          <w:b w:val="1"/>
          <w:bCs w:val="1"/>
          <w:color w:val="auto"/>
        </w:rPr>
      </w:pPr>
    </w:p>
    <w:p>
      <w:pPr>
        <w:jc w:val="both"/>
        <w:ind w:left="-872" w:firstLine="872"/>
        <w:spacing w:after="0" w:line="289" w:lineRule="auto"/>
        <w:tabs>
          <w:tab w:leader="none" w:pos="91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Agreement or any other plan,</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or agreement to the contrary, if any of the payments or benefits provided or to be provided by the Company or any of its affiliates to Executive or for Executive’s benefit pursuant to the terms of this Agreement or otherwise (the “</w:t>
      </w:r>
      <w:r>
        <w:rPr>
          <w:rFonts w:ascii="Arial" w:cs="Arial" w:eastAsia="Arial" w:hAnsi="Arial"/>
          <w:sz w:val="19"/>
          <w:szCs w:val="19"/>
          <w:b w:val="1"/>
          <w:bCs w:val="1"/>
          <w:i w:val="1"/>
          <w:iCs w:val="1"/>
          <w:color w:val="auto"/>
        </w:rPr>
        <w:t>Covered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constitute parachute payments (the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within the meaning of Section 280G of the Code</w:t>
      </w:r>
    </w:p>
    <w:p>
      <w:pPr>
        <w:spacing w:after="0" w:line="142" w:lineRule="exact"/>
        <w:rPr>
          <w:sz w:val="20"/>
          <w:szCs w:val="20"/>
          <w:color w:val="auto"/>
        </w:rPr>
      </w:pPr>
    </w:p>
    <w:p>
      <w:pPr>
        <w:ind w:left="9608"/>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ind w:left="9268"/>
        <w:spacing w:after="0"/>
        <w:rPr>
          <w:sz w:val="20"/>
          <w:szCs w:val="20"/>
          <w:color w:val="auto"/>
        </w:rPr>
      </w:pPr>
      <w:r>
        <w:rPr>
          <w:rFonts w:ascii="Arial" w:cs="Arial" w:eastAsia="Arial" w:hAnsi="Arial"/>
          <w:sz w:val="13"/>
          <w:szCs w:val="13"/>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72390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55" w:right="339" w:bottom="1440" w:gutter="0" w:footer="0" w:header="0"/>
        </w:sectPr>
      </w:pPr>
    </w:p>
    <w:bookmarkStart w:id="136" w:name="page137"/>
    <w:bookmarkEnd w:id="136"/>
    <w:p>
      <w:pPr>
        <w:jc w:val="both"/>
        <w:spacing w:after="0" w:line="245" w:lineRule="auto"/>
        <w:rPr>
          <w:sz w:val="20"/>
          <w:szCs w:val="20"/>
          <w:color w:val="auto"/>
        </w:rPr>
      </w:pPr>
      <w:r>
        <w:rPr>
          <w:rFonts w:ascii="Arial" w:cs="Arial" w:eastAsia="Arial" w:hAnsi="Arial"/>
          <w:sz w:val="21"/>
          <w:szCs w:val="21"/>
          <w:color w:val="auto"/>
        </w:rPr>
        <w:t>and, 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21"/>
          <w:szCs w:val="21"/>
          <w:b w:val="1"/>
          <w:bCs w:val="1"/>
          <w:i w:val="1"/>
          <w:iCs w:val="1"/>
          <w:color w:val="auto"/>
        </w:rPr>
        <w:t>Excise Tax</w:t>
      </w:r>
      <w:r>
        <w:rPr>
          <w:rFonts w:ascii="Arial" w:cs="Arial" w:eastAsia="Arial" w:hAnsi="Arial"/>
          <w:sz w:val="21"/>
          <w:szCs w:val="21"/>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21"/>
          <w:szCs w:val="21"/>
          <w:b w:val="1"/>
          <w:bCs w:val="1"/>
          <w:i w:val="1"/>
          <w:iCs w:val="1"/>
          <w:color w:val="auto"/>
        </w:rPr>
        <w:t>Reduced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Amount</w:t>
      </w:r>
      <w:r>
        <w:rPr>
          <w:rFonts w:ascii="Arial" w:cs="Arial" w:eastAsia="Arial" w:hAnsi="Arial"/>
          <w:sz w:val="21"/>
          <w:szCs w:val="21"/>
          <w:color w:val="auto"/>
        </w:rPr>
        <w:t>”). “</w:t>
      </w:r>
      <w:r>
        <w:rPr>
          <w:rFonts w:ascii="Arial" w:cs="Arial" w:eastAsia="Arial" w:hAnsi="Arial"/>
          <w:sz w:val="21"/>
          <w:szCs w:val="21"/>
          <w:b w:val="1"/>
          <w:bCs w:val="1"/>
          <w:i w:val="1"/>
          <w:iCs w:val="1"/>
          <w:color w:val="auto"/>
        </w:rPr>
        <w:t>Net Benefit</w:t>
      </w:r>
      <w:r>
        <w:rPr>
          <w:rFonts w:ascii="Arial" w:cs="Arial" w:eastAsia="Arial" w:hAnsi="Arial"/>
          <w:sz w:val="21"/>
          <w:szCs w:val="21"/>
          <w:color w:val="auto"/>
        </w:rPr>
        <w:t>” shall mean the present value of the Covered Payments net of all federal, state, local, foreign income,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employment and excise taxes.</w:t>
      </w:r>
    </w:p>
    <w:p>
      <w:pPr>
        <w:spacing w:after="0" w:line="211" w:lineRule="exact"/>
        <w:rPr>
          <w:sz w:val="20"/>
          <w:szCs w:val="20"/>
          <w:color w:val="auto"/>
        </w:rPr>
      </w:pPr>
    </w:p>
    <w:p>
      <w:pPr>
        <w:ind w:left="1760" w:hanging="888"/>
        <w:spacing w:after="0"/>
        <w:tabs>
          <w:tab w:leader="none" w:pos="17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such reduction shall be made in accordance with Section 409A and the following:</w:t>
      </w:r>
    </w:p>
    <w:p>
      <w:pPr>
        <w:spacing w:after="0" w:line="206" w:lineRule="exact"/>
        <w:rPr>
          <w:rFonts w:ascii="Arial" w:cs="Arial" w:eastAsia="Arial" w:hAnsi="Arial"/>
          <w:sz w:val="22"/>
          <w:szCs w:val="22"/>
          <w:color w:val="auto"/>
        </w:rPr>
      </w:pPr>
    </w:p>
    <w:p>
      <w:pPr>
        <w:ind w:firstLine="1735"/>
        <w:spacing w:after="0" w:line="274" w:lineRule="auto"/>
        <w:tabs>
          <w:tab w:leader="none" w:pos="2579"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Covered Payments consisting of cash severance benefits that do not constitute nonqualified deferred compensation subject to Section 409A shall be reduced first, in reverse chronological order; and</w:t>
      </w:r>
    </w:p>
    <w:p>
      <w:pPr>
        <w:spacing w:after="0" w:line="177" w:lineRule="exact"/>
        <w:rPr>
          <w:rFonts w:ascii="Arial" w:cs="Arial" w:eastAsia="Arial" w:hAnsi="Arial"/>
          <w:sz w:val="21"/>
          <w:szCs w:val="21"/>
          <w:color w:val="auto"/>
        </w:rPr>
      </w:pPr>
    </w:p>
    <w:p>
      <w:pPr>
        <w:jc w:val="both"/>
        <w:ind w:firstLine="1735"/>
        <w:spacing w:after="0" w:line="238" w:lineRule="auto"/>
        <w:tabs>
          <w:tab w:leader="none" w:pos="2639" w:val="left"/>
        </w:tabs>
        <w:numPr>
          <w:ilvl w:val="1"/>
          <w:numId w:val="97"/>
        </w:numPr>
        <w:rPr>
          <w:rFonts w:ascii="Arial" w:cs="Arial" w:eastAsia="Arial" w:hAnsi="Arial"/>
          <w:sz w:val="22"/>
          <w:szCs w:val="22"/>
          <w:color w:val="auto"/>
        </w:rPr>
      </w:pPr>
      <w:r>
        <w:rPr>
          <w:rFonts w:ascii="Arial" w:cs="Arial" w:eastAsia="Arial" w:hAnsi="Arial"/>
          <w:sz w:val="22"/>
          <w:szCs w:val="22"/>
          <w:color w:val="auto"/>
        </w:rPr>
        <w:t>all other Covered Payments consisting of cash payments, and Covered Payments 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211" w:lineRule="exact"/>
        <w:rPr>
          <w:rFonts w:ascii="Arial" w:cs="Arial" w:eastAsia="Arial" w:hAnsi="Arial"/>
          <w:sz w:val="22"/>
          <w:szCs w:val="22"/>
          <w:color w:val="auto"/>
        </w:rPr>
      </w:pPr>
    </w:p>
    <w:p>
      <w:pPr>
        <w:ind w:firstLine="1735"/>
        <w:spacing w:after="0" w:line="250" w:lineRule="auto"/>
        <w:tabs>
          <w:tab w:leader="none" w:pos="2699" w:val="left"/>
        </w:tabs>
        <w:numPr>
          <w:ilvl w:val="1"/>
          <w:numId w:val="97"/>
        </w:numPr>
        <w:rPr>
          <w:rFonts w:ascii="Arial" w:cs="Arial" w:eastAsia="Arial" w:hAnsi="Arial"/>
          <w:sz w:val="22"/>
          <w:szCs w:val="22"/>
          <w:color w:val="auto"/>
        </w:rPr>
      </w:pPr>
      <w:r>
        <w:rPr>
          <w:rFonts w:ascii="Arial" w:cs="Arial" w:eastAsia="Arial" w:hAnsi="Arial"/>
          <w:sz w:val="22"/>
          <w:szCs w:val="22"/>
          <w:color w:val="auto"/>
        </w:rPr>
        <w:t>all Covered Payments consisting of cash payments that constitute nonqualified deferred compensation subject to Section 409A shall be reduced third, in reverse chronological order; and</w:t>
      </w:r>
    </w:p>
    <w:p>
      <w:pPr>
        <w:spacing w:after="0" w:line="201" w:lineRule="exact"/>
        <w:rPr>
          <w:rFonts w:ascii="Arial" w:cs="Arial" w:eastAsia="Arial" w:hAnsi="Arial"/>
          <w:sz w:val="22"/>
          <w:szCs w:val="22"/>
          <w:color w:val="auto"/>
        </w:rPr>
      </w:pPr>
    </w:p>
    <w:p>
      <w:pPr>
        <w:ind w:firstLine="1735"/>
        <w:spacing w:after="0" w:line="250" w:lineRule="auto"/>
        <w:tabs>
          <w:tab w:leader="none" w:pos="2687" w:val="left"/>
        </w:tabs>
        <w:numPr>
          <w:ilvl w:val="1"/>
          <w:numId w:val="97"/>
        </w:numPr>
        <w:rPr>
          <w:rFonts w:ascii="Arial" w:cs="Arial" w:eastAsia="Arial" w:hAnsi="Arial"/>
          <w:sz w:val="22"/>
          <w:szCs w:val="22"/>
          <w:color w:val="auto"/>
        </w:rPr>
      </w:pPr>
      <w:r>
        <w:rPr>
          <w:rFonts w:ascii="Arial" w:cs="Arial" w:eastAsia="Arial" w:hAnsi="Arial"/>
          <w:sz w:val="22"/>
          <w:szCs w:val="22"/>
          <w:color w:val="auto"/>
        </w:rPr>
        <w:t>all Covered Payments consisting of accelerated vesting of equity-based awards to which Treas. Reg. § 1.280G-1 Q/A-24(c) applies shall be the last Covered Payments to be reduced.</w:t>
      </w:r>
    </w:p>
    <w:p>
      <w:pPr>
        <w:spacing w:after="0" w:line="201" w:lineRule="exact"/>
        <w:rPr>
          <w:rFonts w:ascii="Arial" w:cs="Arial" w:eastAsia="Arial" w:hAnsi="Arial"/>
          <w:sz w:val="22"/>
          <w:szCs w:val="22"/>
          <w:color w:val="auto"/>
        </w:rPr>
      </w:pPr>
    </w:p>
    <w:p>
      <w:pPr>
        <w:jc w:val="both"/>
        <w:ind w:firstLine="872"/>
        <w:spacing w:after="0" w:line="246" w:lineRule="auto"/>
        <w:tabs>
          <w:tab w:leader="none" w:pos="1763"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determination required under this Section 21 shall be made in writing in good faith by an independent accounting firm selected by the Company and reasonably acceptable to the Executive (the “</w:t>
      </w:r>
      <w:r>
        <w:rPr>
          <w:rFonts w:ascii="Arial" w:cs="Arial" w:eastAsia="Arial" w:hAnsi="Arial"/>
          <w:sz w:val="21"/>
          <w:szCs w:val="21"/>
          <w:b w:val="1"/>
          <w:bCs w:val="1"/>
          <w:i w:val="1"/>
          <w:iCs w:val="1"/>
          <w:color w:val="auto"/>
        </w:rPr>
        <w:t>Accountants</w:t>
      </w:r>
      <w:r>
        <w:rPr>
          <w:rFonts w:ascii="Arial" w:cs="Arial" w:eastAsia="Arial" w:hAnsi="Arial"/>
          <w:sz w:val="21"/>
          <w:szCs w:val="21"/>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206" w:lineRule="exact"/>
        <w:rPr>
          <w:rFonts w:ascii="Arial" w:cs="Arial" w:eastAsia="Arial" w:hAnsi="Arial"/>
          <w:sz w:val="21"/>
          <w:szCs w:val="21"/>
          <w:color w:val="auto"/>
        </w:rPr>
      </w:pPr>
    </w:p>
    <w:p>
      <w:pPr>
        <w:jc w:val="both"/>
        <w:ind w:firstLine="872"/>
        <w:spacing w:after="0"/>
        <w:tabs>
          <w:tab w:leader="none" w:pos="1751" w:val="left"/>
        </w:tabs>
        <w:numPr>
          <w:ilvl w:val="0"/>
          <w:numId w:val="97"/>
        </w:numPr>
        <w:rPr>
          <w:rFonts w:ascii="Arial" w:cs="Arial" w:eastAsia="Arial" w:hAnsi="Arial"/>
          <w:sz w:val="22"/>
          <w:szCs w:val="22"/>
          <w:color w:val="auto"/>
        </w:rPr>
      </w:pPr>
      <w:r>
        <w:rPr>
          <w:rFonts w:ascii="Arial" w:cs="Arial" w:eastAsia="Arial" w:hAnsi="Arial"/>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w:t>
      </w:r>
    </w:p>
    <w:p>
      <w:pPr>
        <w:spacing w:after="0" w:line="186"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or less than the amount intended or required to be provided after application of this Section 21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w:t>
      </w:r>
    </w:p>
    <w:p>
      <w:pPr>
        <w:spacing w:after="0" w:line="233" w:lineRule="exact"/>
        <w:rPr>
          <w:sz w:val="20"/>
          <w:szCs w:val="20"/>
          <w:color w:val="auto"/>
        </w:rPr>
      </w:pPr>
    </w:p>
    <w:p>
      <w:pPr>
        <w:jc w:val="both"/>
        <w:ind w:firstLine="1735"/>
        <w:spacing w:after="0" w:line="279" w:lineRule="auto"/>
        <w:tabs>
          <w:tab w:leader="none" w:pos="2579"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177" w:lineRule="exact"/>
        <w:rPr>
          <w:rFonts w:ascii="Arial" w:cs="Arial" w:eastAsia="Arial" w:hAnsi="Arial"/>
          <w:sz w:val="19"/>
          <w:szCs w:val="19"/>
          <w:color w:val="auto"/>
        </w:rPr>
      </w:pPr>
    </w:p>
    <w:p>
      <w:pPr>
        <w:jc w:val="both"/>
        <w:ind w:firstLine="1735"/>
        <w:spacing w:after="0" w:line="236" w:lineRule="auto"/>
        <w:tabs>
          <w:tab w:leader="none" w:pos="2639"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80"/>
        <w:spacing w:after="0"/>
        <w:rPr>
          <w:sz w:val="20"/>
          <w:szCs w:val="20"/>
          <w:color w:val="auto"/>
        </w:rPr>
      </w:pPr>
      <w:r>
        <w:rPr>
          <w:rFonts w:ascii="Arial" w:cs="Arial" w:eastAsia="Arial" w:hAnsi="Arial"/>
          <w:sz w:val="19"/>
          <w:szCs w:val="19"/>
          <w:color w:val="auto"/>
        </w:rPr>
        <w:t>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ind w:firstLine="589"/>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VM CONSOLIDATED,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165100</wp:posOffset>
            </wp:positionV>
            <wp:extent cx="3137535" cy="419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313753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David Roberts</w:t>
      </w:r>
    </w:p>
    <w:p>
      <w:pPr>
        <w:ind w:left="5620"/>
        <w:spacing w:after="0"/>
        <w:tabs>
          <w:tab w:leader="none" w:pos="6340" w:val="left"/>
        </w:tabs>
        <w:rPr>
          <w:sz w:val="20"/>
          <w:szCs w:val="20"/>
          <w:color w:val="auto"/>
        </w:rPr>
      </w:pPr>
      <w:r>
        <w:rPr>
          <w:rFonts w:ascii="Arial" w:cs="Arial" w:eastAsia="Arial" w:hAnsi="Arial"/>
          <w:sz w:val="22"/>
          <w:szCs w:val="22"/>
          <w:color w:val="auto"/>
        </w:rPr>
        <w:t>Title:</w:t>
        <w:tab/>
        <w:t>Chief Executive Officer</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STEVEN LALLA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473710</wp:posOffset>
            </wp:positionV>
            <wp:extent cx="3566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Relocation Assistance</w:t>
      </w:r>
    </w:p>
    <w:p>
      <w:pPr>
        <w:sectPr>
          <w:pgSz w:w="11900" w:h="16838" w:orient="portrait"/>
          <w:cols w:equalWidth="0" w:num="1">
            <w:col w:w="9019"/>
          </w:cols>
          <w:pgMar w:left="1440" w:top="355"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Verra Mobility Corporation</w:t>
            </w:r>
          </w:p>
        </w:tc>
      </w:tr>
      <w:tr>
        <w:trPr>
          <w:trHeight w:val="453"/>
        </w:trPr>
        <w:tc>
          <w:tcPr>
            <w:tcW w:w="374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Entity</w:t>
            </w:r>
          </w:p>
        </w:tc>
        <w:tc>
          <w:tcPr>
            <w:tcW w:w="16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460" w:type="dxa"/>
            <w:vAlign w:val="bottom"/>
            <w:tcBorders>
              <w:bottom w:val="single" w:sz="8" w:color="auto"/>
            </w:tcBorders>
          </w:tcPr>
          <w:p>
            <w:pPr>
              <w:ind w:left="1840"/>
              <w:spacing w:after="0"/>
              <w:rPr>
                <w:sz w:val="20"/>
                <w:szCs w:val="20"/>
                <w:color w:val="auto"/>
              </w:rPr>
            </w:pPr>
            <w:r>
              <w:rPr>
                <w:rFonts w:ascii="Arial" w:cs="Arial" w:eastAsia="Arial" w:hAnsi="Arial"/>
                <w:sz w:val="16"/>
                <w:szCs w:val="16"/>
                <w:b w:val="1"/>
                <w:bCs w:val="1"/>
                <w:color w:val="auto"/>
              </w:rPr>
              <w:t>Jurisdiction of Formation</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Verra Mobility Holdings,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297"/>
        </w:trPr>
        <w:tc>
          <w:tcPr>
            <w:tcW w:w="3740" w:type="dxa"/>
            <w:vAlign w:val="bottom"/>
          </w:tcPr>
          <w:p>
            <w:pPr>
              <w:spacing w:after="0"/>
              <w:rPr>
                <w:sz w:val="20"/>
                <w:szCs w:val="20"/>
                <w:color w:val="auto"/>
              </w:rPr>
            </w:pPr>
            <w:r>
              <w:rPr>
                <w:rFonts w:ascii="Arial" w:cs="Arial" w:eastAsia="Arial" w:hAnsi="Arial"/>
                <w:sz w:val="18"/>
                <w:szCs w:val="18"/>
                <w:color w:val="auto"/>
              </w:rPr>
              <w:t>Greenlight Holding Corporation</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Greenlight Intermediate Holding Corporation</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Greenlight Acquisition Corporation</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VM Consolidated, Inc.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American Traffic Solutions, Inc.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Kansas</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LaserCraft, Inc.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Georgia</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Mulvihill ICS, Inc.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New York</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Mulvihill Electrical Enterprises, Inc.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New York</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w w:val="98"/>
              </w:rPr>
              <w:t>American Traffic Solutions Consolidated,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American Traffic Solutions,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ATS Processing Services,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PlatePass,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ATS Tolling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Sunshine State Tag Agency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Auto Tag of America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Auto Titles of America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Highway Toll Administration,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New York</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Canadian Highway Toll Administrations, Ltd</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British Columbia</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Toll Buddy,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Violation Management Solutions, LLC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Euro Parking Collection, plc</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England and Wales</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Contractum Limited</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England and Wales</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EPC Hungary Kft</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Hungary</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EPC Finance Limited</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England and Wales</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Verra Mobility B.V.</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Netherlands</w:t>
            </w: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Verra Mobility France S.A.S.</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France</w:t>
            </w: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Pagatelia, S.L.</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Spain</w:t>
            </w: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Verra Mobility Ireland Ltd.</w:t>
            </w:r>
          </w:p>
        </w:tc>
        <w:tc>
          <w:tcPr>
            <w:tcW w:w="160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80" w:hanging="440"/>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S-3 No. 333-227952),</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S-8 No. 333-212019) pertaining to the Verra Mobility Corporation 2018 Equity Incentive Plan;</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of our reports dated March 1, 2021, with respect to the consolidated financial statements and schedule of Verra Mobility Corporation, and the effectiveness of internal control over financial reporting of Verra Mobility Corporation, included in this Annual Report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85" w:lineRule="exact"/>
        <w:rPr>
          <w:sz w:val="20"/>
          <w:szCs w:val="20"/>
          <w:color w:val="auto"/>
        </w:rPr>
      </w:pPr>
    </w:p>
    <w:p>
      <w:pPr>
        <w:ind w:left="880" w:hanging="440"/>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Verra Mobility Corporation;</w:t>
      </w:r>
    </w:p>
    <w:p>
      <w:pPr>
        <w:spacing w:after="0" w:line="184"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hanging="442"/>
        <w:spacing w:after="0" w:line="342" w:lineRule="auto"/>
        <w:tabs>
          <w:tab w:leader="none" w:pos="13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442"/>
        <w:spacing w:after="0" w:line="263"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hanging="442"/>
        <w:spacing w:after="0" w:line="308" w:lineRule="auto"/>
        <w:tabs>
          <w:tab w:leader="none" w:pos="13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442"/>
        <w:spacing w:after="0" w:line="277"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6"/>
          <w:szCs w:val="16"/>
          <w:color w:val="auto"/>
        </w:rPr>
        <w:t>By:/s/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23495</wp:posOffset>
            </wp:positionV>
            <wp:extent cx="30600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David Roberts</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85" w:lineRule="exact"/>
        <w:rPr>
          <w:sz w:val="20"/>
          <w:szCs w:val="20"/>
          <w:color w:val="auto"/>
        </w:rPr>
      </w:pPr>
    </w:p>
    <w:p>
      <w:pPr>
        <w:ind w:left="880" w:hanging="440"/>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Verra Mobility Corporation;</w:t>
      </w:r>
    </w:p>
    <w:p>
      <w:pPr>
        <w:spacing w:after="0" w:line="184"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hanging="442"/>
        <w:spacing w:after="0" w:line="342" w:lineRule="auto"/>
        <w:tabs>
          <w:tab w:leader="none" w:pos="13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442"/>
        <w:spacing w:after="0" w:line="263"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hanging="442"/>
        <w:spacing w:after="0" w:line="308" w:lineRule="auto"/>
        <w:tabs>
          <w:tab w:leader="none" w:pos="13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442"/>
        <w:spacing w:after="0" w:line="277"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6"/>
          <w:szCs w:val="16"/>
          <w:color w:val="auto"/>
        </w:rPr>
        <w:t>By:/s/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23495</wp:posOffset>
            </wp:positionV>
            <wp:extent cx="30600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Patricia Chiodo</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 David Roberts, President, Chief Executive Officer and Director of Verra Mobility Corporation,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1160" w:right="160" w:hanging="572"/>
        <w:spacing w:after="0" w:line="263"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Annual Report on Form 10-K of Verra Mobility Corporation for the year ended December 31, 2020 (Annual Report), as filed with the Securities and Exchange Commission,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Verra Mobility Corporation.</w:t>
      </w:r>
    </w:p>
    <w:p>
      <w:pPr>
        <w:spacing w:after="0" w:line="184" w:lineRule="exact"/>
        <w:rPr>
          <w:sz w:val="20"/>
          <w:szCs w:val="20"/>
          <w:color w:val="auto"/>
        </w:rPr>
      </w:pPr>
    </w:p>
    <w:p>
      <w:pPr>
        <w:spacing w:after="0"/>
        <w:tabs>
          <w:tab w:leader="none" w:pos="5900" w:val="left"/>
          <w:tab w:leader="none" w:pos="648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-130175</wp:posOffset>
            </wp:positionV>
            <wp:extent cx="30086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Patricia Chiodo, Chief Financial Officer of Verra Mobility Corporation,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1160" w:right="160" w:hanging="572"/>
        <w:spacing w:after="0" w:line="263"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Annual Report on Form 10-K of Verra Mobility Corporation for the year ended December 31, 2020 (Annual Report), as filed with the Securities and Exchange Commission,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Verra Mobility Corporation.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Date: March 1, 2021</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Chiodo</w:t>
            </w:r>
          </w:p>
        </w:tc>
      </w:tr>
      <w:tr>
        <w:trPr>
          <w:trHeight w:val="215"/>
        </w:trPr>
        <w:tc>
          <w:tcPr>
            <w:tcW w:w="37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Patricia Chiodo</w:t>
            </w:r>
          </w:p>
        </w:tc>
      </w:tr>
      <w:tr>
        <w:trPr>
          <w:trHeight w:val="229"/>
        </w:trPr>
        <w:tc>
          <w:tcPr>
            <w:tcW w:w="3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1)"/>
      <w:numFmt w:val="lowerLetter"/>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2"/>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1)"/>
      <w:numFmt w:val="lowerRoman"/>
      <w:start w:val="1"/>
    </w:lvl>
  </w:abstractNum>
  <w:abstractNum w:abstractNumId="23">
    <w:nsid w:val="579BE4F1"/>
    <w:multiLevelType w:val="hybridMultilevel"/>
    <w:lvl w:ilvl="0">
      <w:lvlJc w:val="left"/>
      <w:lvlText w:val="(%1)"/>
      <w:numFmt w:val="lowerRoman"/>
      <w:start w:val="5"/>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decimal"/>
      <w:start w:val="1"/>
    </w:lvl>
  </w:abstractNum>
  <w:abstractNum w:abstractNumId="29">
    <w:nsid w:val="4AD084E9"/>
    <w:multiLevelType w:val="hybridMultilevel"/>
    <w:lvl w:ilvl="0">
      <w:lvlJc w:val="left"/>
      <w:lvlText w:val="%1."/>
      <w:numFmt w:val="decimal"/>
      <w:start w:val="2"/>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o"/>
      <w:numFmt w:val="bullet"/>
      <w:start w:val="1"/>
    </w:lvl>
  </w:abstractNum>
  <w:abstractNum w:abstractNumId="34">
    <w:nsid w:val="6590700B"/>
    <w:multiLevelType w:val="hybridMultilevel"/>
    <w:lvl w:ilvl="0">
      <w:lvlJc w:val="left"/>
      <w:lvlText w:val="o"/>
      <w:numFmt w:val="bullet"/>
      <w:start w:val="1"/>
    </w:lvl>
  </w:abstractNum>
  <w:abstractNum w:abstractNumId="35">
    <w:nsid w:val="15014ACB"/>
    <w:multiLevelType w:val="hybridMultilevel"/>
    <w:lvl w:ilvl="0">
      <w:lvlJc w:val="left"/>
      <w:lvlText w:val="\emdash "/>
      <w:numFmt w:val="bullet"/>
      <w:start w:val="1"/>
    </w:lvl>
  </w:abstractNum>
  <w:abstractNum w:abstractNumId="36">
    <w:nsid w:val="5F5E7FD0"/>
    <w:multiLevelType w:val="hybridMultilevel"/>
    <w:lvl w:ilvl="0">
      <w:lvlJc w:val="left"/>
      <w:lvlText w:val="%1."/>
      <w:numFmt w:val="decimal"/>
      <w:start w:val="3"/>
    </w:lvl>
  </w:abstractNum>
  <w:abstractNum w:abstractNumId="37">
    <w:nsid w:val="98A3148"/>
    <w:multiLevelType w:val="hybridMultilevel"/>
    <w:lvl w:ilvl="0">
      <w:lvlJc w:val="left"/>
      <w:lvlText w:val="%1."/>
      <w:numFmt w:val="decimal"/>
      <w:start w:val="4"/>
    </w:lvl>
  </w:abstractNum>
  <w:abstractNum w:abstractNumId="38">
    <w:nsid w:val="799D0247"/>
    <w:multiLevelType w:val="hybridMultilevel"/>
    <w:lvl w:ilvl="0">
      <w:lvlJc w:val="left"/>
      <w:lvlText w:val="%1."/>
      <w:numFmt w:val="decimal"/>
      <w:start w:val="5"/>
    </w:lvl>
  </w:abstractNum>
  <w:abstractNum w:abstractNumId="39">
    <w:nsid w:val="6B94764"/>
    <w:multiLevelType w:val="hybridMultilevel"/>
    <w:lvl w:ilvl="0">
      <w:lvlJc w:val="left"/>
      <w:lvlText w:val="%1."/>
      <w:numFmt w:val="decimal"/>
      <w:start w:val="6"/>
    </w:lvl>
  </w:abstractNum>
  <w:abstractNum w:abstractNumId="40">
    <w:nsid w:val="42C296BD"/>
    <w:multiLevelType w:val="hybridMultilevel"/>
    <w:lvl w:ilvl="0">
      <w:lvlJc w:val="left"/>
      <w:lvlText w:val="%1."/>
      <w:numFmt w:val="decimal"/>
      <w:start w:val="7"/>
    </w:lvl>
  </w:abstractNum>
  <w:abstractNum w:abstractNumId="41">
    <w:nsid w:val="168E121F"/>
    <w:multiLevelType w:val="hybridMultilevel"/>
    <w:lvl w:ilvl="0">
      <w:lvlJc w:val="left"/>
      <w:lvlText w:val="%1."/>
      <w:numFmt w:val="decimal"/>
      <w:start w:val="8"/>
    </w:lvl>
  </w:abstractNum>
  <w:abstractNum w:abstractNumId="42">
    <w:nsid w:val="1EBA5D23"/>
    <w:multiLevelType w:val="hybridMultilevel"/>
    <w:lvl w:ilvl="0">
      <w:lvlJc w:val="left"/>
      <w:lvlText w:val="%1."/>
      <w:numFmt w:val="decimal"/>
      <w:start w:val="9"/>
    </w:lvl>
  </w:abstractNum>
  <w:abstractNum w:abstractNumId="43">
    <w:nsid w:val="661E3F1E"/>
    <w:multiLevelType w:val="hybridMultilevel"/>
    <w:lvl w:ilvl="0">
      <w:lvlJc w:val="left"/>
      <w:lvlText w:val="(%1)"/>
      <w:numFmt w:val="decimal"/>
      <w:start w:val="1"/>
    </w:lvl>
  </w:abstractNum>
  <w:abstractNum w:abstractNumId="44">
    <w:nsid w:val="5DC79EA8"/>
    <w:multiLevelType w:val="hybridMultilevel"/>
    <w:lvl w:ilvl="0">
      <w:lvlJc w:val="left"/>
      <w:lvlText w:val="%1."/>
      <w:numFmt w:val="decimal"/>
      <w:start w:val="11"/>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1."/>
      <w:numFmt w:val="decimal"/>
      <w:start w:val="13"/>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15"/>
    </w:lvl>
  </w:abstractNum>
  <w:abstractNum w:abstractNumId="49">
    <w:nsid w:val="BF72B14"/>
    <w:multiLevelType w:val="hybridMultilevel"/>
    <w:lvl w:ilvl="0">
      <w:lvlJc w:val="left"/>
      <w:lvlText w:val="%1."/>
      <w:numFmt w:val="decimal"/>
      <w:start w:val="16"/>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decimal"/>
      <w:start w:val="17"/>
    </w:lvl>
  </w:abstractNum>
  <w:abstractNum w:abstractNumId="52">
    <w:nsid w:val="A0382C5"/>
    <w:multiLevelType w:val="hybridMultilevel"/>
    <w:lvl w:ilvl="0">
      <w:lvlJc w:val="left"/>
      <w:lvlText w:val="%1."/>
      <w:numFmt w:val="decimal"/>
      <w:start w:val="18"/>
    </w:lvl>
  </w:abstractNum>
  <w:abstractNum w:abstractNumId="53">
    <w:nsid w:val="8F2B15E"/>
    <w:multiLevelType w:val="hybridMultilevel"/>
    <w:lvl w:ilvl="0">
      <w:lvlJc w:val="left"/>
      <w:lvlText w:val="%1."/>
      <w:numFmt w:val="decimal"/>
      <w:start w:val="19"/>
    </w:lvl>
  </w:abstractNum>
  <w:abstractNum w:abstractNumId="54">
    <w:nsid w:val="1A32234B"/>
    <w:multiLevelType w:val="hybridMultilevel"/>
    <w:lvl w:ilvl="0">
      <w:lvlJc w:val="left"/>
      <w:lvlText w:val="%1."/>
      <w:numFmt w:val="decimal"/>
      <w:start w:val="20"/>
    </w:lvl>
  </w:abstractNum>
  <w:abstractNum w:abstractNumId="55">
    <w:nsid w:val="3B0FD379"/>
    <w:multiLevelType w:val="hybridMultilevel"/>
    <w:lvl w:ilvl="0">
      <w:lvlJc w:val="left"/>
      <w:lvlText w:val="%1."/>
      <w:numFmt w:val="decimal"/>
      <w:start w:val="21"/>
    </w:lvl>
  </w:abstractNum>
  <w:abstractNum w:abstractNumId="56">
    <w:nsid w:val="68EB2F63"/>
    <w:multiLevelType w:val="hybridMultilevel"/>
    <w:lvl w:ilvl="0">
      <w:lvlJc w:val="left"/>
      <w:lvlText w:val="(%1)"/>
      <w:numFmt w:val="decimal"/>
      <w:start w:val="3"/>
    </w:lvl>
  </w:abstractNum>
  <w:abstractNum w:abstractNumId="57">
    <w:nsid w:val="4962813B"/>
    <w:multiLevelType w:val="hybridMultilevel"/>
    <w:lvl w:ilvl="0">
      <w:lvlJc w:val="left"/>
      <w:lvlText w:val="(%1)"/>
      <w:numFmt w:val="lowerLetter"/>
      <w:start w:val="1"/>
    </w:lvl>
    <w:lvl w:ilvl="1">
      <w:lvlJc w:val="left"/>
      <w:lvlText w:val="%2."/>
      <w:numFmt w:val="decimal"/>
      <w:start w:val="1"/>
    </w:lvl>
  </w:abstractNum>
  <w:abstractNum w:abstractNumId="58">
    <w:nsid w:val="60B6DF70"/>
    <w:multiLevelType w:val="hybridMultilevel"/>
    <w:lvl w:ilvl="0">
      <w:lvlJc w:val="left"/>
      <w:lvlText w:val="%1."/>
      <w:numFmt w:val="decimal"/>
      <w:start w:val="2"/>
    </w:lvl>
  </w:abstractNum>
  <w:abstractNum w:abstractNumId="59">
    <w:nsid w:val="6A5EE64"/>
    <w:multiLevelType w:val="hybridMultilevel"/>
    <w:lvl w:ilvl="0">
      <w:lvlJc w:val="left"/>
      <w:lvlText w:val="%1."/>
      <w:numFmt w:val="decimal"/>
      <w:start w:val="3"/>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1."/>
      <w:numFmt w:val="decimal"/>
      <w:start w:val="1"/>
    </w:lvl>
  </w:abstractNum>
  <w:abstractNum w:abstractNumId="64">
    <w:nsid w:val="100F59DC"/>
    <w:multiLevelType w:val="hybridMultilevel"/>
    <w:lvl w:ilvl="0">
      <w:lvlJc w:val="left"/>
      <w:lvlText w:val="%1."/>
      <w:numFmt w:val="decimal"/>
      <w:start w:val="2"/>
    </w:lvl>
  </w:abstractNum>
  <w:abstractNum w:abstractNumId="65">
    <w:nsid w:val="7FB7E0AA"/>
    <w:multiLevelType w:val="hybridMultilevel"/>
    <w:lvl w:ilvl="0">
      <w:lvlJc w:val="left"/>
      <w:lvlText w:val="(%1)"/>
      <w:numFmt w:val="lowerLetter"/>
      <w:start w:val="1"/>
    </w:lvl>
    <w:lvl w:ilvl="1">
      <w:lvlJc w:val="left"/>
      <w:lvlText w:val="(%2)"/>
      <w:numFmt w:val="lowerRoman"/>
      <w:start w:val="1"/>
    </w:lvl>
  </w:abstractNum>
  <w:abstractNum w:abstractNumId="66">
    <w:nsid w:val="6EB5BD4"/>
    <w:multiLevelType w:val="hybridMultilevel"/>
    <w:lvl w:ilvl="0">
      <w:lvlJc w:val="left"/>
      <w:lvlText w:val="%1"/>
      <w:numFmt w:val="lowerLetter"/>
      <w:start w:val="1"/>
    </w:lvl>
    <w:lvl w:ilvl="1">
      <w:lvlJc w:val="left"/>
      <w:lvlText w:val="(%2)"/>
      <w:numFmt w:val="lowerRoman"/>
      <w:start w:val="4"/>
    </w:lvl>
  </w:abstractNum>
  <w:abstractNum w:abstractNumId="67">
    <w:nsid w:val="6F6DD9AC"/>
    <w:multiLevelType w:val="hybridMultilevel"/>
    <w:lvl w:ilvl="0">
      <w:lvlJc w:val="left"/>
      <w:lvlText w:val="(%1)"/>
      <w:numFmt w:val="lowerLetter"/>
      <w:start w:val="2"/>
    </w:lvl>
    <w:lvl w:ilvl="1">
      <w:lvlJc w:val="left"/>
      <w:lvlText w:val="%2"/>
      <w:numFmt w:val="lowerRoman"/>
      <w:start w:val="1"/>
    </w:lvl>
  </w:abstractNum>
  <w:abstractNum w:abstractNumId="68">
    <w:nsid w:val="94211F2"/>
    <w:multiLevelType w:val="hybridMultilevel"/>
    <w:lvl w:ilvl="0">
      <w:lvlJc w:val="left"/>
      <w:lvlText w:val="%1."/>
      <w:numFmt w:val="decimal"/>
      <w:start w:val="3"/>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lowerLetter"/>
      <w:start w:val="4"/>
    </w:lvl>
  </w:abstractNum>
  <w:abstractNum w:abstractNumId="71">
    <w:nsid w:val="4C04A8AF"/>
    <w:multiLevelType w:val="hybridMultilevel"/>
    <w:lvl w:ilvl="0">
      <w:lvlJc w:val="left"/>
      <w:lvlText w:val="(%1)"/>
      <w:numFmt w:val="lowerLetter"/>
      <w:start w:val="1"/>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2"/>
    </w:lvl>
    <w:lvl w:ilvl="1">
      <w:lvlJc w:val="left"/>
      <w:lvlText w:val="(%2)"/>
      <w:numFmt w:val="lowerRoman"/>
      <w:start w:val="1"/>
    </w:lvl>
  </w:abstractNum>
  <w:abstractNum w:abstractNumId="74">
    <w:nsid w:val="3222E7CD"/>
    <w:multiLevelType w:val="hybridMultilevel"/>
    <w:lvl w:ilvl="0">
      <w:lvlJc w:val="left"/>
      <w:lvlText w:val="(%1)"/>
      <w:numFmt w:val="lowerRoman"/>
      <w:start w:val="4"/>
    </w:lvl>
  </w:abstractNum>
  <w:abstractNum w:abstractNumId="75">
    <w:nsid w:val="74DE0EE3"/>
    <w:multiLevelType w:val="hybridMultilevel"/>
    <w:lvl w:ilvl="0">
      <w:lvlJc w:val="left"/>
      <w:lvlText w:val="%1."/>
      <w:numFmt w:val="decimal"/>
      <w:start w:val="4"/>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upperLetter"/>
      <w:start w:val="2"/>
    </w:lvl>
    <w:lvl w:ilvl="1">
      <w:lvlJc w:val="left"/>
      <w:lvlText w:val="(%2)"/>
      <w:numFmt w:val="lowerLetter"/>
      <w:start w:val="3"/>
    </w:lvl>
  </w:abstractNum>
  <w:abstractNum w:abstractNumId="78">
    <w:nsid w:val="46B7D447"/>
    <w:multiLevelType w:val="hybridMultilevel"/>
    <w:lvl w:ilvl="0">
      <w:lvlJc w:val="left"/>
      <w:lvlText w:val="%1."/>
      <w:numFmt w:val="decimal"/>
      <w:start w:val="6"/>
    </w:lvl>
  </w:abstractNum>
  <w:abstractNum w:abstractNumId="79">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0">
    <w:nsid w:val="39EE015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81">
    <w:nsid w:val="57FC4FBB"/>
    <w:multiLevelType w:val="hybridMultilevel"/>
    <w:lvl w:ilvl="0">
      <w:lvlJc w:val="left"/>
      <w:lvlText w:val="%1."/>
      <w:numFmt w:val="decimal"/>
      <w:start w:val="7"/>
    </w:lvl>
  </w:abstractNum>
  <w:abstractNum w:abstractNumId="82">
    <w:nsid w:val="CC1016F"/>
    <w:multiLevelType w:val="hybridMultilevel"/>
    <w:lvl w:ilvl="0">
      <w:lvlJc w:val="left"/>
      <w:lvlText w:val="%1."/>
      <w:numFmt w:val="decimal"/>
      <w:start w:val="8"/>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decimal"/>
      <w:start w:val="9"/>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3"/>
    </w:lvl>
  </w:abstractNum>
  <w:abstractNum w:abstractNumId="87">
    <w:nsid w:val="49DA307D"/>
    <w:multiLevelType w:val="hybridMultilevel"/>
    <w:lvl w:ilvl="0">
      <w:lvlJc w:val="left"/>
      <w:lvlText w:val="%1."/>
      <w:numFmt w:val="decimal"/>
      <w:start w:val="11"/>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Letter"/>
      <w:start w:val="2"/>
    </w:lvl>
  </w:abstractNum>
  <w:abstractNum w:abstractNumId="90">
    <w:nsid w:val="50801EE1"/>
    <w:multiLevelType w:val="hybridMultilevel"/>
    <w:lvl w:ilvl="0">
      <w:lvlJc w:val="left"/>
      <w:lvlText w:val="%1."/>
      <w:numFmt w:val="decimal"/>
      <w:start w:val="12"/>
    </w:lvl>
  </w:abstractNum>
  <w:abstractNum w:abstractNumId="91">
    <w:nsid w:val="488AC1A"/>
    <w:multiLevelType w:val="hybridMultilevel"/>
    <w:lvl w:ilvl="0">
      <w:lvlJc w:val="left"/>
      <w:lvlText w:val="%1."/>
      <w:numFmt w:val="decimal"/>
      <w:start w:val="14"/>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1)"/>
      <w:numFmt w:val="lowerLetter"/>
      <w:start w:val="2"/>
    </w:lvl>
  </w:abstractNum>
  <w:abstractNum w:abstractNumId="94">
    <w:nsid w:val="7672BD23"/>
    <w:multiLevelType w:val="hybridMultilevel"/>
    <w:lvl w:ilvl="0">
      <w:lvlJc w:val="left"/>
      <w:lvlText w:val="%1."/>
      <w:numFmt w:val="decimal"/>
      <w:start w:val="15"/>
    </w:lvl>
  </w:abstractNum>
  <w:abstractNum w:abstractNumId="95">
    <w:nsid w:val="6FC75AF8"/>
    <w:multiLevelType w:val="hybridMultilevel"/>
    <w:lvl w:ilvl="0">
      <w:lvlJc w:val="left"/>
      <w:lvlText w:val="%1."/>
      <w:numFmt w:val="decimal"/>
      <w:start w:val="19"/>
    </w:lvl>
  </w:abstractNum>
  <w:abstractNum w:abstractNumId="96">
    <w:nsid w:val="6A5F7029"/>
    <w:multiLevelType w:val="hybridMultilevel"/>
    <w:lvl w:ilvl="0">
      <w:lvlJc w:val="left"/>
      <w:lvlText w:val="(%1)"/>
      <w:numFmt w:val="lowerLetter"/>
      <w:start w:val="1"/>
    </w:lvl>
    <w:lvl w:ilvl="1">
      <w:lvlJc w:val="left"/>
      <w:lvlText w:val="(%2)"/>
      <w:numFmt w:val="lowerRoman"/>
      <w:start w:val="1"/>
    </w:lvl>
  </w:abstractNum>
  <w:abstractNum w:abstractNumId="97">
    <w:nsid w:val="7D5E18F8"/>
    <w:multiLevelType w:val="hybridMultilevel"/>
    <w:lvl w:ilvl="0">
      <w:lvlJc w:val="left"/>
      <w:lvlText w:val="(%1)"/>
      <w:numFmt w:val="lowerRoman"/>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139" Type="http://schemas.openxmlformats.org/officeDocument/2006/relationships/hyperlink" Target="http://www.sec.gov/Archives/edgar/data/0001682745/000110465918041476/a18-15692_1ex2d1.htm" TargetMode="External"/><Relationship Id="rId140" Type="http://schemas.openxmlformats.org/officeDocument/2006/relationships/hyperlink" Target="http://www.sec.gov/Archives/edgar/data/0001682745/000104746918005773/a2236552zex-2_2.htm" TargetMode="External"/><Relationship Id="rId141" Type="http://schemas.openxmlformats.org/officeDocument/2006/relationships/hyperlink" Target="http://www.sec.gov/Archives/edgar/data/1682745/000156459021001806/vrrm-ex21_146.htm" TargetMode="External"/><Relationship Id="rId142" Type="http://schemas.openxmlformats.org/officeDocument/2006/relationships/hyperlink" Target="http://www.sec.gov/Archives/edgar/data/0001682745/000156459018024644/vrrm-ex31_941.htm" TargetMode="External"/><Relationship Id="rId143" Type="http://schemas.openxmlformats.org/officeDocument/2006/relationships/hyperlink" Target="http://www.sec.gov/Archives/edgar/data/0001682745/000156459018024644/vrrm-ex32_939.htm" TargetMode="External"/><Relationship Id="rId144" Type="http://schemas.openxmlformats.org/officeDocument/2006/relationships/hyperlink" Target="http://www.sec.gov/Archives/edgar/data/0001682745/000104746916017126/a2230401zex-4_2.htm" TargetMode="External"/><Relationship Id="rId145" Type="http://schemas.openxmlformats.org/officeDocument/2006/relationships/hyperlink" Target="http://www.sec.gov/Archives/edgar/data/0001682745/000104746916017126/a2230401zex-4_3.htm" TargetMode="External"/><Relationship Id="rId146" Type="http://schemas.openxmlformats.org/officeDocument/2006/relationships/hyperlink" Target="http://www.sec.gov/Archives/edgar/data/0001682745/000110465917003086/a17-2559_1ex4d1.htm" TargetMode="External"/><Relationship Id="rId147" Type="http://schemas.openxmlformats.org/officeDocument/2006/relationships/hyperlink" Target="http://www.sec.gov/Archives/edgar/data/1682745/000156459020008153/vrrm-ex44_298.htm" TargetMode="External"/><Relationship Id="rId148" Type="http://schemas.openxmlformats.org/officeDocument/2006/relationships/hyperlink" Target="http://www.sec.gov/Archives/edgar/data/1682745/000156459020008153/vrrm-ex45_293.htm" TargetMode="External"/><Relationship Id="rId152" Type="http://schemas.openxmlformats.org/officeDocument/2006/relationships/hyperlink" Target="http://www.sec.gov/Archives/edgar/data/0001682745/000104746916017126/a2230401zex-10_7.htm" TargetMode="External"/><Relationship Id="rId153" Type="http://schemas.openxmlformats.org/officeDocument/2006/relationships/hyperlink" Target="http://www.sec.gov/Archives/edgar/data/1682745/000156459018024644/vrrm-ex102_940.htm" TargetMode="External"/><Relationship Id="rId154" Type="http://schemas.openxmlformats.org/officeDocument/2006/relationships/hyperlink" Target="http://www.sec.gov/Archives/edgar/data/0001682745/000156459018024644/vrrm-ex103_938.htm" TargetMode="External"/><Relationship Id="rId155" Type="http://schemas.openxmlformats.org/officeDocument/2006/relationships/hyperlink" Target="http://www.sec.gov/Archives/edgar/data/0001682745/000156459018024644/vrrm-ex104_937.htm" TargetMode="External"/><Relationship Id="rId156" Type="http://schemas.openxmlformats.org/officeDocument/2006/relationships/hyperlink" Target="http://www.sec.gov/Archives/edgar/data/0001682745/000156459018024644/vrrm-ex105_340.htm" TargetMode="External"/><Relationship Id="rId157" Type="http://schemas.openxmlformats.org/officeDocument/2006/relationships/hyperlink" Target="http://www.sec.gov/Archives/edgar/data/0001682745/000156459018024644/vrrm-ex106_341.htm" TargetMode="External"/><Relationship Id="rId158" Type="http://schemas.openxmlformats.org/officeDocument/2006/relationships/hyperlink" Target="http://www.sec.gov/Archives/edgar/data/0001682745/000156459018024644/vrrm-ex107_680.htm" TargetMode="External"/><Relationship Id="rId160" Type="http://schemas.openxmlformats.org/officeDocument/2006/relationships/hyperlink" Target="http://www.sec.gov/Archives/edgar/data/0001682745/000156459018024644/vrrm-ex108_681.htm" TargetMode="External"/><Relationship Id="rId161" Type="http://schemas.openxmlformats.org/officeDocument/2006/relationships/hyperlink" Target="http://www.sec.gov/Archives/edgar/data/1682745/000156459020006447/vrrm-ex101_6.htm" TargetMode="External"/><Relationship Id="rId162" Type="http://schemas.openxmlformats.org/officeDocument/2006/relationships/hyperlink" Target="http://www.sec.gov/Archives/edgar/data/0001682745/000156459018024644/vrrm-ex109_21.htm" TargetMode="External"/><Relationship Id="rId163" Type="http://schemas.openxmlformats.org/officeDocument/2006/relationships/hyperlink" Target="http://www.sec.gov/Archives/edgar/data/0001682745/000156459018024644/vrrm-ex1010_20.htm" TargetMode="External"/><Relationship Id="rId164" Type="http://schemas.openxmlformats.org/officeDocument/2006/relationships/hyperlink" Target="http://www.sec.gov/Archives/edgar/data/0001682745/000156459018024644/vrrm-ex1011_16.htm" TargetMode="External"/><Relationship Id="rId165" Type="http://schemas.openxmlformats.org/officeDocument/2006/relationships/hyperlink" Target="http://www.sec.gov/Archives/edgar/data/0001682745/000156459018024644/vrrm-ex1012_17.htm" TargetMode="External"/><Relationship Id="rId166" Type="http://schemas.openxmlformats.org/officeDocument/2006/relationships/hyperlink" Target="http://www.sec.gov/Archives/edgar/data/1682745/000156459020051299/vrrm-ex103_114.htm" TargetMode="External"/><Relationship Id="rId167" Type="http://schemas.openxmlformats.org/officeDocument/2006/relationships/hyperlink" Target="http://www.sec.gov/Archives/edgar/data/0001682745/000156459019029382/vrrm-ex101_51.htm" TargetMode="External"/><Relationship Id="rId168" Type="http://schemas.openxmlformats.org/officeDocument/2006/relationships/hyperlink" Target="http://www.sec.gov/Archives/edgar/data/1682745/000156459020008153/vrrm-ex1017_295.htm" TargetMode="External"/><Relationship Id="rId169" Type="http://schemas.openxmlformats.org/officeDocument/2006/relationships/hyperlink" Target="http://www.sec.gov/Archives/edgar/data/0001682745/000156459018024644/vrrm-ex1017_7.htm" TargetMode="External"/><Relationship Id="rId172" Type="http://schemas.openxmlformats.org/officeDocument/2006/relationships/hyperlink" Target="http://www.sec.gov/Archives/edgar/data/0001682745/000156459018024644/vrrm-ex1018_19.htm" TargetMode="External"/><Relationship Id="rId173" Type="http://schemas.openxmlformats.org/officeDocument/2006/relationships/hyperlink" Target="http://www.sec.gov/Archives/edgar/data/0001682745/000156459018024644/vrrm-ex1019_682.htm" TargetMode="External"/><Relationship Id="rId174" Type="http://schemas.openxmlformats.org/officeDocument/2006/relationships/hyperlink" Target="http://www.sec.gov/Archives/edgar/data/0001682745/000156459018024644/vrrm-ex1020_18.htm" TargetMode="External"/><Relationship Id="rId175" Type="http://schemas.openxmlformats.org/officeDocument/2006/relationships/hyperlink" Target="http://www.sec.gov/Archives/edgar/data/1682745/000156459020008153/vrrm-ex1024_296.htm" TargetMode="External"/><Relationship Id="rId176" Type="http://schemas.openxmlformats.org/officeDocument/2006/relationships/hyperlink" Target="http://www.sec.gov/Archives/edgar/data/1682745/000156459020008153/vrrm-ex1025_297.htm" TargetMode="External"/><Relationship Id="rId177" Type="http://schemas.openxmlformats.org/officeDocument/2006/relationships/hyperlink" Target="http://www.sec.gov/Archives/edgar/data/1682745/000156459020008153/vrrm-ex1026_294.htm" TargetMode="External"/><Relationship Id="rId178" Type="http://schemas.openxmlformats.org/officeDocument/2006/relationships/hyperlink" Target="http://www.sec.gov/Archives/edgar/data/1682745/000156459020051299/vrrm-ex101_116.htm" TargetMode="External"/><Relationship Id="rId179" Type="http://schemas.openxmlformats.org/officeDocument/2006/relationships/hyperlink" Target="http://www.sec.gov/Archives/edgar/data/1682745/000156459020051299/vrrm-ex102_115.htm" TargetMode="External"/><Relationship Id="rId180" Type="http://schemas.openxmlformats.org/officeDocument/2006/relationships/hyperlink" Target="http://www.sec.gov/Archives/edgar/data/1682745/000156459021003420/vrrm-ex10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2021-03-01T16:12:20Z</dcterms:created>
  <dcterms:modified xsi:type="dcterms:W3CDTF">2021-03-01T16:12:20Z</dcterms:modified>
</cp:coreProperties>
</file>