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238760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VERRA MOBILITY CORPORATION</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424" w:type="dxa"/>
        <w:tblCellMar>
          <w:top w:w="0" w:type="dxa"/>
          <w:left w:w="0" w:type="dxa"/>
          <w:bottom w:w="0" w:type="dxa"/>
          <w:right w:w="0" w:type="dxa"/>
        </w:tblCellMar>
      </w:tblPr>
      <w:tr>
        <w:trPr>
          <w:trHeight w:val="214"/>
        </w:trPr>
        <w:tc>
          <w:tcPr>
            <w:tcW w:w="30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80" w:type="dxa"/>
            <w:vAlign w:val="bottom"/>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1-37979</w:t>
            </w:r>
          </w:p>
        </w:tc>
        <w:tc>
          <w:tcPr>
            <w:tcW w:w="17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81-3563824</w:t>
            </w:r>
          </w:p>
        </w:tc>
      </w:tr>
      <w:tr>
        <w:trPr>
          <w:trHeight w:val="148"/>
        </w:trPr>
        <w:tc>
          <w:tcPr>
            <w:tcW w:w="30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58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58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0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2046 Riverview Auto Drive, Suite 300</w:t>
            </w:r>
          </w:p>
        </w:tc>
        <w:tc>
          <w:tcPr>
            <w:tcW w:w="4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4"/>
        </w:trPr>
        <w:tc>
          <w:tcPr>
            <w:tcW w:w="30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Mesa, Arizona</w:t>
            </w:r>
          </w:p>
        </w:tc>
        <w:tc>
          <w:tcPr>
            <w:tcW w:w="4580" w:type="dxa"/>
            <w:vAlign w:val="bottom"/>
          </w:tcPr>
          <w:p>
            <w:pPr>
              <w:spacing w:after="0"/>
              <w:rPr>
                <w:sz w:val="18"/>
                <w:szCs w:val="18"/>
                <w:color w:val="auto"/>
              </w:rPr>
            </w:pPr>
          </w:p>
        </w:tc>
        <w:tc>
          <w:tcPr>
            <w:tcW w:w="17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85201</w:t>
            </w:r>
          </w:p>
        </w:tc>
      </w:tr>
      <w:tr>
        <w:trPr>
          <w:trHeight w:val="190"/>
        </w:trPr>
        <w:tc>
          <w:tcPr>
            <w:tcW w:w="30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80" w:type="dxa"/>
            <w:vAlign w:val="bottom"/>
          </w:tcPr>
          <w:p>
            <w:pPr>
              <w:spacing w:after="0"/>
              <w:rPr>
                <w:sz w:val="16"/>
                <w:szCs w:val="16"/>
                <w:color w:val="auto"/>
              </w:rPr>
            </w:pPr>
          </w:p>
        </w:tc>
        <w:tc>
          <w:tcPr>
            <w:tcW w:w="1780" w:type="dxa"/>
            <w:vAlign w:val="bottom"/>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3040" w:type="dxa"/>
            <w:vAlign w:val="bottom"/>
          </w:tcPr>
          <w:p>
            <w:pPr>
              <w:spacing w:after="0"/>
              <w:rPr>
                <w:sz w:val="24"/>
                <w:szCs w:val="24"/>
                <w:color w:val="auto"/>
              </w:rPr>
            </w:pPr>
          </w:p>
        </w:tc>
        <w:tc>
          <w:tcPr>
            <w:tcW w:w="4580" w:type="dxa"/>
            <w:vAlign w:val="bottom"/>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(480) 443-7000</w:t>
            </w:r>
          </w:p>
        </w:tc>
        <w:tc>
          <w:tcPr>
            <w:tcW w:w="1780" w:type="dxa"/>
            <w:vAlign w:val="bottom"/>
          </w:tcPr>
          <w:p>
            <w:pPr>
              <w:spacing w:after="0"/>
              <w:rPr>
                <w:sz w:val="24"/>
                <w:szCs w:val="24"/>
                <w:color w:val="auto"/>
              </w:rPr>
            </w:pPr>
          </w:p>
        </w:tc>
      </w:tr>
      <w:tr>
        <w:trPr>
          <w:trHeight w:val="190"/>
        </w:trPr>
        <w:tc>
          <w:tcPr>
            <w:tcW w:w="3040" w:type="dxa"/>
            <w:vAlign w:val="bottom"/>
          </w:tcPr>
          <w:p>
            <w:pPr>
              <w:spacing w:after="0"/>
              <w:rPr>
                <w:sz w:val="16"/>
                <w:szCs w:val="16"/>
                <w:color w:val="auto"/>
              </w:rPr>
            </w:pPr>
          </w:p>
        </w:tc>
        <w:tc>
          <w:tcPr>
            <w:tcW w:w="4580" w:type="dxa"/>
            <w:vAlign w:val="bottom"/>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363"/>
        </w:trPr>
        <w:tc>
          <w:tcPr>
            <w:tcW w:w="3040" w:type="dxa"/>
            <w:vAlign w:val="bottom"/>
          </w:tcPr>
          <w:p>
            <w:pPr>
              <w:spacing w:after="0"/>
              <w:rPr>
                <w:sz w:val="24"/>
                <w:szCs w:val="24"/>
                <w:color w:val="auto"/>
              </w:rPr>
            </w:pPr>
          </w:p>
        </w:tc>
        <w:tc>
          <w:tcPr>
            <w:tcW w:w="4580" w:type="dxa"/>
            <w:vAlign w:val="bottom"/>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N/A</w:t>
            </w:r>
          </w:p>
        </w:tc>
        <w:tc>
          <w:tcPr>
            <w:tcW w:w="1780" w:type="dxa"/>
            <w:vAlign w:val="bottom"/>
          </w:tcPr>
          <w:p>
            <w:pPr>
              <w:spacing w:after="0"/>
              <w:rPr>
                <w:sz w:val="24"/>
                <w:szCs w:val="24"/>
                <w:color w:val="auto"/>
              </w:rPr>
            </w:pPr>
          </w:p>
        </w:tc>
      </w:tr>
      <w:tr>
        <w:trPr>
          <w:trHeight w:val="190"/>
        </w:trPr>
        <w:tc>
          <w:tcPr>
            <w:tcW w:w="3040" w:type="dxa"/>
            <w:vAlign w:val="bottom"/>
          </w:tcPr>
          <w:p>
            <w:pPr>
              <w:spacing w:after="0"/>
              <w:rPr>
                <w:sz w:val="16"/>
                <w:szCs w:val="16"/>
                <w:color w:val="auto"/>
              </w:rPr>
            </w:pPr>
          </w:p>
        </w:tc>
        <w:tc>
          <w:tcPr>
            <w:tcW w:w="4580" w:type="dxa"/>
            <w:vAlign w:val="bottom"/>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7"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5"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VRRM</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185" w:lineRule="exact"/>
        <w:rPr>
          <w:sz w:val="24"/>
          <w:szCs w:val="24"/>
          <w:color w:val="auto"/>
        </w:rPr>
      </w:pPr>
    </w:p>
    <w:p>
      <w:pPr>
        <w:ind w:left="4" w:right="40"/>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154940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198120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4" w:right="439" w:bottom="1440" w:gutter="0" w:footer="0" w:header="0"/>
        </w:sectPr>
      </w:pPr>
    </w:p>
    <w:bookmarkStart w:id="1" w:name="page2"/>
    <w:bookmarkEnd w:id="1"/>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tab/>
        <w:t>Submission of Matters to a Vote of Security Holders.</w:t>
      </w:r>
    </w:p>
    <w:p>
      <w:pPr>
        <w:spacing w:after="0" w:line="117"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Verra Mobility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on May 19, 2026. At the Annual Meeting, the Company’s stockholders voted on four proposals. The proposals are described in the Company’s definitive proxy statement on Schedule 14A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filed with the Securities and Exchange Commission on April 6, 2026. As of March 24, 2026, the record date for the Annual Meeting, there were 151,906,484 shares of the Company’s Class A Common Stock outstanding and entitled to vote on the proposals voted on at the Annual Meeting. The voting results for each of the proposals are set forth below.</w:t>
      </w:r>
    </w:p>
    <w:p>
      <w:pPr>
        <w:spacing w:after="0" w:line="181" w:lineRule="exact"/>
        <w:rPr>
          <w:sz w:val="20"/>
          <w:szCs w:val="20"/>
          <w:color w:val="auto"/>
        </w:rPr>
      </w:pPr>
    </w:p>
    <w:p>
      <w:pPr>
        <w:jc w:val="both"/>
        <w:ind w:left="4" w:right="380" w:hanging="4"/>
        <w:spacing w:after="0" w:line="315" w:lineRule="auto"/>
        <w:tabs>
          <w:tab w:leader="none" w:pos="18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Election of Directors</w:t>
      </w:r>
      <w:r>
        <w:rPr>
          <w:rFonts w:ascii="Times New Roman" w:cs="Times New Roman" w:eastAsia="Times New Roman" w:hAnsi="Times New Roman"/>
          <w:sz w:val="17"/>
          <w:szCs w:val="17"/>
          <w:color w:val="auto"/>
        </w:rPr>
        <w:t>. The Company’s stockholders elected, by the vote indicated below, the following three persons as Class II directors, each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serve as such until the Company’s annual meeting of stockholders to be held in 2029, or until his respective successor is duly elected and qualified:</w:t>
      </w:r>
    </w:p>
    <w:p>
      <w:pPr>
        <w:spacing w:after="0" w:line="157" w:lineRule="exact"/>
        <w:rPr>
          <w:sz w:val="20"/>
          <w:szCs w:val="20"/>
          <w:color w:val="auto"/>
        </w:rPr>
      </w:pPr>
    </w:p>
    <w:tbl>
      <w:tblPr>
        <w:tblLayout w:type="fixed"/>
        <w:tblInd w:w="784" w:type="dxa"/>
        <w:tblCellMar>
          <w:top w:w="0" w:type="dxa"/>
          <w:left w:w="0" w:type="dxa"/>
          <w:bottom w:w="0" w:type="dxa"/>
          <w:right w:w="0" w:type="dxa"/>
        </w:tblCellMar>
      </w:tblPr>
      <w:tr>
        <w:trPr>
          <w:trHeight w:val="187"/>
        </w:trPr>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236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6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Patrick J. Byrne</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125,238,836</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15,126,193</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4,653,513</w:t>
            </w:r>
          </w:p>
        </w:tc>
      </w:tr>
      <w:tr>
        <w:trPr>
          <w:trHeight w:val="216"/>
        </w:trPr>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David M. Roberts</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136,040,667</w:t>
            </w:r>
          </w:p>
        </w:tc>
        <w:tc>
          <w:tcPr>
            <w:tcW w:w="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4,324,362</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4,653,513</w:t>
            </w:r>
          </w:p>
        </w:tc>
      </w:tr>
      <w:tr>
        <w:trPr>
          <w:trHeight w:val="216"/>
        </w:trPr>
        <w:tc>
          <w:tcPr>
            <w:tcW w:w="2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John H. Rexford</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93,660,431</w:t>
            </w:r>
          </w:p>
        </w:tc>
        <w:tc>
          <w:tcPr>
            <w:tcW w:w="8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46,704,598</w:t>
            </w: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4,653,513</w:t>
            </w:r>
          </w:p>
        </w:tc>
      </w:tr>
    </w:tbl>
    <w:p>
      <w:pPr>
        <w:spacing w:after="0" w:line="196" w:lineRule="exact"/>
        <w:rPr>
          <w:sz w:val="20"/>
          <w:szCs w:val="20"/>
          <w:color w:val="auto"/>
        </w:rPr>
      </w:pPr>
    </w:p>
    <w:p>
      <w:pPr>
        <w:ind w:left="4" w:right="320" w:hanging="4"/>
        <w:spacing w:after="0" w:line="284" w:lineRule="auto"/>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Executive Compensation</w:t>
      </w:r>
      <w:r>
        <w:rPr>
          <w:rFonts w:ascii="Times New Roman" w:cs="Times New Roman" w:eastAsia="Times New Roman" w:hAnsi="Times New Roman"/>
          <w:sz w:val="18"/>
          <w:szCs w:val="18"/>
          <w:color w:val="auto"/>
        </w:rPr>
        <w:t>. The Company’s stockholders approved, on a non-binding basis, the compensation of the Company’s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as described in the Proxy Statement, by the vote indicated below:</w:t>
      </w:r>
    </w:p>
    <w:p>
      <w:pPr>
        <w:spacing w:after="0" w:line="181" w:lineRule="exact"/>
        <w:rPr>
          <w:sz w:val="20"/>
          <w:szCs w:val="20"/>
          <w:color w:val="auto"/>
        </w:rPr>
      </w:pPr>
    </w:p>
    <w:tbl>
      <w:tblPr>
        <w:tblLayout w:type="fixed"/>
        <w:tblInd w:w="784" w:type="dxa"/>
        <w:tblCellMar>
          <w:top w:w="0" w:type="dxa"/>
          <w:left w:w="0" w:type="dxa"/>
          <w:bottom w:w="0" w:type="dxa"/>
          <w:right w:w="0" w:type="dxa"/>
        </w:tblCellMar>
      </w:tblPr>
      <w:tr>
        <w:trPr>
          <w:trHeight w:val="187"/>
        </w:trPr>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2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46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137,211,722</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2,759,518</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393,789</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4,653,513</w:t>
            </w:r>
          </w:p>
        </w:tc>
      </w:tr>
    </w:tbl>
    <w:p>
      <w:pPr>
        <w:spacing w:after="0" w:line="196" w:lineRule="exact"/>
        <w:rPr>
          <w:sz w:val="20"/>
          <w:szCs w:val="20"/>
          <w:color w:val="auto"/>
        </w:rPr>
      </w:pPr>
    </w:p>
    <w:p>
      <w:pPr>
        <w:ind w:left="4" w:hanging="4"/>
        <w:spacing w:after="0" w:line="284" w:lineRule="auto"/>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Frequency of Future Say-on-Pay Votes</w:t>
      </w:r>
      <w:r>
        <w:rPr>
          <w:rFonts w:ascii="Times New Roman" w:cs="Times New Roman" w:eastAsia="Times New Roman" w:hAnsi="Times New Roman"/>
          <w:sz w:val="18"/>
          <w:szCs w:val="18"/>
          <w:color w:val="auto"/>
        </w:rPr>
        <w:t>. The Company’s stockholders approved, on a non-binding basis, an annual say-on-pay vote,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indicated below:</w:t>
      </w:r>
    </w:p>
    <w:p>
      <w:pPr>
        <w:spacing w:after="0" w:line="181" w:lineRule="exact"/>
        <w:rPr>
          <w:sz w:val="20"/>
          <w:szCs w:val="20"/>
          <w:color w:val="auto"/>
        </w:rPr>
      </w:pPr>
    </w:p>
    <w:tbl>
      <w:tblPr>
        <w:tblLayout w:type="fixed"/>
        <w:tblInd w:w="784" w:type="dxa"/>
        <w:tblCellMar>
          <w:top w:w="0" w:type="dxa"/>
          <w:left w:w="0" w:type="dxa"/>
          <w:bottom w:w="0" w:type="dxa"/>
          <w:right w:w="0" w:type="dxa"/>
        </w:tblCellMar>
      </w:tblPr>
      <w:tr>
        <w:trPr>
          <w:trHeight w:val="187"/>
        </w:trPr>
        <w:tc>
          <w:tcPr>
            <w:tcW w:w="2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0"/>
        </w:trPr>
        <w:tc>
          <w:tcPr>
            <w:tcW w:w="246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136,797,763</w:t>
            </w:r>
          </w:p>
        </w:tc>
        <w:tc>
          <w:tcPr>
            <w:tcW w:w="1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204,369</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3,182,006</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180,891</w:t>
            </w:r>
          </w:p>
        </w:tc>
      </w:tr>
    </w:tbl>
    <w:p>
      <w:pPr>
        <w:spacing w:after="0" w:line="196" w:lineRule="exact"/>
        <w:rPr>
          <w:sz w:val="20"/>
          <w:szCs w:val="20"/>
          <w:color w:val="auto"/>
        </w:rPr>
      </w:pPr>
    </w:p>
    <w:p>
      <w:pPr>
        <w:jc w:val="both"/>
        <w:ind w:left="4" w:right="160" w:hanging="4"/>
        <w:spacing w:after="0" w:line="267" w:lineRule="auto"/>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Ratification of Deloitte &amp; Touche LLP as the Company’s Independent Registered Public Accounting Firm</w:t>
      </w:r>
      <w:r>
        <w:rPr>
          <w:rFonts w:ascii="Times New Roman" w:cs="Times New Roman" w:eastAsia="Times New Roman" w:hAnsi="Times New Roman"/>
          <w:sz w:val="18"/>
          <w:szCs w:val="18"/>
          <w:color w:val="auto"/>
        </w:rPr>
        <w:t>. The Company’s stockholders ratified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selection of Deloitte &amp; Touche LLP as the Company’s independent registered public accounting firm for the fiscal year ending December 31, 2026, by the vote indicated below:</w:t>
      </w:r>
    </w:p>
    <w:p>
      <w:pPr>
        <w:spacing w:after="0" w:line="196" w:lineRule="exact"/>
        <w:rPr>
          <w:sz w:val="20"/>
          <w:szCs w:val="20"/>
          <w:color w:val="auto"/>
        </w:rPr>
      </w:pPr>
    </w:p>
    <w:tbl>
      <w:tblPr>
        <w:tblLayout w:type="fixed"/>
        <w:tblInd w:w="784" w:type="dxa"/>
        <w:tblCellMar>
          <w:top w:w="0" w:type="dxa"/>
          <w:left w:w="0" w:type="dxa"/>
          <w:bottom w:w="0" w:type="dxa"/>
          <w:right w:w="0" w:type="dxa"/>
        </w:tblCellMar>
      </w:tblPr>
      <w:tr>
        <w:trPr>
          <w:trHeight w:val="187"/>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9"/>
        </w:trPr>
        <w:tc>
          <w:tcPr>
            <w:tcW w:w="3320" w:type="dxa"/>
            <w:vAlign w:val="bottom"/>
            <w:tcBorders>
              <w:top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144,877,651</w:t>
            </w:r>
          </w:p>
        </w:tc>
        <w:tc>
          <w:tcPr>
            <w:tcW w:w="10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8"/>
                <w:szCs w:val="18"/>
                <w:color w:val="auto"/>
              </w:rPr>
              <w:t>88,040</w:t>
            </w:r>
          </w:p>
        </w:tc>
        <w:tc>
          <w:tcPr>
            <w:tcW w:w="10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139"/>
              <w:spacing w:after="0"/>
              <w:rPr>
                <w:sz w:val="20"/>
                <w:szCs w:val="20"/>
                <w:color w:val="auto"/>
              </w:rPr>
            </w:pPr>
            <w:r>
              <w:rPr>
                <w:rFonts w:ascii="Times New Roman" w:cs="Times New Roman" w:eastAsia="Times New Roman" w:hAnsi="Times New Roman"/>
                <w:sz w:val="18"/>
                <w:szCs w:val="18"/>
                <w:color w:val="auto"/>
              </w:rPr>
              <w:t>52,851</w:t>
            </w:r>
          </w:p>
        </w:tc>
      </w:tr>
    </w:tbl>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 other proposals were submitted to a vote of the Company’s stockholders at the Annual Meeting.</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Dated: May 20, 2026</w:t>
            </w:r>
          </w:p>
        </w:tc>
        <w:tc>
          <w:tcPr>
            <w:tcW w:w="718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tc>
      </w:tr>
      <w:tr>
        <w:trPr>
          <w:trHeight w:val="432"/>
        </w:trPr>
        <w:tc>
          <w:tcPr>
            <w:tcW w:w="3840" w:type="dxa"/>
            <w:vAlign w:val="bottom"/>
          </w:tcPr>
          <w:p>
            <w:pPr>
              <w:spacing w:after="0"/>
              <w:rPr>
                <w:sz w:val="24"/>
                <w:szCs w:val="24"/>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205"/>
        </w:trPr>
        <w:tc>
          <w:tcPr>
            <w:tcW w:w="3840" w:type="dxa"/>
            <w:vAlign w:val="bottom"/>
          </w:tcPr>
          <w:p>
            <w:pPr>
              <w:spacing w:after="0"/>
              <w:rPr>
                <w:sz w:val="17"/>
                <w:szCs w:val="17"/>
                <w:color w:val="auto"/>
              </w:rPr>
            </w:pPr>
          </w:p>
        </w:tc>
        <w:tc>
          <w:tcPr>
            <w:tcW w:w="2880" w:type="dxa"/>
            <w:vAlign w:val="bottom"/>
          </w:tcPr>
          <w:p>
            <w:pPr>
              <w:ind w:left="23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840" w:type="dxa"/>
            <w:vAlign w:val="bottom"/>
          </w:tcPr>
          <w:p>
            <w:pPr>
              <w:spacing w:after="0"/>
              <w:rPr>
                <w:sz w:val="20"/>
                <w:szCs w:val="20"/>
                <w:color w:val="auto"/>
              </w:rPr>
            </w:pPr>
          </w:p>
        </w:tc>
        <w:tc>
          <w:tcPr>
            <w:tcW w:w="2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2026-05-20T15:16:23Z</dcterms:created>
  <dcterms:modified xsi:type="dcterms:W3CDTF">2026-05-20T15:16:23Z</dcterms:modified>
</cp:coreProperties>
</file>