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833755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-228600</wp:posOffset>
            </wp:positionV>
            <wp:extent cx="190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944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95885</wp:posOffset>
            </wp:positionV>
            <wp:extent cx="1909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60" w:right="1740" w:hanging="3852"/>
        <w:spacing w:after="0" w:line="266" w:lineRule="auto"/>
        <w:tabs>
          <w:tab w:leader="none" w:pos="3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6" w:lineRule="exact"/>
        <w:rPr>
          <w:sz w:val="24"/>
          <w:szCs w:val="24"/>
          <w:color w:val="auto"/>
        </w:rPr>
      </w:pPr>
    </w:p>
    <w:p>
      <w:pPr>
        <w:ind w:left="3300" w:right="1720" w:hanging="3292"/>
        <w:spacing w:after="0" w:line="336" w:lineRule="auto"/>
        <w:tabs>
          <w:tab w:leader="none" w:pos="35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79375</wp:posOffset>
            </wp:positionV>
            <wp:extent cx="1909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6"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0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81-3563824</w:t>
            </w:r>
          </w:p>
        </w:tc>
      </w:tr>
      <w:tr>
        <w:trPr>
          <w:trHeight w:val="226"/>
        </w:trPr>
        <w:tc>
          <w:tcPr>
            <w:tcW w:w="6240" w:type="dxa"/>
            <w:vAlign w:val="bottom"/>
            <w:gridSpan w:val="3"/>
          </w:tcPr>
          <w:p>
            <w:pPr>
              <w:jc w:val="center"/>
              <w:ind w:right="3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of</w:t>
            </w: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9"/>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i w:val="1"/>
                <w:iCs w:val="1"/>
                <w:color w:val="auto"/>
              </w:rPr>
              <w:t>Incorporation</w:t>
            </w:r>
            <w:r>
              <w:rPr>
                <w:rFonts w:ascii="Times New Roman" w:cs="Times New Roman" w:eastAsia="Times New Roman" w:hAnsi="Times New Roman"/>
                <w:sz w:val="17"/>
                <w:szCs w:val="17"/>
                <w:color w:val="auto"/>
              </w:rPr>
              <w:t>)</w:t>
            </w: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458"/>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1150 North Alma School Road</w:t>
            </w:r>
          </w:p>
        </w:tc>
        <w:tc>
          <w:tcPr>
            <w:tcW w:w="144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85201</w:t>
            </w:r>
          </w:p>
        </w:tc>
      </w:tr>
      <w:tr>
        <w:trPr>
          <w:trHeight w:val="229"/>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Mesa, Arizona</w:t>
            </w: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29"/>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Address of Principal Executive Offices</w:t>
            </w:r>
            <w:r>
              <w:rPr>
                <w:rFonts w:ascii="Times New Roman" w:cs="Times New Roman" w:eastAsia="Times New Roman" w:hAnsi="Times New Roman"/>
                <w:sz w:val="17"/>
                <w:szCs w:val="17"/>
                <w:color w:val="auto"/>
                <w:w w:val="99"/>
              </w:rPr>
              <w:t>)</w:t>
            </w:r>
          </w:p>
        </w:tc>
        <w:tc>
          <w:tcPr>
            <w:tcW w:w="1440" w:type="dxa"/>
            <w:vAlign w:val="bottom"/>
          </w:tcPr>
          <w:p>
            <w:pPr>
              <w:spacing w:after="0"/>
              <w:rPr>
                <w:sz w:val="19"/>
                <w:szCs w:val="19"/>
                <w:color w:val="auto"/>
              </w:rPr>
            </w:pPr>
          </w:p>
        </w:tc>
      </w:tr>
      <w:tr>
        <w:trPr>
          <w:trHeight w:val="259"/>
        </w:trPr>
        <w:tc>
          <w:tcPr>
            <w:tcW w:w="570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6"/>
        </w:trPr>
        <w:tc>
          <w:tcPr>
            <w:tcW w:w="6240" w:type="dxa"/>
            <w:vAlign w:val="bottom"/>
            <w:gridSpan w:val="3"/>
          </w:tcPr>
          <w:p>
            <w:pPr>
              <w:jc w:val="center"/>
              <w:ind w:left="2095"/>
              <w:spacing w:after="0"/>
              <w:rPr>
                <w:sz w:val="20"/>
                <w:szCs w:val="20"/>
                <w:color w:val="auto"/>
              </w:rPr>
            </w:pP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i w:val="1"/>
                <w:iCs w:val="1"/>
                <w:color w:val="auto"/>
                <w:w w:val="98"/>
              </w:rPr>
              <w:t>Registrant’s Telephone Number, Including Area Code</w:t>
            </w:r>
            <w:r>
              <w:rPr>
                <w:rFonts w:ascii="Times New Roman" w:cs="Times New Roman" w:eastAsia="Times New Roman" w:hAnsi="Times New Roman"/>
                <w:sz w:val="17"/>
                <w:szCs w:val="17"/>
                <w:color w:val="auto"/>
                <w:w w:val="98"/>
              </w:rPr>
              <w:t>)</w:t>
            </w:r>
          </w:p>
        </w:tc>
        <w:tc>
          <w:tcPr>
            <w:tcW w:w="1440" w:type="dxa"/>
            <w:vAlign w:val="bottom"/>
          </w:tcPr>
          <w:p>
            <w:pPr>
              <w:spacing w:after="0"/>
              <w:rPr>
                <w:sz w:val="19"/>
                <w:szCs w:val="19"/>
                <w:color w:val="auto"/>
              </w:rPr>
            </w:pPr>
          </w:p>
        </w:tc>
      </w:tr>
    </w:tbl>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346" w:right="339" w:bottom="1440" w:gutter="0" w:footer="0" w:header="0"/>
        </w:sectPr>
      </w:pPr>
    </w:p>
    <w:p>
      <w:pPr>
        <w:spacing w:after="0" w:line="9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(Trading Symbol)</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4540" w:space="720"/>
            <w:col w:w="1500" w:space="720"/>
            <w:col w:w="3760"/>
          </w:cols>
          <w:pgMar w:left="320" w:top="1346"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VRRM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Capital Market</w:t>
      </w:r>
    </w:p>
    <w:p>
      <w:pPr>
        <w:spacing w:after="0" w:line="146" w:lineRule="exact"/>
        <w:rPr>
          <w:sz w:val="24"/>
          <w:szCs w:val="24"/>
          <w:color w:val="auto"/>
        </w:rPr>
      </w:pPr>
    </w:p>
    <w:p>
      <w:pPr>
        <w:sectPr>
          <w:pgSz w:w="11900" w:h="16838" w:orient="portrait"/>
          <w:cols w:equalWidth="0" w:num="3">
            <w:col w:w="4860" w:space="720"/>
            <w:col w:w="1940" w:space="720"/>
            <w:col w:w="3000"/>
          </w:cols>
          <w:pgMar w:left="320" w:top="1346" w:right="339" w:bottom="1440" w:gutter="0" w:footer="0" w:header="0"/>
          <w:type w:val="continuous"/>
        </w:sect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2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0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August 2, 2024, there were 164,658,507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8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70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10"/>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2024</w:t>
            </w:r>
          </w:p>
        </w:tc>
        <w:tc>
          <w:tcPr>
            <w:tcW w:w="17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6360" w:type="dxa"/>
            <w:vAlign w:val="bottom"/>
            <w:gridSpan w:val="11"/>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900" w:type="dxa"/>
            <w:vAlign w:val="bottom"/>
            <w:gridSpan w:val="3"/>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240" w:type="dxa"/>
            <w:vAlign w:val="bottom"/>
            <w:gridSpan w:val="4"/>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9"/>
                <w:szCs w:val="19"/>
                <w:color w:val="auto"/>
              </w:rPr>
            </w:pPr>
          </w:p>
        </w:tc>
        <w:tc>
          <w:tcPr>
            <w:tcW w:w="4340" w:type="dxa"/>
            <w:vAlign w:val="bottom"/>
            <w:gridSpan w:val="6"/>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2200" w:type="dxa"/>
            <w:vAlign w:val="bottom"/>
            <w:gridSpan w:val="2"/>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660" w:type="dxa"/>
            <w:vAlign w:val="bottom"/>
            <w:gridSpan w:val="12"/>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300" w:type="dxa"/>
            <w:vAlign w:val="bottom"/>
            <w:gridSpan w:val="15"/>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19"/>
                <w:szCs w:val="19"/>
                <w:color w:val="auto"/>
              </w:rPr>
            </w:pPr>
          </w:p>
        </w:tc>
        <w:tc>
          <w:tcPr>
            <w:tcW w:w="7580" w:type="dxa"/>
            <w:vAlign w:val="bottom"/>
            <w:gridSpan w:val="17"/>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4820" w:type="dxa"/>
            <w:vAlign w:val="bottom"/>
            <w:tcBorders>
              <w:top w:val="single" w:sz="8" w:color="0000FF"/>
            </w:tcBorders>
            <w:gridSpan w:val="9"/>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60" w:type="dxa"/>
            <w:vAlign w:val="bottom"/>
            <w:tcBorders>
              <w:top w:val="single" w:sz="8" w:color="0000FF"/>
            </w:tcBorders>
            <w:gridSpan w:val="3"/>
          </w:tcPr>
          <w:p>
            <w:pPr>
              <w:spacing w:after="0"/>
              <w:rPr>
                <w:sz w:val="19"/>
                <w:szCs w:val="19"/>
                <w:color w:val="auto"/>
              </w:rPr>
            </w:pPr>
          </w:p>
        </w:tc>
        <w:tc>
          <w:tcPr>
            <w:tcW w:w="6860" w:type="dxa"/>
            <w:vAlign w:val="bottom"/>
            <w:gridSpan w:val="13"/>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8040" w:type="dxa"/>
            <w:vAlign w:val="bottom"/>
            <w:gridSpan w:val="19"/>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360" w:type="dxa"/>
            <w:vAlign w:val="bottom"/>
            <w:gridSpan w:val="20"/>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681"/>
        </w:trPr>
        <w:tc>
          <w:tcPr>
            <w:tcW w:w="6640" w:type="dxa"/>
            <w:vAlign w:val="bottom"/>
            <w:gridSpan w:val="21"/>
          </w:tcPr>
          <w:p>
            <w:pPr>
              <w:jc w:val="center"/>
              <w:ind w:left="4510"/>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contains forward-looking statements within the meaning of federal securities laws. All statements contained in this Report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p>
    <w:p>
      <w:pPr>
        <w:spacing w:after="0" w:line="7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2023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which highlight, among other risks:</w:t>
      </w:r>
    </w:p>
    <w:p>
      <w:pPr>
        <w:spacing w:after="0" w:line="69" w:lineRule="exact"/>
        <w:rPr>
          <w:sz w:val="20"/>
          <w:szCs w:val="20"/>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 including risks relating to our contract with NYCDOT (defined below), which expires December 31, 2024 and is subject to competitive procurement, and for which there can be no assurance that we will be successful in extending;</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internal controls over financial reporting on a timely basis and ability to establish and maintain effective internal controls over financial reporting;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 or other incidents;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w:t>
      </w:r>
    </w:p>
    <w:p>
      <w:pPr>
        <w:spacing w:after="0" w:line="225" w:lineRule="exact"/>
        <w:rPr>
          <w:sz w:val="20"/>
          <w:szCs w:val="20"/>
          <w:color w:val="auto"/>
        </w:rPr>
      </w:pPr>
    </w:p>
    <w:p>
      <w:pPr>
        <w:jc w:val="both"/>
        <w:ind w:firstLine="374"/>
        <w:spacing w:after="0" w:line="288"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We undertake no obligation to update any of these forward-looking statements for any reason or to conform these statements to actual results or revised expectations.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spacing w:after="0" w:line="18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Report refer to Verra Mobility Corporation, a Delaware corporation, and its subsidiaries taken as a whole.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0"/>
                <w:szCs w:val="20"/>
                <w:color w:val="auto"/>
              </w:rPr>
            </w:pPr>
          </w:p>
        </w:tc>
      </w:tr>
      <w:tr>
        <w:trPr>
          <w:trHeight w:val="215"/>
        </w:trPr>
        <w:tc>
          <w:tcPr>
            <w:tcW w:w="2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$21.6 million and</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$18.5 million at June 30, 2024 and December 31, 2023, respectively)</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197,824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449,642</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439,538</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133,314</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266,971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301,025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834,745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835,835</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34,632</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1,772,997</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75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175,299</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214,773</w:t>
            </w:r>
          </w:p>
        </w:tc>
        <w:tc>
          <w:tcPr>
            <w:tcW w:w="100" w:type="dxa"/>
            <w:vAlign w:val="bottom"/>
            <w:tcBorders>
              <w:top w:val="single" w:sz="8" w:color="CFF0FC"/>
            </w:tcBorders>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1,036,338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1,334,370</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1,368,516</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32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 260,000 shares authorized with 164,658</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166,555 shares issued and outstanding at June 30, 2024 and December 31, 2023, respectively</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556,494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557,513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(105,881 )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(125,887 )</w:t>
            </w: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(12,002 )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(10,176 )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438,627</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1,772,997</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-4220845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-4220845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-2953385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2"/>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9"/>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212,017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196,050</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414,738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380,748</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10,409</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8,411</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15,616</w:t>
            </w:r>
          </w:p>
        </w:tc>
        <w:tc>
          <w:tcPr>
            <w:tcW w:w="100" w:type="dxa"/>
            <w:vAlign w:val="bottom"/>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222,426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204,461</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432,156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396,364</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11,345</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65,657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46,343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43,205</w:t>
            </w: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94,514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83,218</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Borders>
              <w:bottom w:val="single" w:sz="8" w:color="CFF0FC"/>
            </w:tcBorders>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 of assets,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29,088</w:t>
            </w:r>
          </w:p>
        </w:tc>
        <w:tc>
          <w:tcPr>
            <w:tcW w:w="3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54,497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59,421</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161,257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148,250</w:t>
            </w:r>
          </w:p>
        </w:tc>
        <w:tc>
          <w:tcPr>
            <w:tcW w:w="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316,634</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290,052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56,211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106,312</w:t>
            </w:r>
          </w:p>
        </w:tc>
        <w:tc>
          <w:tcPr>
            <w:tcW w:w="100" w:type="dxa"/>
            <w:vAlign w:val="bottom"/>
          </w:tcPr>
          <w:p>
            <w:pPr>
              <w:spacing w:after="0"/>
              <w:rPr>
                <w:sz w:val="19"/>
                <w:szCs w:val="19"/>
                <w:color w:val="auto"/>
              </w:rPr>
            </w:pPr>
          </w:p>
        </w:tc>
      </w:tr>
      <w:tr>
        <w:trPr>
          <w:trHeight w:val="231"/>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18,845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22,771</w:t>
            </w: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38,480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45,458</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25,519</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(23 )</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(4,805 )</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(419 )</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(2,007 )</w:t>
            </w: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(5,245 )</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(4,512 )</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(9,698 )</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(8,268 )</w:t>
            </w:r>
          </w:p>
        </w:tc>
      </w:tr>
      <w:tr>
        <w:trPr>
          <w:trHeight w:val="223"/>
        </w:trPr>
        <w:tc>
          <w:tcPr>
            <w:tcW w:w="20" w:type="dxa"/>
            <w:vAlign w:val="bottom"/>
            <w:tcBorders>
              <w:top w:val="single" w:sz="8" w:color="CFF0FC"/>
            </w:tcBorders>
          </w:tcPr>
          <w:p>
            <w:pPr>
              <w:spacing w:after="0"/>
              <w:rPr>
                <w:sz w:val="19"/>
                <w:szCs w:val="19"/>
                <w:color w:val="auto"/>
              </w:rPr>
            </w:pPr>
          </w:p>
        </w:tc>
        <w:tc>
          <w:tcPr>
            <w:tcW w:w="51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other expenses</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13,577</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24,581</w:t>
            </w:r>
          </w:p>
        </w:tc>
        <w:tc>
          <w:tcPr>
            <w:tcW w:w="38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28,958</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62,260</w:t>
            </w:r>
          </w:p>
        </w:tc>
        <w:tc>
          <w:tcPr>
            <w:tcW w:w="100" w:type="dxa"/>
            <w:vAlign w:val="bottom"/>
            <w:tcBorders>
              <w:top w:val="single" w:sz="8" w:color="CFF0FC"/>
            </w:tcBorders>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31,630</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86,564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44,052</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13,369</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12,522</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23,192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20,367</w:t>
            </w:r>
          </w:p>
        </w:tc>
        <w:tc>
          <w:tcPr>
            <w:tcW w:w="100" w:type="dxa"/>
            <w:vAlign w:val="bottom"/>
          </w:tcPr>
          <w:p>
            <w:pPr>
              <w:spacing w:after="0"/>
              <w:rPr>
                <w:sz w:val="19"/>
                <w:szCs w:val="19"/>
                <w:color w:val="auto"/>
              </w:rPr>
            </w:pPr>
          </w:p>
        </w:tc>
      </w:tr>
      <w:tr>
        <w:trPr>
          <w:trHeight w:val="265"/>
        </w:trPr>
        <w:tc>
          <w:tcPr>
            <w:tcW w:w="20" w:type="dxa"/>
            <w:vAlign w:val="bottom"/>
            <w:tcBorders>
              <w:bottom w:val="single" w:sz="8" w:color="CFF0FC"/>
            </w:tcBorders>
            <w:shd w:val="clear" w:color="auto" w:fill="CFF0FC"/>
          </w:tcPr>
          <w:p>
            <w:pPr>
              <w:spacing w:after="0"/>
              <w:rPr>
                <w:sz w:val="23"/>
                <w:szCs w:val="23"/>
                <w:color w:val="auto"/>
              </w:rPr>
            </w:pPr>
          </w:p>
        </w:tc>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34,223</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19,108</w:t>
            </w:r>
          </w:p>
        </w:tc>
        <w:tc>
          <w:tcPr>
            <w:tcW w:w="3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63,372</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23,685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8"/>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(1,826 )</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shd w:val="clear" w:color="auto" w:fill="CFF0FC"/>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35,657</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19,826</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61,546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per share: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3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2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shd w:val="clear" w:color="auto" w:fill="CFF0FC"/>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166,064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151,132</w:t>
            </w: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166,152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150,151</w:t>
            </w:r>
          </w:p>
        </w:tc>
        <w:tc>
          <w:tcPr>
            <w:tcW w:w="100" w:type="dxa"/>
            <w:vAlign w:val="bottom"/>
            <w:shd w:val="clear" w:color="auto" w:fill="CFF0FC"/>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152,590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168,670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-3021330</wp:posOffset>
            </wp:positionV>
            <wp:extent cx="102235" cy="187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-3021330</wp:posOffset>
            </wp:positionV>
            <wp:extent cx="93980" cy="187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-3021330</wp:posOffset>
            </wp:positionV>
            <wp:extent cx="93980" cy="187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-3021330</wp:posOffset>
            </wp:positionV>
            <wp:extent cx="93980" cy="187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-1972945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-1972945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-1972945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-1972945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-1364615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-1347470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-1364615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-1347470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-1364615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-1347470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-1364615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-1347470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4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3"/>
                <w:szCs w:val="13"/>
                <w:color w:val="auto"/>
              </w:rPr>
            </w:pPr>
          </w:p>
        </w:tc>
        <w:tc>
          <w:tcPr>
            <w:tcW w:w="1080" w:type="dxa"/>
            <w:vAlign w:val="bottom"/>
            <w:gridSpan w:val="3"/>
          </w:tcPr>
          <w:p>
            <w:pPr>
              <w:jc w:val="center"/>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Comprehensi</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120" w:type="dxa"/>
            <w:vAlign w:val="bottom"/>
          </w:tcPr>
          <w:p>
            <w:pPr>
              <w:spacing w:after="0"/>
              <w:rPr>
                <w:sz w:val="16"/>
                <w:szCs w:val="16"/>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6"/>
                <w:szCs w:val="16"/>
                <w:color w:val="auto"/>
              </w:rPr>
            </w:pPr>
          </w:p>
        </w:tc>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ve</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1040" w:type="dxa"/>
            <w:vAlign w:val="bottom"/>
            <w:tcBorders>
              <w:bottom w:val="single" w:sz="8" w:color="auto"/>
            </w:tcBorders>
          </w:tcPr>
          <w:p>
            <w:pPr>
              <w:jc w:val="right"/>
              <w:ind w:right="224"/>
              <w:spacing w:after="0" w:line="169"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4"/>
              <w:spacing w:after="0" w:line="169" w:lineRule="exact"/>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Consideration</w:t>
            </w:r>
          </w:p>
        </w:tc>
        <w:tc>
          <w:tcPr>
            <w:tcW w:w="24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4"/>
              <w:spacing w:after="0" w:line="169"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Loss</w:t>
            </w:r>
          </w:p>
        </w:tc>
        <w:tc>
          <w:tcPr>
            <w:tcW w:w="22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166,555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557,513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(125,887 )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(10,176 )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421,467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repurchases and retirement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(534 )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(1,789 )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Vesting of restricted stock units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 performance share units ("</w:t>
            </w:r>
            <w:r>
              <w:rPr>
                <w:rFonts w:ascii="Times New Roman" w:cs="Times New Roman" w:eastAsia="Times New Roman" w:hAnsi="Times New Roman"/>
                <w:sz w:val="15"/>
                <w:szCs w:val="15"/>
                <w:b w:val="1"/>
                <w:bCs w:val="1"/>
                <w:i w:val="1"/>
                <w:iCs w:val="1"/>
                <w:color w:val="auto"/>
              </w:rPr>
              <w:t>PSU</w:t>
            </w:r>
            <w:r>
              <w:rPr>
                <w:rFonts w:ascii="Times New Roman" w:cs="Times New Roman" w:eastAsia="Times New Roman" w:hAnsi="Times New Roman"/>
                <w:sz w:val="15"/>
                <w:szCs w:val="15"/>
                <w:color w:val="auto"/>
              </w:rPr>
              <w:t>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(4,608 )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(4,608 )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(3,260 )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166,516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557,363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(94,949 )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(13,436 )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448,995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repurchases and retirement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(2,000 )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(6,694 )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(45,155 )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(51,850 )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(1,050 )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CFF0FC"/>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164,658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556,494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(105,881</w:t>
            </w:r>
          </w:p>
        </w:tc>
        <w:tc>
          <w:tcPr>
            <w:tcW w:w="100" w:type="dxa"/>
            <w:vAlign w:val="bottom"/>
            <w:tcBorders>
              <w:top w:val="single" w:sz="8" w:color="CFF0FC"/>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(12,002</w:t>
            </w:r>
          </w:p>
        </w:tc>
        <w:tc>
          <w:tcPr>
            <w:tcW w:w="100" w:type="dxa"/>
            <w:vAlign w:val="bottom"/>
            <w:tcBorders>
              <w:top w:val="single" w:sz="8" w:color="CFF0FC"/>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438,627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0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2023</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148,962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36,575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305,423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(98,078 )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(12,865 )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231,070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276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(2,526 )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(2,526 )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149,961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36,575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306,974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(93,501 )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(12,955 )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237,108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276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Earn-out shares issued to PE Greenlight</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Holdings, LLC</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(18,288 )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18,288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Vesting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related to RSUs vesting</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(502 )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(502 )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14,208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202,652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202,654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166,917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18,287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533,626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(74,393</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(12,237</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465,300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-2945130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-2927985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-3073400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-2945130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-2927985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-3073400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-2945130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-2927985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-3073400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-2945130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-2927985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-3073400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-2945130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-2927985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-3073400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-2945130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-2927985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-3073400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20" w:type="dxa"/>
            <w:vAlign w:val="bottom"/>
          </w:tcPr>
          <w:p>
            <w:pPr>
              <w:spacing w:after="0"/>
              <w:rPr>
                <w:sz w:val="13"/>
                <w:szCs w:val="13"/>
                <w:color w:val="auto"/>
              </w:rPr>
            </w:pPr>
          </w:p>
        </w:tc>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(3,563 )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(699 )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(4,733 )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(21,968 )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(21,071 )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(7,231 )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(6,120 )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(4,192 )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(2,208 )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(31,170 )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1"/>
                <w:szCs w:val="21"/>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(1,595 )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74,368</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107,927</w:t>
            </w:r>
          </w:p>
        </w:tc>
        <w:tc>
          <w:tcPr>
            <w:tcW w:w="100" w:type="dxa"/>
            <w:vAlign w:val="bottom"/>
            <w:shd w:val="clear" w:color="auto" w:fill="CFF0FC"/>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receipts (payments) for interest rate swap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(1,556 )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(28,333 )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(30,098 )</w:t>
            </w: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(27,677 )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(31,525 )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(4,509 )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(77,009 )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6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(51,500 )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(5,658 )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(3,028 )</w:t>
            </w: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100" w:type="dxa"/>
            <w:vAlign w:val="bottom"/>
          </w:tcPr>
          <w:p>
            <w:pPr>
              <w:spacing w:after="0"/>
              <w:rPr>
                <w:sz w:val="20"/>
                <w:szCs w:val="20"/>
                <w:color w:val="auto"/>
              </w:rPr>
            </w:pP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(98 )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0"/>
                <w:szCs w:val="20"/>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(14,324 )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104,384</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139,722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20" w:type="dxa"/>
            <w:vAlign w:val="bottom"/>
            <w:shd w:val="clear" w:color="auto" w:fill="CFF0FC"/>
          </w:tcPr>
          <w:p>
            <w:pPr>
              <w:spacing w:after="0"/>
              <w:rPr>
                <w:sz w:val="17"/>
                <w:szCs w:val="17"/>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210,083</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-3021965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-3021965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-1793240</wp:posOffset>
            </wp:positionV>
            <wp:extent cx="9398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-1793240</wp:posOffset>
            </wp:positionV>
            <wp:extent cx="9398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-1454785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-1137920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1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excise tax payable on net share repurchases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Earn-out shares issued to PE Greenlight Holdings, LLC</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receivable from the exercise of warrants at period-end</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additional paid-in capital due to exercise of private placement warrants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44,155</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xml:space="preserve">”)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and perform timely transfers of liability on the customers’ behalf, and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recurring maintenance services related to the equipment and software.</w:t>
      </w:r>
    </w:p>
    <w:p>
      <w:pPr>
        <w:spacing w:after="0" w:line="18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11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 Revenue from the single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8"/>
        </w:trPr>
        <w:tc>
          <w:tcPr>
            <w:tcW w:w="5640" w:type="dxa"/>
            <w:vAlign w:val="bottom"/>
            <w:gridSpan w:val="2"/>
          </w:tcPr>
          <w:p>
            <w:pPr>
              <w:jc w:val="right"/>
              <w:ind w:right="2068"/>
              <w:spacing w:after="0"/>
              <w:rPr>
                <w:sz w:val="20"/>
                <w:szCs w:val="20"/>
                <w:color w:val="auto"/>
              </w:rPr>
            </w:pPr>
            <w:r>
              <w:rPr>
                <w:rFonts w:ascii="Times New Roman" w:cs="Times New Roman" w:eastAsia="Times New Roman" w:hAnsi="Times New Roman"/>
                <w:sz w:val="18"/>
                <w:szCs w:val="18"/>
                <w:color w:val="auto"/>
                <w:w w:val="99"/>
              </w:rPr>
              <w:t>City of New York Department of Transportation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15.6 %</w:t>
            </w: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16.9 %</w:t>
            </w:r>
          </w:p>
        </w:tc>
        <w:tc>
          <w:tcPr>
            <w:tcW w:w="9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c>
          <w:tcPr>
            <w:tcW w:w="10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jc w:val="both"/>
        <w:ind w:right="60" w:firstLine="374"/>
        <w:spacing w:after="0" w:line="268"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12% and 18% of total accounts receivable, net as of June 30, 2024 and December 31, 2023,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 revenues generated through the Company’s Commercial Services partners as a percent of total revenue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7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6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10.6 %</w:t>
            </w: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13.9 %</w:t>
            </w:r>
          </w:p>
        </w:tc>
        <w:tc>
          <w:tcPr>
            <w:tcW w:w="10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Enterprise Mobility</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10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80" w:firstLine="374"/>
        <w:spacing w:after="0" w:line="281" w:lineRule="auto"/>
        <w:rPr>
          <w:sz w:val="20"/>
          <w:szCs w:val="20"/>
          <w:color w:val="auto"/>
        </w:rPr>
      </w:pPr>
      <w:r>
        <w:rPr>
          <w:rFonts w:ascii="Times New Roman" w:cs="Times New Roman" w:eastAsia="Times New Roman" w:hAnsi="Times New Roman"/>
          <w:sz w:val="18"/>
          <w:szCs w:val="18"/>
          <w:color w:val="auto"/>
        </w:rPr>
        <w:t>The Avis Budget Group, Inc. was 10% of total accounts receivable, net as of June 30, 2024. No Commercial Services customer exceeded 10% of total accounts receivable, net as of December 31, 2023.</w:t>
      </w:r>
    </w:p>
    <w:p>
      <w:pPr>
        <w:spacing w:after="0" w:line="163"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 net for the Parking Solutions segment as of or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8" w:right="279" w:bottom="1440" w:gutter="0" w:footer="0" w:header="0"/>
        </w:sectPr>
      </w:pPr>
    </w:p>
    <w:bookmarkStart w:id="10" w:name="page11"/>
    <w:bookmarkEnd w:id="10"/>
    <w:p>
      <w:pPr>
        <w:ind w:left="380"/>
        <w:spacing w:after="0"/>
        <w:rPr>
          <w:sz w:val="20"/>
          <w:szCs w:val="20"/>
          <w:color w:val="auto"/>
        </w:rPr>
      </w:pPr>
      <w:r>
        <w:rPr>
          <w:rFonts w:ascii="Times New Roman" w:cs="Times New Roman" w:eastAsia="Times New Roman" w:hAnsi="Times New Roman"/>
          <w:sz w:val="18"/>
          <w:szCs w:val="18"/>
          <w:color w:val="auto"/>
        </w:rPr>
        <w:t>The Company identified portfolio segments based on the type of business, industry in which the customer operates and historical credit loss patterns.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activity in the allowance for credit losses for the six months ended June 30, 2024 and 2023,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200" w:type="dxa"/>
            <w:vAlign w:val="bottom"/>
          </w:tcPr>
          <w:p>
            <w:pPr>
              <w:spacing w:after="0"/>
              <w:rPr>
                <w:sz w:val="13"/>
                <w:szCs w:val="13"/>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3"/>
                <w:szCs w:val="13"/>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54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(Driver-billed)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Parking Solutions</w:t>
            </w:r>
          </w:p>
        </w:tc>
        <w:tc>
          <w:tcPr>
            <w:tcW w:w="30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(5,699 )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(522 )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(6,252 )</w:t>
            </w:r>
          </w:p>
        </w:tc>
        <w:tc>
          <w:tcPr>
            <w:tcW w:w="0" w:type="dxa"/>
            <w:vAlign w:val="bottom"/>
          </w:tcPr>
          <w:p>
            <w:pPr>
              <w:spacing w:after="0"/>
              <w:rPr>
                <w:sz w:val="1"/>
                <w:szCs w:val="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33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20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24"/>
                <w:szCs w:val="24"/>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54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(Driver-billed)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Parking Solutions</w:t>
            </w:r>
          </w:p>
        </w:tc>
        <w:tc>
          <w:tcPr>
            <w:tcW w:w="30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(94 )</w:t>
            </w:r>
          </w:p>
        </w:tc>
        <w:tc>
          <w:tcPr>
            <w:tcW w:w="20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(760 )</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(359 )</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(147 )</w:t>
            </w:r>
          </w:p>
        </w:tc>
        <w:tc>
          <w:tcPr>
            <w:tcW w:w="5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(726 )</w:t>
            </w:r>
          </w:p>
        </w:tc>
        <w:tc>
          <w:tcPr>
            <w:tcW w:w="0" w:type="dxa"/>
            <w:vAlign w:val="bottom"/>
          </w:tcPr>
          <w:p>
            <w:pPr>
              <w:spacing w:after="0"/>
              <w:rPr>
                <w:sz w:val="1"/>
                <w:szCs w:val="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33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June 30, 2023</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-1318260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-1318260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-1318260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-1318260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-187960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680" w:hanging="373"/>
        <w:spacing w:after="0" w:line="28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Driver-billed consists of receivables from drivers of rental cars for which the Company bills on behalf of its customers. Receivables not collected from drivers within a defined number of days are transferred to customers subject to applicable bad debt sharing agreements.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The Company had approximately $10.4 million and $13.1 million of deferred revenue in the Government Solutions segment as of June 30, 2024 and December 31, 2023, respectively. The Company recognized $2.4 million and $2.5 million of revenue excluding exchange rate impact during the three months ended June 30, 2024 and 2023, respectively, and $5.4 million and $4.0 million, of revenue excluding exchange rate impact during the six months ended June 30, 2024 and 2023, respectively, related to amounts that were included in deferred revenue as of December 31, 2023 and 2022, respectively. The Company had approximately $20.7 million and $19.7 million of deferred revenue in the Parking Solutions segment as of June 30, 2024 and December 31, 2023, respectively. The Company recognized $6.8 million and $6.1 million of revenue during the three months ended June 30, 2024 and 2023, respectively, and $15.4 million and $14.8 million of revenue during the six months ended June 30, 2024 and 2023, respectively, related to amounts that were included in deferred revenue as of December 31, 2023 and 2022.</w:t>
      </w:r>
    </w:p>
    <w:p>
      <w:pPr>
        <w:spacing w:after="0" w:line="7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includes deferred revenue above and unbilled amounts that are expected to be recognized as revenue in future periods. As of June 30, 2024, total transaction price allocated to performance obligations in the Government Solutions segment that were unsatisfied or partially unsatisfied was $295.2 million, of which $160.5 million is expected to be recognized as revenue in the next twelve months and the rest over the remaining performance obligation period.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firstLine="374"/>
        <w:spacing w:after="0" w:line="271" w:lineRule="auto"/>
        <w:rPr>
          <w:sz w:val="20"/>
          <w:szCs w:val="20"/>
          <w:color w:val="auto"/>
        </w:rPr>
      </w:pPr>
      <w:r>
        <w:rPr>
          <w:rFonts w:ascii="Times New Roman" w:cs="Times New Roman" w:eastAsia="Times New Roman" w:hAnsi="Times New Roman"/>
          <w:sz w:val="17"/>
          <w:szCs w:val="17"/>
          <w:color w:val="auto"/>
        </w:rPr>
        <w:t>In December 2022, the Company entered into a cancellable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7"/>
          <w:szCs w:val="17"/>
          <w:b w:val="1"/>
          <w:bCs w:val="1"/>
          <w:i w:val="1"/>
          <w:iCs w:val="1"/>
          <w:color w:val="auto"/>
        </w:rPr>
        <w:t>SOFR</w:t>
      </w:r>
      <w:r>
        <w:rPr>
          <w:rFonts w:ascii="Times New Roman" w:cs="Times New Roman" w:eastAsia="Times New Roman" w:hAnsi="Times New Roman"/>
          <w:sz w:val="17"/>
          <w:szCs w:val="17"/>
          <w:color w:val="auto"/>
        </w:rPr>
        <w:t>”) portion of the variable interest rate on its 2021 Term Loan. Under the interest rate swap agreement, the Company pays a fixed rate of 5.17%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$675.0 million. The Company has the option to effectively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and related cash receipts or payments are recorded in the condensed consolidated statements of operations within the gain on interest rate swap line item.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 w:name="page12"/>
    <w:bookmarkEnd w:id="11"/>
    <w:p>
      <w:pPr>
        <w:ind w:left="380"/>
        <w:spacing w:after="0"/>
        <w:rPr>
          <w:sz w:val="20"/>
          <w:szCs w:val="20"/>
          <w:color w:val="auto"/>
        </w:rPr>
      </w:pPr>
      <w:r>
        <w:rPr>
          <w:rFonts w:ascii="Times New Roman" w:cs="Times New Roman" w:eastAsia="Times New Roman" w:hAnsi="Times New Roman"/>
          <w:sz w:val="18"/>
          <w:szCs w:val="18"/>
          <w:color w:val="auto"/>
        </w:rPr>
        <w:t>The following details the components of the gain on interest rate swap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20" w:type="dxa"/>
            <w:vAlign w:val="bottom"/>
          </w:tcPr>
          <w:p>
            <w:pPr>
              <w:spacing w:after="0"/>
              <w:rPr>
                <w:sz w:val="13"/>
                <w:szCs w:val="13"/>
                <w:color w:val="auto"/>
              </w:rPr>
            </w:pPr>
          </w:p>
        </w:tc>
        <w:tc>
          <w:tcPr>
            <w:tcW w:w="4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(5,115 )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(3,563 )</w:t>
            </w:r>
          </w:p>
        </w:tc>
      </w:tr>
      <w:tr>
        <w:trPr>
          <w:trHeight w:val="238"/>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(receipts) payments</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4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gain on interest rate swap</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(4,805 )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(2,007 )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 xml:space="preserve">The effect of remeasurement to fair value is recorded within the operating activities section and the monthly cash proceeds received or payments made are recorded within the investing activities section in the condensed consolidated statements of cash flows. See Note 7,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discussion on the fair value measurement of the interest rate swap, and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additional information on the Company's mix of fixed and variable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 Adopted</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On June 30, 2022,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2022-03,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(Topic 820): Fair Value Measurement of Equity Securities Subject to Contractual Sale Restrictions</w:t>
      </w:r>
      <w:r>
        <w:rPr>
          <w:rFonts w:ascii="Times New Roman" w:cs="Times New Roman" w:eastAsia="Times New Roman" w:hAnsi="Times New Roman"/>
          <w:sz w:val="18"/>
          <w:szCs w:val="18"/>
          <w:color w:val="auto"/>
        </w:rPr>
        <w:t>. The ASU clarifies that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Company adopted this standard as of January 1, 2024. The adoption of this standard did not have an impact on the Company's financial statements or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ASU intends to enhance disclosure related to significant segment expenses regularly provided to the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amounts presented as “other” within segment profit (loss), require that all annual disclosures are also reported for interim periods, further define the CODM and how they use segment profit (loss) to allocate resources, and require that entities with only a single reportable segment provide all required segment disclosures. The guidance is effective for fiscal years beginning after December 15, 2023 and interim periods within fiscal years beginning after December 15, 2024. Early adoption is permitted. The Company is currently evaluating the impact of this standard on its financial statements.</w:t>
      </w:r>
    </w:p>
    <w:p>
      <w:pPr>
        <w:spacing w:after="0" w:line="7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ASU requires companies to disclose specific categories in the rate reconciliation, provide 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Early adoption is permitted. The Company is currently evaluating the impact of this standard on its financial statements.</w:t>
      </w:r>
    </w:p>
    <w:p>
      <w:pPr>
        <w:spacing w:after="0" w:line="11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2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42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13,829</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Borders>
              <w:bottom w:val="single" w:sz="8" w:color="CFF0FC"/>
            </w:tcBorders>
          </w:tcPr>
          <w:p>
            <w:pPr>
              <w:spacing w:after="0"/>
              <w:rPr>
                <w:sz w:val="20"/>
                <w:szCs w:val="20"/>
                <w:color w:val="auto"/>
              </w:rPr>
            </w:pPr>
          </w:p>
        </w:tc>
        <w:tc>
          <w:tcPr>
            <w:tcW w:w="45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FF0FC"/>
            </w:tcBorders>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5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52,721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20" w:type="dxa"/>
            <w:vAlign w:val="bottom"/>
          </w:tcPr>
          <w:p>
            <w:pPr>
              <w:jc w:val="right"/>
              <w:ind w:right="1936"/>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-932815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-915670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20" w:type="dxa"/>
            <w:vAlign w:val="bottom"/>
          </w:tcPr>
          <w:p>
            <w:pPr>
              <w:spacing w:after="0"/>
              <w:rPr>
                <w:sz w:val="15"/>
                <w:szCs w:val="15"/>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5"/>
                <w:szCs w:val="15"/>
                <w:color w:val="auto"/>
              </w:rPr>
            </w:pP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835,835</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(818 )</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421,273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214,330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73"/>
        </w:trPr>
        <w:tc>
          <w:tcPr>
            <w:tcW w:w="2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372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Trademarks </w:t>
            </w:r>
            <w:r>
              <w:rPr>
                <w:rFonts w:ascii="Times New Roman" w:cs="Times New Roman" w:eastAsia="Times New Roman" w:hAnsi="Times New Roman"/>
                <w:sz w:val="24"/>
                <w:szCs w:val="24"/>
                <w:color w:val="auto"/>
                <w:vertAlign w:val="superscript"/>
              </w:rPr>
              <w:t>(a)</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5.6 years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 years</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 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720" w:type="dxa"/>
            <w:vAlign w:val="bottom"/>
            <w:gridSpan w:val="2"/>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 xml:space="preserve">Non-compete agreements </w:t>
            </w:r>
            <w:r>
              <w:rPr>
                <w:rFonts w:ascii="Times New Roman" w:cs="Times New Roman" w:eastAsia="Times New Roman" w:hAnsi="Times New Roman"/>
                <w:sz w:val="24"/>
                <w:szCs w:val="24"/>
                <w:color w:val="auto"/>
                <w:vertAlign w:val="superscript"/>
              </w:rPr>
              <w:t>(a)</w:t>
            </w: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 years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 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558,837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318,454</w:t>
            </w:r>
          </w:p>
        </w:tc>
        <w:tc>
          <w:tcPr>
            <w:tcW w:w="2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288,065</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3720" w:type="dxa"/>
            <w:vAlign w:val="bottom"/>
            <w:tcBorders>
              <w:bottom w:val="single" w:sz="8" w:color="CFF0FC"/>
            </w:tcBorders>
            <w:gridSpan w:val="2"/>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4"/>
                <w:szCs w:val="24"/>
                <w:color w:val="auto"/>
                <w:vertAlign w:val="superscript"/>
              </w:rPr>
              <w:t>(a)</w:t>
            </w: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 years</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0.8 years</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201,657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604,067</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337,096</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859,688</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558,663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(337,096 )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(558,663 )</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37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266,971</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301,025</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-530225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-530225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-530225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-187960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left="680" w:hanging="373"/>
        <w:spacing w:after="0" w:line="265"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fully amortized intangible assets were removed as of June 30, 2024 as compared to the amounts reported as of December 31, 2023, resulting in an increase in the weighted average remaining useful lives compared to the prior year which relates to the remaining intangible assets that are being amortized.</w:t>
      </w:r>
    </w:p>
    <w:p>
      <w:pPr>
        <w:spacing w:after="0" w:line="6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Amortization expense was $16.7 million and $20.0 million for the three months ended June 30, 2024 and 2023, respectively, and was $33.5 million and $42.0 million for the six months ended June 30, 2024 and 2023, respectively.</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6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100" w:type="dxa"/>
            <w:vAlign w:val="bottom"/>
            <w:shd w:val="clear" w:color="auto" w:fill="CFF0FC"/>
          </w:tcPr>
          <w:p>
            <w:pPr>
              <w:spacing w:after="0"/>
              <w:rPr>
                <w:sz w:val="21"/>
                <w:szCs w:val="21"/>
                <w:color w:val="auto"/>
              </w:rPr>
            </w:pPr>
          </w:p>
        </w:tc>
      </w:t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64,362</w:t>
            </w:r>
          </w:p>
        </w:tc>
        <w:tc>
          <w:tcPr>
            <w:tcW w:w="100" w:type="dxa"/>
            <w:vAlign w:val="bottom"/>
          </w:tcPr>
          <w:p>
            <w:pPr>
              <w:spacing w:after="0"/>
              <w:rPr>
                <w:sz w:val="20"/>
                <w:szCs w:val="20"/>
                <w:color w:val="auto"/>
              </w:rPr>
            </w:pPr>
          </w:p>
        </w:tc>
      </w:tr>
      <w:tr>
        <w:trPr>
          <w:trHeight w:val="247"/>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80" w:type="dxa"/>
            <w:vAlign w:val="bottom"/>
            <w:shd w:val="clear" w:color="auto" w:fill="CFF0FC"/>
          </w:tcPr>
          <w:p>
            <w:pPr>
              <w:spacing w:after="0"/>
              <w:rPr>
                <w:sz w:val="21"/>
                <w:szCs w:val="21"/>
                <w:color w:val="auto"/>
              </w:rPr>
            </w:pPr>
          </w:p>
        </w:tc>
        <w:tc>
          <w:tcPr>
            <w:tcW w:w="60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57,387</w:t>
            </w:r>
          </w:p>
        </w:tc>
        <w:tc>
          <w:tcPr>
            <w:tcW w:w="100" w:type="dxa"/>
            <w:vAlign w:val="bottom"/>
            <w:shd w:val="clear" w:color="auto" w:fill="CFF0FC"/>
          </w:tcPr>
          <w:p>
            <w:pPr>
              <w:spacing w:after="0"/>
              <w:rPr>
                <w:sz w:val="21"/>
                <w:szCs w:val="21"/>
                <w:color w:val="auto"/>
              </w:rPr>
            </w:pPr>
          </w:p>
        </w:tc>
      </w:t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tcPr>
          <w:p>
            <w:pPr>
              <w:spacing w:after="0"/>
              <w:rPr>
                <w:sz w:val="20"/>
                <w:szCs w:val="20"/>
                <w:color w:val="auto"/>
              </w:rPr>
            </w:pPr>
          </w:p>
        </w:tc>
      </w:tr>
      <w:tr>
        <w:trPr>
          <w:trHeight w:val="247"/>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80" w:type="dxa"/>
            <w:vAlign w:val="bottom"/>
            <w:shd w:val="clear" w:color="auto" w:fill="CFF0FC"/>
          </w:tcPr>
          <w:p>
            <w:pPr>
              <w:spacing w:after="0"/>
              <w:rPr>
                <w:sz w:val="21"/>
                <w:szCs w:val="21"/>
                <w:color w:val="auto"/>
              </w:rPr>
            </w:pPr>
          </w:p>
        </w:tc>
        <w:tc>
          <w:tcPr>
            <w:tcW w:w="60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Pr>
          <w:p>
            <w:pPr>
              <w:spacing w:after="0"/>
              <w:rPr>
                <w:sz w:val="21"/>
                <w:szCs w:val="21"/>
                <w:color w:val="auto"/>
              </w:rPr>
            </w:pPr>
          </w:p>
        </w:tc>
      </w:tr>
      <w:tr>
        <w:trPr>
          <w:trHeight w:val="276"/>
        </w:trPr>
        <w:tc>
          <w:tcPr>
            <w:tcW w:w="20" w:type="dxa"/>
            <w:vAlign w:val="bottom"/>
            <w:shd w:val="clear" w:color="auto" w:fill="CFF0FC"/>
          </w:tcPr>
          <w:p>
            <w:pPr>
              <w:spacing w:after="0"/>
              <w:rPr>
                <w:sz w:val="24"/>
                <w:szCs w:val="24"/>
                <w:color w:val="auto"/>
              </w:rPr>
            </w:pPr>
          </w:p>
        </w:tc>
        <w:tc>
          <w:tcPr>
            <w:tcW w:w="3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266,971</w:t>
            </w:r>
          </w:p>
        </w:tc>
        <w:tc>
          <w:tcPr>
            <w:tcW w:w="100" w:type="dxa"/>
            <w:vAlign w:val="bottom"/>
            <w:shd w:val="clear" w:color="auto" w:fill="CFF0FC"/>
          </w:tcPr>
          <w:p>
            <w:pPr>
              <w:spacing w:after="0"/>
              <w:rPr>
                <w:sz w:val="24"/>
                <w:szCs w:val="24"/>
                <w:color w:val="auto"/>
              </w:rPr>
            </w:pPr>
          </w:p>
        </w:tc>
      </w:tr>
      <w:tr>
        <w:trPr>
          <w:trHeight w:val="628"/>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480" w:type="dxa"/>
            <w:vAlign w:val="bottom"/>
            <w:tcBorders>
              <w:top w:val="single" w:sz="8" w:color="CFF0FC"/>
            </w:tcBorders>
          </w:tcPr>
          <w:p>
            <w:pPr>
              <w:spacing w:after="0"/>
              <w:rPr>
                <w:sz w:val="24"/>
                <w:szCs w:val="24"/>
                <w:color w:val="auto"/>
              </w:rPr>
            </w:pPr>
          </w:p>
        </w:tc>
        <w:tc>
          <w:tcPr>
            <w:tcW w:w="6080" w:type="dxa"/>
            <w:vAlign w:val="bottom"/>
            <w:tcBorders>
              <w:top w:val="single" w:sz="8" w:color="CFF0FC"/>
            </w:tcBorders>
          </w:tcPr>
          <w:p>
            <w:pPr>
              <w:jc w:val="right"/>
              <w:ind w:right="375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3" w:name="page14"/>
    <w:bookmarkEnd w:id="13"/>
    <w:p>
      <w:pPr>
        <w:spacing w:after="0" w:line="1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23,449</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tax liabilities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settlement</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7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58,911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700,078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704,587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2029</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(2,963 )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(3,646 )</w:t>
            </w:r>
          </w:p>
        </w:tc>
      </w:tr>
      <w:tr>
        <w:trPr>
          <w:trHeight w:val="243"/>
        </w:trPr>
        <w:tc>
          <w:tcPr>
            <w:tcW w:w="20" w:type="dxa"/>
            <w:vAlign w:val="bottom"/>
          </w:tcPr>
          <w:p>
            <w:pPr>
              <w:spacing w:after="0"/>
              <w:rPr>
                <w:sz w:val="21"/>
                <w:szCs w:val="21"/>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(10,777 )</w:t>
            </w:r>
          </w:p>
        </w:tc>
        <w:tc>
          <w:tcPr>
            <w:tcW w:w="2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(12,809 )</w:t>
            </w: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1,036,338</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1,038,132</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0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(9,019 )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7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1,036,338</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the Company had $4.6 million of offering discount costs and $4.5 million in deferred financing costs, both of which were capitalized and are being amortized over the remaining life of the 2021 Term Loan.</w:t>
      </w:r>
    </w:p>
    <w:p>
      <w:pPr>
        <w:spacing w:after="0" w:line="18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w:t>
      </w:r>
      <w:r>
        <w:rPr>
          <w:rFonts w:ascii="Times New Roman" w:cs="Times New Roman" w:eastAsia="Times New Roman" w:hAnsi="Times New Roman"/>
          <w:sz w:val="18"/>
          <w:szCs w:val="18"/>
          <w:color w:val="auto"/>
        </w:rPr>
        <w:t>”). Pursuant to the Third Amendment, the interest rate was reduced by 0.50% to SOFR plus 2.75% from SOFR plus 3.25% with the SOFR floor unchanged at 0.00%. The credit spread adjustment, ranging from 0.11448% to 0.71513%, was eliminated. In addition, the 2021 Term Loan no longer contains a provision for principal repayments which were previously required to be paid in quarterly installments.</w:t>
      </w:r>
    </w:p>
    <w:p>
      <w:pPr>
        <w:spacing w:after="0" w:line="17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made early repayments of approximately $4.5 million and $72.5 million, respectively, on the 2021 Term Loan, and as a result the total principal outstanding on the 2021 Term Loan was $700.1 million as of June 30, 2024.</w:t>
      </w:r>
    </w:p>
    <w:p>
      <w:pPr>
        <w:spacing w:after="0" w:line="16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evaluated the Refinancing Transaction on a lender-by-lender basis and accounted accordingly for debt extinguishment costs and debt modification costs (for the portion of the transaction that did not meet the accounting criteria for debt extinguishment). The Company recorded a $0.6 million loss on extinguishment of debt during the six months ended June 30, 2024 related to the write-off of pre-existing deferred financing costs and discounts in connection with the Refinancing Transaction. It recognized a loss on extinguishment of debt of $0.2 million and $1.6 million for the three and six months ended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June 30, 2023, respectively, related to the write-off of pre-existing deferred financing costs and discounts in connection with the early repayments.</w:t>
      </w:r>
    </w:p>
    <w:p>
      <w:pPr>
        <w:spacing w:after="0" w:line="225"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2021 Term Loan now bears interest based at the Company’s option, on either (i) Term SOFR plus an applicable margin of 2.75% per annum, or (ii) an alternate base rate plus an applicable margin of 1.75% per annum. As of June 30, 2024, the interest rate on the 2021 Term Loan was 8.1%.</w:t>
      </w:r>
    </w:p>
    <w:p>
      <w:pPr>
        <w:spacing w:after="0" w:line="163"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&lt; 3.70:1.00 and &gt; 3.20:1.00</w:t>
            </w:r>
          </w:p>
        </w:tc>
        <w:tc>
          <w:tcPr>
            <w:tcW w:w="250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174"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6"/>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102.750%</w:t>
            </w:r>
          </w:p>
        </w:tc>
      </w:tr>
      <w:tr>
        <w:trPr>
          <w:trHeight w:val="238"/>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101.375%</w:t>
            </w:r>
          </w:p>
        </w:tc>
      </w:tr>
      <w:tr>
        <w:trPr>
          <w:trHeight w:val="247"/>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2026 and thereafter</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were no outstanding borrowings on the Revolver as of June 30, 2024 or December 31, 2023. The availability to borrow was $74.6 million, net of $0.4 million of outstanding letters of credit at June 30, 2024.</w:t>
      </w:r>
    </w:p>
    <w:p>
      <w:pPr>
        <w:spacing w:after="0" w:line="19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$0.4 million of outstanding letters of credit as of June 30, 2024.</w:t>
      </w:r>
    </w:p>
    <w:p>
      <w:pPr>
        <w:spacing w:after="0" w:line="16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June 30, 2024, the Company was compliant with all debt covenants.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$18.8 million and $22.8 million for the three months ended June 30, 2024 and 2023, respectively, and $38.5 million and $45.5 million for the six months ended June 30, 2024 and 2023, respectively.</w:t>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7.2% and 7.7% at June 30, 2024 and December 31, 2023, respectively.</w:t>
      </w:r>
    </w:p>
    <w:p>
      <w:pPr>
        <w:spacing w:after="0" w:line="161"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information on the interest rate swap entered into in December 2022 to hedge the Company's exposure against higher interest rates.</w:t>
      </w:r>
    </w:p>
    <w:p>
      <w:pPr>
        <w:spacing w:after="0" w:line="90"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84" w:lineRule="exact"/>
        <w:rPr>
          <w:sz w:val="20"/>
          <w:szCs w:val="20"/>
          <w:color w:val="auto"/>
        </w:rPr>
      </w:pPr>
    </w:p>
    <w:p>
      <w:pPr>
        <w:ind w:left="760"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32" w:lineRule="exact"/>
        <w:rPr>
          <w:sz w:val="20"/>
          <w:szCs w:val="20"/>
          <w:color w:val="auto"/>
        </w:rPr>
      </w:pPr>
    </w:p>
    <w:p>
      <w:pPr>
        <w:ind w:left="7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16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80" w:type="dxa"/>
            <w:vAlign w:val="bottom"/>
          </w:tcPr>
          <w:p>
            <w:pPr>
              <w:spacing w:after="0"/>
              <w:rPr>
                <w:sz w:val="16"/>
                <w:szCs w:val="16"/>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61"/>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19"/>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5"/>
                <w:szCs w:val="15"/>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689,682</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707,954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691,821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346,656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had issued Private Placement Warrants (as defined below) to acquire shares of the Company's Class A Common Stock in connection with its initial public offering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which Private Placement Warrants had a five-year term and expired in October 2023. During fiscal year 2023, all Private Placement Warrants were exercised by the warrant holders. The following summarizes the change in fair value of Private Placement Warrant liabilities included in net income and the impact of exercises during the three and six months ended June 30, 2023: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5"/>
                <w:szCs w:val="15"/>
                <w:color w:val="auto"/>
              </w:rPr>
            </w:pPr>
          </w:p>
        </w:tc>
        <w:tc>
          <w:tcPr>
            <w:tcW w:w="21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00" w:type="dxa"/>
            <w:vAlign w:val="bottom"/>
          </w:tcPr>
          <w:p>
            <w:pPr>
              <w:spacing w:after="0"/>
              <w:rPr>
                <w:sz w:val="15"/>
                <w:szCs w:val="15"/>
                <w:color w:val="auto"/>
              </w:rPr>
            </w:pP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26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(44,155 )</w:t>
            </w:r>
          </w:p>
        </w:tc>
        <w:tc>
          <w:tcPr>
            <w:tcW w:w="3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(44,155 )</w:t>
            </w:r>
          </w:p>
        </w:tc>
      </w:tr>
      <w:tr>
        <w:trPr>
          <w:trHeight w:val="236"/>
        </w:trPr>
        <w:tc>
          <w:tcPr>
            <w:tcW w:w="20" w:type="dxa"/>
            <w:vAlign w:val="bottom"/>
            <w:tcBorders>
              <w:top w:val="single" w:sz="8" w:color="CFF0FC"/>
            </w:tcBorders>
          </w:tcPr>
          <w:p>
            <w:pPr>
              <w:spacing w:after="0"/>
              <w:rPr>
                <w:sz w:val="20"/>
                <w:szCs w:val="20"/>
                <w:color w:val="auto"/>
              </w:rPr>
            </w:pPr>
          </w:p>
        </w:tc>
        <w:tc>
          <w:tcPr>
            <w:tcW w:w="66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change in fair value of private placement warrants consisted of adjustments related to the unexercised Private Placement Warrants re-measured to fair value as of June 30, 2023 and the final mark-to-market adjustments for the exercised warrants. During the six months ended June 30, 2023, there were approximately 6.0 million exercises of Private Placement Warrants which reduced our private placement warrant liabilities by $44.2 million with an offset to common stock at par value and the remaining to additional paid in capital.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16" w:name="page17"/>
    <w:bookmarkEnd w:id="16"/>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$2.0 million and $2.1 million as of June 30, 2024 and December 31, 2023,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six months ended June 30, 2024.</w:t>
      </w:r>
    </w:p>
    <w:p>
      <w:pPr>
        <w:spacing w:after="0" w:line="1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is classified within level 2 of the fair value hierarchy. The following presents the changes in the fair value of the interest rate swap in the gross balances within the below line items for the respective periods: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30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(1,413 )</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(977 )</w:t>
            </w:r>
          </w:p>
        </w:tc>
      </w:tr>
      <w:tr>
        <w:trPr>
          <w:trHeight w:val="236"/>
        </w:trPr>
        <w:tc>
          <w:tcPr>
            <w:tcW w:w="20" w:type="dxa"/>
            <w:vAlign w:val="bottom"/>
            <w:tcBorders>
              <w:top w:val="single" w:sz="8" w:color="CFF0FC"/>
            </w:tcBorders>
          </w:tcPr>
          <w:p>
            <w:pPr>
              <w:spacing w:after="0"/>
              <w:rPr>
                <w:sz w:val="20"/>
                <w:szCs w:val="20"/>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-1814830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-1814830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-1814830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-1009650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-1009650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-1009650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-187960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37"/>
        <w:spacing w:after="0" w:line="281" w:lineRule="auto"/>
        <w:rPr>
          <w:sz w:val="20"/>
          <w:szCs w:val="20"/>
          <w:color w:val="auto"/>
        </w:rPr>
      </w:pPr>
      <w:r>
        <w:rPr>
          <w:rFonts w:ascii="Times New Roman" w:cs="Times New Roman" w:eastAsia="Times New Roman" w:hAnsi="Times New Roman"/>
          <w:sz w:val="18"/>
          <w:szCs w:val="18"/>
          <w:color w:val="auto"/>
        </w:rPr>
        <w:t xml:space="preserve">The Company separately classifies the current and non-current components based on the value of settlements due within 12 months (current) and greater than 12 months (non-current). For additional information on the interest rate swap,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2"/>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3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151,132</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150,151</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4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152,590</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r>
      <w:tr>
        <w:trPr>
          <w:trHeight w:val="215"/>
        </w:trPr>
        <w:tc>
          <w:tcPr>
            <w:tcW w:w="20" w:type="dxa"/>
            <w:vAlign w:val="bottom"/>
            <w:shd w:val="clear" w:color="auto" w:fill="CFF0FC"/>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net income per</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3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4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-1720215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-1720215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-1720215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8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8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effective income tax rate was 28.1% and 39.6% for the three months ended June 30, 2024 and 2023, respectively, and 26.8% and 46.2% for the six months ended June 30, 2024 and 2023, respectively. The primary driver for the effective tax rate variance is the permanent difference related to the mark-to-market adjustments on the Private Placement Warrants that impacted the rate in the prior year periods without a comparable impact in the current periods.</w:t>
      </w:r>
    </w:p>
    <w:p>
      <w:pPr>
        <w:spacing w:after="0" w:line="9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As of June 30, 2023, there were 2,959,609 warrants outstanding to acquire shares of the Company’s Class A Common Stock, including warrants originally issued to Gores Sponsor II, LLC in a private placement in connection with the IPO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and the remaining warrants issued in connection with the IPO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As of December 31, 2023, all Warrants were either exercised by the holder or redeemed by the Company.</w:t>
      </w:r>
    </w:p>
    <w:p>
      <w:pPr>
        <w:spacing w:after="0" w:line="18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2023, the Company processed the exercise of 17.0 million Warrants in exchange for the issuance of 14,840,070 shares of Class A Common Stock. There were 13,782,411 shares issued in exchange for cash-basis warrant exercises resulting in the receipt of $105.8 million in cash proceeds as of June 30, 2023, and $52.7 million of cash proceeds received in July 2023 which were recorded within prepaid expenses and other current assets. The remaining Warrant exercises were completed on a cashless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8" w:name="page19"/>
    <w:bookmarkEnd w:id="18"/>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over an 18-month period in open market,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privately negotiated transactions, each as permitted under applicable rules and regulations, any of which may use pre-arranged trading plans that are designed to meet the requirements of Rule 10b5-1 of the Exchange Act.</w:t>
      </w:r>
    </w:p>
    <w:p>
      <w:pPr>
        <w:spacing w:after="0" w:line="18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paid $8.1 million to repurchase 449,432 shares of its Class A Common Stock through open market transactions during fiscal year 2023, which it subsequently retired. In September 2023, the Company used the remaining availability under the share repurchase program for an ASR and paid approximately $91.9 million to receive an initial delivery of 4,131,551 shares of its Class A Common Stock in accordance with an ASR agreement with a third-party financial institution. The final settlement occurred on January 12, 2024, at which time, the Company received 534,499 additional shares calculated using a volume-weighted average price over the term of the ASR agreement. In connection with the settlement, the Company reduced the par value from common stock and $1.8 million from additional paid-in capital calculated using an average share price, with an offset of $1.8 million to accumulated deficit on the condensed consolidated statements of stockholders' equity.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Company’s Board of Directors authorized a new share repurchase program for up to an aggregate amount of $100.0 million of its outstanding shares of Class A Common Stock over an 18-month period in open market, ASR or privately negotiated transactions.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6, 2024, the Company entered into a share repurchase agreement with a stockholder, pursuant to which the Company repurchased, directly from the stockholder, 2.0 million shares of the Company’s Class A Common Stock for an aggregate purchase price of $51.5 million. The repurchased shares were subsequently retired. In addition, the Company recorded approximately $0.4 million within accrued liabilities on the condensed consolidated balance sheets as of June 30, 2024 for direct costs related to the excise tax payable on net share repurchases. In connection with this repurchase, the Company reduced the par value from common stock and $6.7 million from additional paid-in capital calculated using an average share price, with an offset of $45.2 million to accumulated deficit on the condensed consolidated statements of stockholders' equity. As of June 30, 2024, $48.5 million remains available under the Company’s authorized share repurchase program.</w:t>
      </w:r>
    </w:p>
    <w:p>
      <w:pPr>
        <w:spacing w:after="0" w:line="115"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20" w:type="dxa"/>
            <w:vAlign w:val="bottom"/>
          </w:tcPr>
          <w:p>
            <w:pPr>
              <w:spacing w:after="0"/>
              <w:rPr>
                <w:sz w:val="13"/>
                <w:szCs w:val="13"/>
                <w:color w:val="auto"/>
              </w:rPr>
            </w:pPr>
          </w:p>
        </w:tc>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21"/>
                <w:szCs w:val="21"/>
                <w:color w:val="auto"/>
              </w:rPr>
            </w:pPr>
          </w:p>
        </w:tc>
      </w:tr>
      <w:tr>
        <w:trPr>
          <w:trHeight w:val="276"/>
        </w:trPr>
        <w:tc>
          <w:tcPr>
            <w:tcW w:w="20" w:type="dxa"/>
            <w:vAlign w:val="bottom"/>
            <w:shd w:val="clear" w:color="auto" w:fill="CFF0FC"/>
          </w:tcPr>
          <w:p>
            <w:pPr>
              <w:spacing w:after="0"/>
              <w:rPr>
                <w:sz w:val="24"/>
                <w:szCs w:val="24"/>
                <w:color w:val="auto"/>
              </w:rPr>
            </w:pPr>
          </w:p>
        </w:tc>
        <w:tc>
          <w:tcPr>
            <w:tcW w:w="4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shd w:val="clear" w:color="auto" w:fill="CFF0FC"/>
          </w:tcPr>
          <w:p>
            <w:pPr>
              <w:spacing w:after="0"/>
              <w:rPr>
                <w:sz w:val="24"/>
                <w:szCs w:val="24"/>
                <w:color w:val="auto"/>
              </w:rPr>
            </w:pPr>
          </w:p>
        </w:tc>
      </w:tr>
      <w:tr>
        <w:trPr>
          <w:trHeight w:val="736"/>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5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-1001395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-984250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-1001395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-984250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-1001395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-984250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Other Significant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TRA.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spacing w:after="0" w:line="184"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At June 30, 2024, the TRA liability was approximately $53.5 million of which $5.1 million was the current portion and $48.4 million was the non-current portion, both of which are included in the respective tax receivable agreement liability line items on the condensed consolidated balance sheets.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the Company became the owner, directly or indirectly, of all of the equity interests of Verra Mobility Holdings, LLC and its subsidiaries, PE Greenlight Holdings, LLC was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exceeded certain defined thresholds for a period of at least 10 days out of 20 consecutive trading days at any time during a five-year period. There were four tranches of contingent shares under the agreement, with each tranche resulting in an issuance of 2,500,000 shares (not to exceed a total of 10,000,000 shares). On June 14, 2023, the criteria for the issuance of the third tranche of Earn-out Shares was met and the Company issued 2,500,000 shares, which resulted in an increase in the Company's common stock and additional paid-in capital accounts of approximately $18.3 million with a corresponding decrease to the common stock contingent consideration account. As of December 31, 2023, all contingent shares have been issued under the Merger Agreement.</w:t>
      </w:r>
    </w:p>
    <w:p>
      <w:pPr>
        <w:spacing w:after="0" w:line="105"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$1.8 million of bank guarantees at June 30, 2024 required to support bids and contracts with certain international customers.</w:t>
      </w:r>
    </w:p>
    <w:p>
      <w:pPr>
        <w:spacing w:after="0" w:line="22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June 30, 2024 were $40.8 million. The majority of these outstanding commitments are expected to be incurred in the next twelve months, and approximately $2.0 million is expected to be incurred subsequent to June 30, 2025.</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Other than the PlusPass matter discussed below, the Company has determined that resolution of the remaining pending matters is not probable to have a material adverse impact on its consolidated results of operations, cash flows, or financial position.</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Trial is expected to occur in mid- to late 2025. Based on the information available to the Company at present, the Company is unable to estimate a reasonably possible range of loss for this action and, accordingly, it has not accrued any liability associated with this action.</w:t>
      </w:r>
    </w:p>
    <w:p>
      <w:pPr>
        <w:spacing w:after="0" w:line="183"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i w:val="1"/>
          <w:iCs w:val="1"/>
          <w:color w:val="auto"/>
        </w:rPr>
        <w:t xml:space="preserve">”) v. Verra Mobility Corporation, et al. </w:t>
      </w:r>
      <w:r>
        <w:rPr>
          <w:rFonts w:ascii="Times New Roman" w:cs="Times New Roman" w:eastAsia="Times New Roman" w:hAnsi="Times New Roman"/>
          <w:sz w:val="18"/>
          <w:szCs w:val="18"/>
          <w:color w:val="auto"/>
        </w:rPr>
        <w:t>is a lawsuit filed in the United States District Court,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Verra Mobility accrued $31.5 million for this matter at December 31, 2023 which was presented within selling, general and administrative expenses on the consolidated statements of operations, and payment was made during the first quarter of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function is comprised of the Company’s CEO and certain defined representatives of the Company’s executive management team. The Company’s CODM monitors operating performance, allocates resources and deploys capital based on these three segments.</w:t>
      </w:r>
    </w:p>
    <w:p>
      <w:pPr>
        <w:spacing w:after="0" w:line="1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7"/>
                <w:szCs w:val="17"/>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222,426</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(5,126 )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(5,245 )</w:t>
            </w:r>
          </w:p>
        </w:tc>
      </w:tr>
      <w:tr>
        <w:trPr>
          <w:trHeight w:val="238"/>
        </w:trPr>
        <w:tc>
          <w:tcPr>
            <w:tcW w:w="20" w:type="dxa"/>
            <w:vAlign w:val="bottom"/>
            <w:tcBorders>
              <w:top w:val="single" w:sz="8" w:color="CFF0FC"/>
            </w:tcBorders>
          </w:tcPr>
          <w:p>
            <w:pPr>
              <w:spacing w:after="0"/>
              <w:rPr>
                <w:sz w:val="20"/>
                <w:szCs w:val="20"/>
                <w:color w:val="auto"/>
              </w:rPr>
            </w:pPr>
          </w:p>
        </w:tc>
        <w:tc>
          <w:tcPr>
            <w:tcW w:w="48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69,486</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102,151</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69,486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102,151</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(54,559 )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7"/>
                <w:szCs w:val="17"/>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196,050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88,254</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204,461</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(4,237 )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(4,512 )</w:t>
            </w:r>
          </w:p>
        </w:tc>
      </w:tr>
      <w:tr>
        <w:trPr>
          <w:trHeight w:val="238"/>
        </w:trPr>
        <w:tc>
          <w:tcPr>
            <w:tcW w:w="20" w:type="dxa"/>
            <w:vAlign w:val="bottom"/>
            <w:tcBorders>
              <w:top w:val="single" w:sz="8" w:color="CFF0FC"/>
            </w:tcBorders>
          </w:tcPr>
          <w:p>
            <w:pPr>
              <w:spacing w:after="0"/>
              <w:rPr>
                <w:sz w:val="20"/>
                <w:szCs w:val="20"/>
                <w:color w:val="auto"/>
              </w:rPr>
            </w:pPr>
          </w:p>
        </w:tc>
        <w:tc>
          <w:tcPr>
            <w:tcW w:w="48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94,973</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94,973</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(4,805 )</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(4,805 )</w:t>
            </w: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(63,343 )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-6104255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-6104255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-6104255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-6104255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-6104255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-4837430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-4837430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-4837430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-4837430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-4837430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-2662555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-2662555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-2662555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-2662555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-1086485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-1086485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-1086485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-1086485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8"/>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60" w:type="dxa"/>
            <w:vAlign w:val="bottom"/>
          </w:tcPr>
          <w:p>
            <w:pPr>
              <w:spacing w:after="0"/>
              <w:rPr>
                <w:sz w:val="17"/>
                <w:szCs w:val="17"/>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199,874</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181,744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414,738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199,874</w:t>
            </w:r>
          </w:p>
        </w:tc>
        <w:tc>
          <w:tcPr>
            <w:tcW w:w="32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191,902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432,156</w:t>
            </w:r>
          </w:p>
        </w:tc>
        <w:tc>
          <w:tcPr>
            <w:tcW w:w="10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(9,496 )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(115 )</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(9,698 )</w:t>
            </w:r>
          </w:p>
        </w:tc>
      </w:tr>
      <w:tr>
        <w:trPr>
          <w:trHeight w:val="238"/>
        </w:trPr>
        <w:tc>
          <w:tcPr>
            <w:tcW w:w="20" w:type="dxa"/>
            <w:vAlign w:val="bottom"/>
            <w:tcBorders>
              <w:top w:val="single" w:sz="8" w:color="CFF0FC"/>
            </w:tcBorders>
          </w:tcPr>
          <w:p>
            <w:pPr>
              <w:spacing w:after="0"/>
              <w:rPr>
                <w:sz w:val="20"/>
                <w:szCs w:val="20"/>
                <w:color w:val="auto"/>
              </w:rPr>
            </w:pPr>
          </w:p>
        </w:tc>
        <w:tc>
          <w:tcPr>
            <w:tcW w:w="47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130,298</w:t>
            </w:r>
          </w:p>
        </w:tc>
        <w:tc>
          <w:tcPr>
            <w:tcW w:w="3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194,929</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130,298</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194,929</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(419 )</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(419 )</w:t>
            </w: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00" w:type="dxa"/>
            <w:vAlign w:val="bottom"/>
          </w:tcPr>
          <w:p>
            <w:pPr>
              <w:spacing w:after="0"/>
              <w:rPr>
                <w:sz w:val="20"/>
                <w:szCs w:val="20"/>
                <w:color w:val="auto"/>
              </w:rPr>
            </w:pPr>
          </w:p>
        </w:tc>
      </w:tr>
      <w:tr>
        <w:trPr>
          <w:trHeight w:val="276"/>
        </w:trPr>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472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130,298</w:t>
            </w:r>
          </w:p>
        </w:tc>
        <w:tc>
          <w:tcPr>
            <w:tcW w:w="320" w:type="dxa"/>
            <w:vAlign w:val="bottom"/>
            <w:tcBorders>
              <w:top w:val="single" w:sz="8" w:color="CFF0FC"/>
              <w:left w:val="single" w:sz="8" w:color="CFF0FC"/>
              <w:bottom w:val="single" w:sz="8" w:color="CFF0FC"/>
              <w:right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(108,365</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86,564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55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60" w:type="dxa"/>
            <w:vAlign w:val="bottom"/>
          </w:tcPr>
          <w:p>
            <w:pPr>
              <w:spacing w:after="0"/>
              <w:rPr>
                <w:sz w:val="17"/>
                <w:szCs w:val="17"/>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180,094</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168,227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380,748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180,094</w:t>
            </w:r>
          </w:p>
        </w:tc>
        <w:tc>
          <w:tcPr>
            <w:tcW w:w="32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396,364</w:t>
            </w:r>
          </w:p>
        </w:tc>
        <w:tc>
          <w:tcPr>
            <w:tcW w:w="10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31,583</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(7,954 )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(8,268 )</w:t>
            </w:r>
          </w:p>
        </w:tc>
      </w:tr>
      <w:tr>
        <w:trPr>
          <w:trHeight w:val="238"/>
        </w:trPr>
        <w:tc>
          <w:tcPr>
            <w:tcW w:w="20" w:type="dxa"/>
            <w:vAlign w:val="bottom"/>
            <w:tcBorders>
              <w:top w:val="single" w:sz="8" w:color="CFF0FC"/>
            </w:tcBorders>
          </w:tcPr>
          <w:p>
            <w:pPr>
              <w:spacing w:after="0"/>
              <w:rPr>
                <w:sz w:val="20"/>
                <w:szCs w:val="20"/>
                <w:color w:val="auto"/>
              </w:rPr>
            </w:pPr>
          </w:p>
        </w:tc>
        <w:tc>
          <w:tcPr>
            <w:tcW w:w="47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114,649</w:t>
            </w:r>
          </w:p>
        </w:tc>
        <w:tc>
          <w:tcPr>
            <w:tcW w:w="3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182,844</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114,649</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182,844</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(2,007 )</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(2,007 )</w:t>
            </w: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114,649</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(138,792 )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-6430010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-6430010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-6430010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-6430010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-6430010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-4845685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-4828540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-5008245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-4845685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-4828540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-5008245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-4845685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-4828540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-5008245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-4845685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-4828540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-5008245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-4845685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-4828540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-5008245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-2662555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-2662555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-2662555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-2662555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-1086485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-1086485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-1086485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-1086485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3" w:name="page24"/>
    <w:bookmarkEnd w:id="23"/>
    <w:p>
      <w:pPr>
        <w:ind w:left="380"/>
        <w:spacing w:after="0"/>
        <w:rPr>
          <w:sz w:val="20"/>
          <w:szCs w:val="20"/>
          <w:color w:val="auto"/>
        </w:rPr>
      </w:pPr>
      <w:r>
        <w:rPr>
          <w:rFonts w:ascii="Times New Roman" w:cs="Times New Roman" w:eastAsia="Times New Roman" w:hAnsi="Times New Roman"/>
          <w:sz w:val="18"/>
          <w:szCs w:val="18"/>
          <w:color w:val="auto"/>
        </w:rPr>
        <w:t>The table below details the following assets by reportable segment as of the respective period-ends: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Commercials Services</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Government Solutions</w:t>
            </w:r>
          </w:p>
        </w:tc>
        <w:tc>
          <w:tcPr>
            <w:tcW w:w="14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107,109</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98,611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Parking Solutions</w:t>
            </w:r>
          </w:p>
        </w:tc>
        <w:tc>
          <w:tcPr>
            <w:tcW w:w="1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62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4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133,314</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6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Commercials Services</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731,945</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721,192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Government Solutions</w:t>
            </w:r>
          </w:p>
        </w:tc>
        <w:tc>
          <w:tcPr>
            <w:tcW w:w="14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494,785</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523,687</w:t>
            </w:r>
          </w:p>
        </w:tc>
        <w:tc>
          <w:tcPr>
            <w:tcW w:w="10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Parking Solutions</w:t>
            </w:r>
          </w:p>
        </w:tc>
        <w:tc>
          <w:tcPr>
            <w:tcW w:w="1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395,527</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404,267</w:t>
            </w:r>
          </w:p>
        </w:tc>
        <w:tc>
          <w:tcPr>
            <w:tcW w:w="100" w:type="dxa"/>
            <w:vAlign w:val="bottom"/>
          </w:tcPr>
          <w:p>
            <w:pPr>
              <w:spacing w:after="0"/>
              <w:rPr>
                <w:sz w:val="22"/>
                <w:szCs w:val="22"/>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62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4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150,740</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1,772,997</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-1163955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In addition, refer to Note 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goodwill balances by segment.</w:t>
      </w:r>
    </w:p>
    <w:p>
      <w:pPr>
        <w:spacing w:after="0" w:line="22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Revenues earned from goods transferred to customers at a point in time were approximately $10.4 million and $8.4 million for the three months ended June 30, 2024 and 2023, respectively and were $17.4 million and $15.6 million for the six months ended June 30, 2024 and 2023, respectively.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operations for the respective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40" w:type="dxa"/>
            <w:vAlign w:val="bottom"/>
            <w:tcBorders>
              <w:bottom w:val="single" w:sz="8" w:color="auto"/>
            </w:tcBorders>
            <w:gridSpan w:val="4"/>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16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146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68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32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28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28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1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r>
      <w:tr>
        <w:trPr>
          <w:trHeight w:val="280"/>
        </w:trPr>
        <w:tc>
          <w:tcPr>
            <w:tcW w:w="20" w:type="dxa"/>
            <w:vAlign w:val="bottom"/>
            <w:shd w:val="clear" w:color="auto" w:fill="CFF0FC"/>
          </w:tcPr>
          <w:p>
            <w:pPr>
              <w:spacing w:after="0"/>
              <w:rPr>
                <w:sz w:val="24"/>
                <w:szCs w:val="24"/>
                <w:color w:val="auto"/>
              </w:rPr>
            </w:pP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16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46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24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124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49,855</w:t>
            </w:r>
          </w:p>
        </w:tc>
        <w:tc>
          <w:tcPr>
            <w:tcW w:w="100" w:type="dxa"/>
            <w:vAlign w:val="bottom"/>
            <w:shd w:val="clear" w:color="auto" w:fill="CFF0FC"/>
          </w:tcPr>
          <w:p>
            <w:pPr>
              <w:spacing w:after="0"/>
              <w:rPr>
                <w:sz w:val="24"/>
                <w:szCs w:val="24"/>
                <w:color w:val="auto"/>
              </w:rPr>
            </w:pPr>
          </w:p>
        </w:tc>
      </w:tr>
      <w:tr>
        <w:trPr>
          <w:trHeight w:val="628"/>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68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-932815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-915670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-932815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-915670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-932815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-915670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together with our Annual Report, and our financial statements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as well as governments, universities, parking operators, healthcare facilities, transportation hubs and other violation-issuing authorities. Our vision is to continue to develop and use technology and data intelligence to make transportation safer, smarter and more connected globally.</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and legislation regarding the adoption, expansion or prohibition of automated enforcement and traffic safety technology by local or state governments. We continue to monitor the potential favorable or unfavorable impacts of these and other factors on our business, operations, financial condition, and future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operate under long-term contracts and a highly reoccurring service revenue model. We continue to execute our strategy to grow revenue organically year over year and focus on initiatives that support our long-term vision. During the periods presented, we:</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$35.8 million, or 9.0%, from $396.4 million in the six months ended June 30, 2023 to $432.2 million in the same period in 2024. The increase was mainly due to service revenue resulting from increased travel volume in the Commercial Services segment and the growth from speed, red light and maintenance programs in the Government Solutions segment.</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$74.4 million and $107.9 million for the six months ended June 30, 2024 and 2023, respectively. Our cash on hand was $122.0 million as of June 30, 2024.</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existing cash on hand of $51.5 million to repurchase 2.0 million shares of our Class A Common Stock directly from a stockholder in June 2024.</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focus on debt management and lowering our exposure to higher interest rates, and as a result, we refinanced our debt and reduced our interest rate by 50 basis points and made early repayments of approximately $4.5 million on our 2021 Term Loan during the six months ended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our Board of Directors authorized a new share repurchase program for up to an aggregate amount of $100.0 million of our outstanding shares of Class A Common Stock over an 18-month period in open market, ASR or privately negotiated transactions. On June 6, 2024, we entered into a share repurchase agreement with a stockholder, pursuant to which we repurchased, directly from the stockholder, 2.0 million shares of our Class A Common Stock for an aggregate purchase price of $51.5 million.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Part I, Item 1, Financial Statements for additional information on our share repurchases.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Direct Fleets and FMCs in North America. In Europe, we provide tolling and violations processing services.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Our international operations primarily involve the sale of traffic enforcement products and recurring maintenance services related to the equipment and software.</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healthcare facilities and commercial parking operators in the United States and Canada.</w:t>
      </w:r>
    </w:p>
    <w:p>
      <w:pPr>
        <w:spacing w:after="0" w:line="163"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73"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subscription fees, professional services and citation processing services related to parking management solutions to its customers.</w:t>
      </w:r>
    </w:p>
    <w:p>
      <w:pPr>
        <w:spacing w:after="0" w:line="156"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service costs, collection and other third-party costs in our segments.</w:t>
      </w:r>
    </w:p>
    <w:p>
      <w:pPr>
        <w:spacing w:after="0" w:line="15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hardware sold to Parking Solutions customers.</w:t>
      </w:r>
    </w:p>
    <w:p>
      <w:pPr>
        <w:spacing w:after="0" w:line="15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6" w:name="page27"/>
    <w:bookmarkEnd w:id="26"/>
    <w:p>
      <w:pPr>
        <w:jc w:val="both"/>
        <w:ind w:right="1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and general corporate expenses.</w:t>
      </w:r>
    </w:p>
    <w:p>
      <w:pPr>
        <w:spacing w:after="0" w:line="159"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25"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consists of liability adjustments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Placement Warrants originally issued to Gores Sponsor II, LLC re-measured to fair value at the end of the reporting period.</w:t>
      </w:r>
    </w:p>
    <w:p>
      <w:pPr>
        <w:spacing w:after="0" w:line="159"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Gain on interest rate swap relates to the changes associated with the derivative instrument re-measured to fair value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the reporting period and the related periodic cash receipts or payments.</w:t>
      </w:r>
    </w:p>
    <w:p>
      <w:pPr>
        <w:spacing w:after="0" w:line="159"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59"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purchasing cards, gains or losses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and other non-operating expenses.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121"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4"/>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gridSpan w:val="4"/>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212,017</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196,050</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95.3 %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95.9 %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4.7 %</w:t>
            </w:r>
          </w:p>
        </w:tc>
        <w:tc>
          <w:tcPr>
            <w:tcW w:w="6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204,461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5"/>
              </w:rPr>
              <w:t>100.0 %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5"/>
              </w:rPr>
              <w:t>100.0 %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65,657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33.7 %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32.1 %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43,205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20.8 %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27,522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29,088</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12.4 %</w:t>
            </w:r>
          </w:p>
        </w:tc>
        <w:tc>
          <w:tcPr>
            <w:tcW w:w="680" w:type="dxa"/>
            <w:vAlign w:val="bottom"/>
          </w:tcPr>
          <w:p>
            <w:pPr>
              <w:spacing w:after="0"/>
              <w:rPr>
                <w:sz w:val="18"/>
                <w:szCs w:val="18"/>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14.3 %</w:t>
            </w:r>
          </w:p>
        </w:tc>
        <w:tc>
          <w:tcPr>
            <w:tcW w:w="22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(1,566 )</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148,250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72.5 %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72.5 %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56,211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27.5 %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22,771</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(3,926 )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(10,918 )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(23 )</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(4,805 )</w:t>
            </w:r>
          </w:p>
        </w:tc>
        <w:tc>
          <w:tcPr>
            <w:tcW w:w="7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6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(209 )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(5,245 )</w:t>
            </w: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(4,512 )</w:t>
            </w:r>
          </w:p>
        </w:tc>
        <w:tc>
          <w:tcPr>
            <w:tcW w:w="7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68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(2.2 )%</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(733 )</w:t>
            </w:r>
          </w:p>
        </w:tc>
        <w:tc>
          <w:tcPr>
            <w:tcW w:w="3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(44.8 )%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24,581</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(11,004 )</w:t>
            </w: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50.5 %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31,630</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21.4 %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15.5 %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12,522</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6.0 %</w:t>
            </w:r>
          </w:p>
        </w:tc>
        <w:tc>
          <w:tcPr>
            <w:tcW w:w="6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34,223</w:t>
            </w:r>
          </w:p>
        </w:tc>
        <w:tc>
          <w:tcPr>
            <w:tcW w:w="2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15.4 %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-3090545</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-2790825</wp:posOffset>
            </wp:positionV>
            <wp:extent cx="713232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6" w:right="239" w:bottom="1440" w:gutter="0" w:footer="0" w:header="0"/>
        </w:sectPr>
      </w:pPr>
    </w:p>
    <w:bookmarkStart w:id="27" w:name="page28"/>
    <w:bookmarkEnd w:id="27"/>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$16.0 million, or 8.1%, to $212.0 million for the three months ended June 30, 2024 from $196.1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2023, representing 95.3% and 95.9% of total revenue, respectively. The following table depicts service revenue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1980" w:type="dxa"/>
            <w:vAlign w:val="bottom"/>
            <w:gridSpan w:val="4"/>
          </w:tcPr>
          <w:p>
            <w:pPr>
              <w:jc w:val="center"/>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40" w:type="dxa"/>
            <w:vAlign w:val="bottom"/>
            <w:tcBorders>
              <w:top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84,994</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41.6 %</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2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8.1 %</w:t>
            </w:r>
          </w:p>
        </w:tc>
        <w:tc>
          <w:tcPr>
            <w:tcW w:w="2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40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196,050</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5"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color w:val="auto"/>
        </w:rPr>
        <w:t>Commercial Services service revenue increased by $9.5 million, or 10.1%, from approximately $94.5 million for the three months ended June 30, 2023 to $104.0 million for the three months ended June 30, 2024. The increase was primarily due to increased travel volume and related tolling activity compared to the prior year. The volume of tolls incurred by RAC vehicles contributed to a $5.7 million growth in revenue and an increase in enrolled vehicles as well as higher tolling activity for our FMC customers contributed to a $2.7 million growth in revenue during the three months ended June 30, 2024, compared to the same period in 2023. In addition, there was more revenue generated from processing violations compared to the prior year.</w:t>
      </w:r>
    </w:p>
    <w:p>
      <w:pPr>
        <w:spacing w:after="0" w:line="182"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color w:val="auto"/>
        </w:rPr>
        <w:t>Government Solutions service revenue increased by $6.5 million, or 7.6%, from approximately $85 million for the three months ended June 30, 2023, to $91.5 million for the three months ended June 30, 2024. The increase was primarily driven by program expansion from existing customers, new cities implementing automated enforcement efforts to improve road safety and from maintenance programs for international customers which together contributed $4.7 million growth compared to the prior year. Outside of our contract with NYCDOT, we experienced a 14% increase in service revenue due to these factors. The remaining increase is attributable to expansions across school bus stop-arm and bus lane programs.</w:t>
      </w:r>
    </w:p>
    <w:p>
      <w:pPr>
        <w:spacing w:after="0" w:line="182"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Parking Solutions service revenue was relatively consistent at $16.6 million for both the three months ended June 30, 2024 and 2023. Increased revenue from SaaS product offerings was partially offset by reduction in professional services related to parking management solutions.</w:t>
      </w:r>
    </w:p>
    <w:p>
      <w:pPr>
        <w:spacing w:after="0" w:line="161"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$10.4 million and $8.4 million for the three months ended June 30, 2024 and 2023,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$2.0 million, which was due to a $3.0 million growth in product sales to Government Solutions customers, partially offset by a $1.0 million decrease in product sales in the Parking Solutions segment. Customer buying patterns vary greatly from period to period related to product sales.</w:t>
      </w:r>
    </w:p>
    <w:p>
      <w:pPr>
        <w:spacing w:after="0" w:line="172"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$4.3 million for the three months ended June 30, 2023 to $4.6 million for the three months ended June 30, 2024, mainly due to increased recurring service costs.</w:t>
      </w:r>
    </w:p>
    <w:p>
      <w:pPr>
        <w:spacing w:after="0" w:line="172"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approximately $1.8 million from $6.0 million in the three months ended June 30,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 million in the three months ended June 30, 2024, which was in line with the increase in product sales discussed above.</w:t>
      </w:r>
    </w:p>
    <w:p>
      <w:pPr>
        <w:spacing w:after="0" w:line="159"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$9.2 million, or 14.1%, from $65.7 million for the three months ended June 30, 2023 to $74.9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The increase in 2024 was primarily attributable to increases of $5.0 million in wages expense, $1.9 million of information technology costs, and $1.5 million of subcontractor costs compared to the prior period. Operating expenses as a percentage of total revenue increased from 32.1% to 33.7% for the three months ended June 30, 2023 and 2024, respectively.</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4" w:right="239"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7"/>
          <w:szCs w:val="17"/>
          <w:color w:val="auto"/>
        </w:rPr>
        <w:t>The following table presents operating expenses by segment:</w:t>
      </w:r>
    </w:p>
    <w:p>
      <w:pPr>
        <w:sectPr>
          <w:pgSz w:w="11900" w:h="16838" w:orient="portrait"/>
          <w:cols w:equalWidth="0" w:num="1">
            <w:col w:w="11340"/>
          </w:cols>
          <w:pgMar w:left="320" w:top="13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Commercial Services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Government Solutions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Parking Solutions</w:t>
      </w:r>
    </w:p>
    <w:p>
      <w:pPr>
        <w:spacing w:after="0" w:line="49" w:lineRule="exact"/>
        <w:rPr>
          <w:sz w:val="20"/>
          <w:szCs w:val="20"/>
          <w:color w:val="auto"/>
        </w:rPr>
      </w:pPr>
    </w:p>
    <w:p>
      <w:pPr>
        <w:ind w:left="20" w:right="380"/>
        <w:spacing w:after="0" w:line="273" w:lineRule="auto"/>
        <w:rPr>
          <w:sz w:val="20"/>
          <w:szCs w:val="20"/>
          <w:color w:val="auto"/>
        </w:rPr>
      </w:pPr>
      <w:r>
        <w:rPr>
          <w:rFonts w:ascii="Times New Roman" w:cs="Times New Roman" w:eastAsia="Times New Roman" w:hAnsi="Times New Roman"/>
          <w:sz w:val="18"/>
          <w:szCs w:val="18"/>
          <w:color w:val="auto"/>
        </w:rPr>
        <w:t>Total operating expenses before stock-based compensation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10.4 %</w:t>
            </w:r>
          </w:p>
        </w:tc>
        <w:tc>
          <w:tcPr>
            <w:tcW w:w="640" w:type="dxa"/>
            <w:vAlign w:val="bottom"/>
          </w:tcPr>
          <w:p>
            <w:pPr>
              <w:spacing w:after="0"/>
              <w:rPr>
                <w:sz w:val="24"/>
                <w:szCs w:val="24"/>
                <w:color w:val="auto"/>
              </w:rPr>
            </w:pPr>
          </w:p>
        </w:tc>
        <w:tc>
          <w:tcPr>
            <w:tcW w:w="8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10.1 %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20.7 %</w:t>
            </w:r>
          </w:p>
        </w:tc>
        <w:tc>
          <w:tcPr>
            <w:tcW w:w="6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19.3 %</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(443 )</w:t>
            </w:r>
          </w:p>
        </w:tc>
        <w:tc>
          <w:tcPr>
            <w:tcW w:w="3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33.2 %</w:t>
            </w:r>
          </w:p>
        </w:tc>
        <w:tc>
          <w:tcPr>
            <w:tcW w:w="6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31.8 %</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6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36"/>
        </w:trPr>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74,903</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65,657</w:t>
            </w:r>
          </w:p>
        </w:tc>
        <w:tc>
          <w:tcPr>
            <w:tcW w:w="24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-1257935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-949960</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-633095</wp:posOffset>
            </wp:positionV>
            <wp:extent cx="7132320" cy="290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-179070</wp:posOffset>
            </wp:positionV>
            <wp:extent cx="713232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720"/>
            <w:col w:w="7040"/>
          </w:cols>
          <w:pgMar w:left="320" w:top="1308" w:right="239" w:bottom="1440" w:gutter="0" w:footer="0" w:header="0"/>
          <w:type w:val="continuous"/>
        </w:sectPr>
      </w:pPr>
    </w:p>
    <w:p>
      <w:pPr>
        <w:spacing w:after="0" w:line="63"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$46.3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compared to $43.2 million for the same period in 2023. This increase was primarily due to $2.2 million in higher wages expense, and overall increases in stock-based compensation, marketing and other general expenses which were partially offset by a decrease in professional services costs compared to prior year. Selling, general and administrative expenses as a percentage of total revenue decreased slightly from 21.1% to 20.8% for the three months ended June 30, 2023 and 2024, respectively. The following table presents selling, general and administrative expenses by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20" w:type="dxa"/>
            <w:vAlign w:val="bottom"/>
            <w:gridSpan w:val="4"/>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vMerge w:val="continue"/>
          </w:tcPr>
          <w:p>
            <w:pPr>
              <w:spacing w:after="0"/>
              <w:rPr>
                <w:sz w:val="16"/>
                <w:szCs w:val="16"/>
                <w:color w:val="auto"/>
              </w:rPr>
            </w:pPr>
          </w:p>
        </w:tc>
        <w:tc>
          <w:tcPr>
            <w:tcW w:w="12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2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7.9 %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(374 )</w:t>
            </w:r>
          </w:p>
        </w:tc>
        <w:tc>
          <w:tcPr>
            <w:tcW w:w="3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2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130.7 %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Total selling, general and administrative expenses before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19.2 %</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4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43,205</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20.8 %</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6"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approximately $1.6 million to $27.5 million for the three months ended June 30, 2024 from $29.1 million for the same period in 2023. This was mainly due to a developed technology intangible asset being fully amortized in the three months ended June 30, 2024 as compared to the prior year. This decrease was partially offset by an increase in depreciation expense in the 2024 period.</w:t>
      </w:r>
    </w:p>
    <w:p>
      <w:pPr>
        <w:spacing w:after="0" w:line="178"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approximately $4.0 million from $22.8 million for the three months ended June 30,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$18.8 million for the same period in 2024 which was primarily attributable to voluntary principal prepayments made during 2023 and 2024 which lowered the outstanding debt balance. In addition, the average variable interest rate on the 2021 Term Loan was 27 basis points lower for the three months ended June 30, 2024 compared to the prior period. See “</w:t>
      </w:r>
      <w:r>
        <w:rPr>
          <w:rFonts w:ascii="Times New Roman" w:cs="Times New Roman" w:eastAsia="Times New Roman" w:hAnsi="Times New Roman"/>
          <w:sz w:val="18"/>
          <w:szCs w:val="18"/>
          <w:i w:val="1"/>
          <w:iCs w:val="1"/>
          <w:color w:val="auto"/>
        </w:rPr>
        <w:t>Management’s Discussion and Analysis of Financial Condition and Results of Operations—Liquidity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in Part I, Item 2.”</w:t>
      </w:r>
    </w:p>
    <w:p>
      <w:pPr>
        <w:spacing w:after="0" w:line="182"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loss of $10.9 million for the three months ended June 30, 2023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fair value of our Private Placement Warrants which were accounted for as liabilities on our condensed consolidated balance sheets. The change in fair value was the result of re-measurement of the liability at the end of the reporting period or a final re-measurement upon their exercise.</w:t>
      </w:r>
    </w:p>
    <w:p>
      <w:pPr>
        <w:spacing w:after="0" w:line="172"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We recorded a gain of less than $(0.1) million during the three months ended June 30, 2024, of which $0.2 million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derivative instrument re-measured to fair value at the end of the reporting period</w:t>
      </w:r>
    </w:p>
    <w:p>
      <w:pPr>
        <w:spacing w:after="0" w:line="1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8" w:right="239" w:bottom="1440" w:gutter="0" w:footer="0" w:header="0"/>
          <w:type w:val="continuous"/>
        </w:sectPr>
      </w:pPr>
    </w:p>
    <w:bookmarkStart w:id="29" w:name="page30"/>
    <w:bookmarkEnd w:id="29"/>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offset by $(0.3) million related to the monthly cash proceeds on the interest rate swap. We recorded a $(4.8) million gain during the three months ended June 30, 2023, of which approximately $(5.1) million is associated with the derivative instrument re-measured to fair value at the end of the reporting period, offset by $0.3 million related to the monthly cash payments made.</w:t>
      </w:r>
    </w:p>
    <w:p>
      <w:pPr>
        <w:spacing w:after="0" w:line="175"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a $0.2 million loss on extinguishment of debt during the three months ended June 30, 2023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write-off of pre-existing deferred financing costs and discounts in connection with the early repayments of $10.0 million on the 2021 Term Loan.</w:t>
      </w:r>
    </w:p>
    <w:p>
      <w:pPr>
        <w:spacing w:after="0" w:line="159"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$5.2 million for the three months ended June 30, 2024 compared to $4.5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The increase of $0.7 million is primarily attributable to volume rebates earned on increased credit card purchases from prepayment of tolling transactions driven by travel demand.</w:t>
      </w:r>
    </w:p>
    <w:p>
      <w:pPr>
        <w:spacing w:after="0" w:line="172"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$13.4 million representing an effective tax rate of 28.1%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$12.5 million, with an effective tax rate of 39.6% for the same period in 2023. The primary driver for the effective tax rate variance is the permanent difference related to the mark-to-market adjustments on the Private Placement Warrants that impacted the rate in the prior year without a comparable impact in the current period.</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$34.2 million for the three months ended June 30, 2024, as compared to a net income of $19.1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$15.1 million increase in net income was primarily due to the change in fair value of Private Placement Warrants expense in the prior year period, decrease in interest expense and the other statement of operations activity discussed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121"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4"/>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gridSpan w:val="4"/>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414,738</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380,748</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96.0 %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96.1 %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15,616</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4.0 %</w:t>
            </w:r>
          </w:p>
        </w:tc>
        <w:tc>
          <w:tcPr>
            <w:tcW w:w="6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9.0 %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432,156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396,364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5"/>
              </w:rPr>
              <w:t>100.0 %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5"/>
              </w:rPr>
              <w:t>100.0 %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33.7 %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32.2 %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83,218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21.9 %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54,497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59,421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12.6 %</w:t>
            </w:r>
          </w:p>
        </w:tc>
        <w:tc>
          <w:tcPr>
            <w:tcW w:w="680" w:type="dxa"/>
            <w:vAlign w:val="bottom"/>
          </w:tcPr>
          <w:p>
            <w:pPr>
              <w:spacing w:after="0"/>
              <w:rPr>
                <w:sz w:val="18"/>
                <w:szCs w:val="18"/>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15.0 %</w:t>
            </w:r>
          </w:p>
        </w:tc>
        <w:tc>
          <w:tcPr>
            <w:tcW w:w="22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(4,924 )</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290,052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73.3 %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73.2 %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8.7 %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106,312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26.7 %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(6,978 )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(25,519 )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(419 )</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(2,007 )</w:t>
            </w:r>
          </w:p>
        </w:tc>
        <w:tc>
          <w:tcPr>
            <w:tcW w:w="7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6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(0.5 )%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0.1 %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0.4 %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(963 )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(9,698 )</w:t>
            </w: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(8,268 )</w:t>
            </w:r>
          </w:p>
        </w:tc>
        <w:tc>
          <w:tcPr>
            <w:tcW w:w="7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68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(2.1 )%</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(1,430 )</w:t>
            </w:r>
          </w:p>
        </w:tc>
        <w:tc>
          <w:tcPr>
            <w:tcW w:w="3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(53.5 )%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62,260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(33,302 )</w:t>
            </w: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96.5 %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44,052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20.0 %</w:t>
            </w: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5.3 %</w:t>
            </w:r>
          </w:p>
        </w:tc>
        <w:tc>
          <w:tcPr>
            <w:tcW w:w="6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63,372</w:t>
            </w:r>
          </w:p>
        </w:tc>
        <w:tc>
          <w:tcPr>
            <w:tcW w:w="2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14.7 %</w:t>
            </w:r>
          </w:p>
        </w:tc>
        <w:tc>
          <w:tcPr>
            <w:tcW w:w="6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39,687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167.6 %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-3090545</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-2790825</wp:posOffset>
            </wp:positionV>
            <wp:extent cx="713232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145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8" w:right="239" w:bottom="1440" w:gutter="0" w:footer="0" w:header="0"/>
        </w:sectPr>
      </w:pPr>
    </w:p>
    <w:bookmarkStart w:id="30" w:name="page31"/>
    <w:bookmarkEnd w:id="30"/>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$34.0 million, or 8.9%, to $414.7 million for the six months ended June 30, 2024 from $380.7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2023, representing 96.0% and 96.1% of total revenue, respectively. The following table depicts service revenue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4"/>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gridSpan w:val="4"/>
          </w:tcPr>
          <w:p>
            <w:pPr>
              <w:jc w:val="center"/>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199,874</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180,094</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46.3 %</w:t>
            </w:r>
          </w:p>
        </w:tc>
        <w:tc>
          <w:tcPr>
            <w:tcW w:w="7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0"/>
              </w:rPr>
              <w:t>45.5 %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168,227</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42.1 %</w:t>
            </w:r>
          </w:p>
        </w:tc>
        <w:tc>
          <w:tcPr>
            <w:tcW w:w="7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0"/>
              </w:rPr>
              <w:t>42.4 %</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72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8.2 %</w:t>
            </w: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service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gridSpan w:val="2"/>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414,738</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380,748</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96.0 %</w:t>
            </w:r>
          </w:p>
        </w:tc>
        <w:tc>
          <w:tcPr>
            <w:tcW w:w="7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0"/>
              </w:rPr>
              <w:t>96.1 %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5"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Commercial Services service revenue increased by $19.8 million, or 11.0%, from $180.1 million for the six months ended June 30, 2023 to $199.9 million for the six months ended June 30, 2024. The increase was primarily due to increased travel volume and related tolling activity compared to the prior year. The volume of tolls incurred by RAC vehicles contributed to a $11.4 million growth in revenue and an increase in enrolled vehicles as well as higher tolling activity for our FMC customers contributed to a $6.1 million growth in revenue during the six months ended June 30, 2024, compared to the same period in 2023. In addition, there was more revenue generated from processing violations compared to the prior year.</w:t>
      </w:r>
    </w:p>
    <w:p>
      <w:pPr>
        <w:spacing w:after="0" w:line="182"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Government Solutions service revenue increased by $13.5 million, or 8%, from $168.2 million for the six months ended June 30, 2023, to $181.7 million for the six months ended June 30, 2024. The increase was primarily driven by the expansion of speed, red light and maintenance programs which contributed approximately $9.5 million to the service revenue growth compared to the prior year. The remaining increase is attributable to expansions across school bus stop-arm and bus lane programs.</w:t>
      </w:r>
    </w:p>
    <w:p>
      <w:pPr>
        <w:spacing w:after="0" w:line="18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Parking Solutions service revenue grew by $0.7 million, from $32.4 million for the six months ended June 30, 2023 to $33.1 million for the six months ended June 30, 2024. The growth was primarily due to increased revenue from SaaS product offerings, partially offset by a decrease in professional services related to parking management solutions.</w:t>
      </w:r>
    </w:p>
    <w:p>
      <w:pPr>
        <w:spacing w:after="0" w:line="175"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$17.4 million and $15.6 million for the six months ended June 30, 2024 and 2023,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$1.8 million, which was due to a $4.2 million growth in product sales to Government Solutions customers, offset by a $2.4 million decrease in product sales in the Parking Solutions segment. Customer buying patterns vary greatly from period to period related to product sales.</w:t>
      </w:r>
    </w:p>
    <w:p>
      <w:pPr>
        <w:spacing w:after="0" w:line="172"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slightly from $8.6 million for the six months ended June 30, 2023 to $8.9 million for the six months ended June 30, 2024, mainly due to increased recurring service costs.</w:t>
      </w:r>
    </w:p>
    <w:p>
      <w:pPr>
        <w:spacing w:after="0" w:line="172" w:lineRule="exact"/>
        <w:rPr>
          <w:sz w:val="20"/>
          <w:szCs w:val="20"/>
          <w:color w:val="auto"/>
        </w:rPr>
      </w:pPr>
    </w:p>
    <w:p>
      <w:pPr>
        <w:jc w:val="both"/>
        <w:ind w:right="6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$1.8 million from $11.3 million in the six months ended June 30, 2023 to $13.1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2024, which was in line with the increase in product sales discussed above.</w:t>
      </w:r>
    </w:p>
    <w:p>
      <w:pPr>
        <w:spacing w:after="0" w:line="159"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$18.0 million, or 14.2%, from $127.5 million for the six months ended June 30,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$145.5 million for the six months ended June 30, 2024. The increase in 2024 was primarily attributable to increases of $11.1 million in wages expense, $4.3 million of information technology costs and $2.0 million of recurring service costs compared to the prior period. Operating expenses as a percentage of total revenue increased from 32.2% to 33.7% for the six months ended June 30, 2023 and 2024, respectively.</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6" w:right="279"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color w:val="auto"/>
        </w:rPr>
        <w:t>The following table presents operating expenses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40" w:type="dxa"/>
            <w:vAlign w:val="bottom"/>
            <w:gridSpan w:val="4"/>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124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4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44,668</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77,003</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4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operating expenses before stock-based compensation</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126,621</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32.2 %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3" w:lineRule="exact"/>
        <w:rPr>
          <w:sz w:val="20"/>
          <w:szCs w:val="20"/>
          <w:color w:val="auto"/>
        </w:rPr>
      </w:pPr>
    </w:p>
    <w:p>
      <w:pPr>
        <w:jc w:val="both"/>
        <w:ind w:right="6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$94.5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$83.2 million for the same period in 2023. This is primarily due to a $4.3 million increase in credit loss expense, $4.4 million in higher wages expense and overall increases in stock-based compensation expense, marketing and other general expenses, partially offset by a decrease in professional services costs compared to the prior year. Selling, general and administrative expenses as a percentage of total revenue increased from 21.0% to 21.9% for the six months ended June 30, 2023 and 2024, respectively. The following table presents selling, general and administrative expenses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6"/>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40" w:type="dxa"/>
            <w:vAlign w:val="bottom"/>
            <w:gridSpan w:val="4"/>
          </w:tcPr>
          <w:p>
            <w:pPr>
              <w:jc w:val="center"/>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vMerge w:val="continue"/>
          </w:tcPr>
          <w:p>
            <w:pPr>
              <w:spacing w:after="0"/>
              <w:rPr>
                <w:sz w:val="16"/>
                <w:szCs w:val="16"/>
                <w:color w:val="auto"/>
              </w:rPr>
            </w:pPr>
          </w:p>
        </w:tc>
        <w:tc>
          <w:tcPr>
            <w:tcW w:w="124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2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31,583</w:t>
            </w:r>
          </w:p>
        </w:tc>
        <w:tc>
          <w:tcPr>
            <w:tcW w:w="24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7.7 %</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24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24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Pr>
          <w:p>
            <w:pPr>
              <w:spacing w:after="0"/>
              <w:rPr>
                <w:sz w:val="22"/>
                <w:szCs w:val="22"/>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204.0 %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Total selling, general and administrative expenses before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76,194</w:t>
            </w:r>
          </w:p>
        </w:tc>
        <w:tc>
          <w:tcPr>
            <w:tcW w:w="24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19.6 %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40" w:type="dxa"/>
            <w:vAlign w:val="bottom"/>
          </w:tcPr>
          <w:p>
            <w:pPr>
              <w:spacing w:after="0"/>
              <w:rPr>
                <w:sz w:val="22"/>
                <w:szCs w:val="22"/>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94,514</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24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21.9 %</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62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6"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$4.9 million to $54.5 million for the six months ended June 30, 2024 from $59.4 million for the same period in 2023. This was mainly due to certain non-compete, trademark and developed technology intangible assets being fully amortized in the six months ended June 30, 2024 as compared to the prior year. This decrease was partially offset by an increase in depreciation expense in the 2024 period.</w:t>
      </w:r>
    </w:p>
    <w:p>
      <w:pPr>
        <w:spacing w:after="0" w:line="178"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$7.0 million from approximately $45.5 million for the six months ended June 30,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$38.5 million for the same period in 2024. This was primarily attributable to voluntary principal prepayments made during 2023 and 2024 which lowered the outstanding debt balance in 2024 coupled with a 50 basis-point reduction in the interest rate from refinancing our debt on February 8, 2024.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 xml:space="preserve"> in Part I, Item 2.</w:t>
      </w:r>
    </w:p>
    <w:p>
      <w:pPr>
        <w:spacing w:after="0" w:line="178"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loss of $25.5 million for the six months ended June 30, 2023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fair value of our Private Placement Warrants which were accounted for as liabilities on our condensed consolidated balance sheets. The change in fair value was the result of re-measurement of the liability at the end of the reporting period, or a final re-measurement upon their exercise.</w:t>
      </w:r>
    </w:p>
    <w:p>
      <w:pPr>
        <w:spacing w:after="0" w:line="172"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We recorded a $(0.4) million gain during the six months ended June 30, 2024, of which $0.2 million is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derivative instrument re-measured to fair value at the end of the reporting period offset by $(0.6) million related to the monthly cash proceeds. We recorded a $(2.0) million gain during the six months ended June 30, 2023, of</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8" w:right="279" w:bottom="1440" w:gutter="0" w:footer="0" w:header="0"/>
        </w:sectPr>
      </w:pPr>
    </w:p>
    <w:bookmarkStart w:id="32" w:name="page33"/>
    <w:bookmarkEnd w:id="32"/>
    <w:p>
      <w:pPr>
        <w:jc w:val="both"/>
        <w:spacing w:after="0" w:line="281" w:lineRule="auto"/>
        <w:rPr>
          <w:sz w:val="20"/>
          <w:szCs w:val="20"/>
          <w:color w:val="auto"/>
        </w:rPr>
      </w:pPr>
      <w:r>
        <w:rPr>
          <w:rFonts w:ascii="Times New Roman" w:cs="Times New Roman" w:eastAsia="Times New Roman" w:hAnsi="Times New Roman"/>
          <w:sz w:val="18"/>
          <w:szCs w:val="18"/>
          <w:color w:val="auto"/>
        </w:rPr>
        <w:t>which approximately $(3.6) million is associated with the derivative instrument re-measured to fair value at the end of the reporting period offset by $1.6 million related to the monthly cash payments.</w:t>
      </w:r>
    </w:p>
    <w:p>
      <w:pPr>
        <w:spacing w:after="0" w:line="16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a $0.6 million loss on extinguishment of debt during the six months ended June 30, 2024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write-off of pre-existing deferred financing costs and discounts in connection with the refinancing of the 2021 Term Loan in February 2024. We recorded a $1.6 million loss on extinguishment of debt during the six months ended June 30, 2023 related to the write-off of pre-existing deferred financing costs and discounts in connection with the early repayments of $72.5 million on the 2021 Term Loan.</w:t>
      </w:r>
    </w:p>
    <w:p>
      <w:pPr>
        <w:spacing w:after="0" w:line="17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approximately $9.7 million for the six months ended June 30, 2024 compared to $8.3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increase of $1.4 million is primarily attributable to volume rebates earned from total spend on purchasing cards from increased tolling and travel activity.</w:t>
      </w:r>
    </w:p>
    <w:p>
      <w:pPr>
        <w:spacing w:after="0" w:line="1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$23.2 million representing an effective tax rate of 26.8%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$20.4 million, with an effective tax rate of 46.2% for the same period in 2023. The primary driver for the effective tax rate variance is the permanent difference related to the mark-to-market adjustments on the Private Placement Warrants that impacted the rate in the prior year without a comparable impact in the current period.</w:t>
      </w:r>
    </w:p>
    <w:p>
      <w:pPr>
        <w:spacing w:after="0" w:line="17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$63.4 million for the six months ended June 30, 2024, as compared to a net income of $23.7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$39.7 million increase in net income was primarily due to the change in fair value of Private Placement Warrants expense in the prior year period, decrease in interest expense and the other statement of operations activity discussed above.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 (defined below).</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1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77"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June 30, 2024, we had $74.6 million available for borrowing, net of letters of credit, under our Revolver. Our cash on hand was $122.0 million as of June 30, 2024.</w:t>
      </w:r>
    </w:p>
    <w:p>
      <w:pPr>
        <w:spacing w:after="0" w:line="16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We made early repayments of approximately $2.3 million and $4.5 million on our 2021 Term Loan during the three and six months ended June 30, 2024. In addition, we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in February 2024 to refinance the entire outstanding amount under the 2021 Term Loan and reduce the interest rate and eliminate the credit spread adjustment. As of June 30, 2024, the total principal outstanding on the 2021 Term Loan was $700.1 million.</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At June 30, 2024, the tax receivable agreement liability was approximately $53.5 million. We expect to make payments of approximately $5.0 million per year for the next 11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2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October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capital requirements, cash flows, results of operations, future business prospects and other factors our management may deem relevant. The timing, volume and nature of repurchases are subject to market conditions, applicable securities laws and other factors and may be amended, suspended or discontinued at any time. On June 6, 2024, the Company entered into a share repurchase agreement with a stockholder, pursuant to which the Company repurchased, directly from the stockholder, 2.0 million shares of the Company’s Class A Common Stock for an aggregate purchase price of $51.5 million. The repurchased shares were subsequently retired. As of June 30, 2024, $48.5 million remains available under the share repurchase program.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Part I, Item 1, Financial Statements for additional information on our share repurchases.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20" w:type="dxa"/>
            <w:vAlign w:val="bottom"/>
          </w:tcPr>
          <w:p>
            <w:pPr>
              <w:spacing w:after="0"/>
              <w:rPr>
                <w:sz w:val="13"/>
                <w:szCs w:val="13"/>
                <w:color w:val="auto"/>
              </w:rPr>
            </w:pPr>
          </w:p>
        </w:tc>
        <w:tc>
          <w:tcPr>
            <w:tcW w:w="7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74,368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107,927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(27,677 )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(31,525 )</w:t>
            </w:r>
          </w:p>
        </w:tc>
      </w:tr>
      <w:tr>
        <w:trPr>
          <w:trHeight w:val="247"/>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(60,917 )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100" w:type="dxa"/>
            <w:vAlign w:val="bottom"/>
            <w:shd w:val="clear" w:color="auto" w:fill="CFF0FC"/>
          </w:tcPr>
          <w:p>
            <w:pPr>
              <w:spacing w:after="0"/>
              <w:rPr>
                <w:sz w:val="21"/>
                <w:szCs w:val="2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decreased by approximately $33.5 million from $107.9 million for the six months ended June 30, 2023 to $74.4 million for the six months ended June 30, 2024. Net income year over year increased by approximately $39.7 million, from $23.7 million in 2023 to $63.4 million in 2024. The aggregate adjustments to reconcile net income to net cash provided by operating activities decreased $14.8 million mainly due to the change in fair value of private placement warrants and decreased amortization, which were partially offset by increases in credit loss expense, stock based compensation and change in deferred income taxes. The aggregate changes in operating assets and liabilities decreased by $58.4 million in 2024 compared to the prior year primarily due to payments for a legal settlement and other current liabilities that were previously accrued for, decrease in deferred revenue and increases in prepaid and other current assets.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Cash used in investing activities was $27.7 million and $31.5 million for the six months ended June 30, 2024 and 2023, respectively. The decrease in cash used was primarily driven by approximately $0.6 million of cash received from the interest rate swap in 2024 compared to $1.6 million of cash paid in the prior year, and a $1.8 million decrease in cash used for purchases of installation and service parts and property and equipment compared to the prior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Cash (used in) provided by financing activities was $(60.9) million and $27.9 million for the six months ended June 30, 2024 and 2023, respectively. The cash used in 2024 was mainly due to $51.5 million paid for share repurchases, $5.7 million of payments for employee tax withholding related to RSUs and PSUs vesting and early repayments of $4.5 million on our 2021 Term Loan. The cash provided in 2023 was mainly due to the $105.8 million proceeds from the exercise of warrants issued in connection with the IPO, partially offset by early repayments totaling $72.5 million on our 2021 Term Loan.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our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we had $4.6 million of offering discount costs and $4.5 million in deferred financing costs, both of which were capitalized and are being amortized over the remaining life of the 2021 Term Loan.</w:t>
      </w:r>
    </w:p>
    <w:p>
      <w:pPr>
        <w:spacing w:after="0" w:line="178"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February 2024, VM Consolidated entered into the Third Amendment to refinance the 2021 Term Loan (the “</w:t>
      </w:r>
      <w:r>
        <w:rPr>
          <w:rFonts w:ascii="Times New Roman" w:cs="Times New Roman" w:eastAsia="Times New Roman" w:hAnsi="Times New Roman"/>
          <w:sz w:val="18"/>
          <w:szCs w:val="18"/>
          <w:b w:val="1"/>
          <w:bCs w:val="1"/>
          <w:i w:val="1"/>
          <w:iCs w:val="1"/>
          <w:color w:val="auto"/>
        </w:rPr>
        <w:t>Refinancing Transaction</w:t>
      </w:r>
      <w:r>
        <w:rPr>
          <w:rFonts w:ascii="Times New Roman" w:cs="Times New Roman" w:eastAsia="Times New Roman" w:hAnsi="Times New Roman"/>
          <w:sz w:val="18"/>
          <w:szCs w:val="18"/>
          <w:color w:val="auto"/>
        </w:rPr>
        <w:t>”). Pursuant to the Third Amendment, the interest rate was reduced by 50 basis points to SOFR + 2.75% from SOFR + 3.25% with the SOFR floor unchanged at 0.00%. The credit spread adjustment, ranging from 0.11448%</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4" w:name="page35"/>
    <w:bookmarkEnd w:id="34"/>
    <w:p>
      <w:pPr>
        <w:jc w:val="both"/>
        <w:spacing w:after="0" w:line="265" w:lineRule="auto"/>
        <w:rPr>
          <w:sz w:val="20"/>
          <w:szCs w:val="20"/>
          <w:color w:val="auto"/>
        </w:rPr>
      </w:pPr>
      <w:r>
        <w:rPr>
          <w:rFonts w:ascii="Times New Roman" w:cs="Times New Roman" w:eastAsia="Times New Roman" w:hAnsi="Times New Roman"/>
          <w:sz w:val="18"/>
          <w:szCs w:val="18"/>
          <w:color w:val="auto"/>
        </w:rPr>
        <w:t>to 0.71513%, was eliminated, which resulted in a total savings of 61.5 basis points. In addition, the 2021 Term Loan no longer contains a provision for principal repayments which were previously required to be paid in quarterly installments. During the six months ended June 30, 2024, we made early repayments of approximately $4.5 million on the 2021 Term Loan and as a result, the total principal outstanding was $700.1 million as of June 30, 2024.</w:t>
      </w:r>
    </w:p>
    <w:p>
      <w:pPr>
        <w:spacing w:after="0" w:line="17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We evaluated the Refinancing Transaction on a lender-by-lender basis and accounted accordingly for debt extinguishment costs and debt modification costs (for the portion of the transaction that did not meet the accounting criteria for debt extinguishment). We recorded a $0.6 million loss on extinguishment of debt during the six months ended June 30, 2024 related to the write-off of pre-existing deferred financing costs and discounts in connection with the Refinancing Transaction.</w:t>
      </w:r>
    </w:p>
    <w:p>
      <w:pPr>
        <w:spacing w:after="0" w:line="18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2021 Term Loan now bears interest based, at our option, on either (i) Term SOFR plus an applicable margin of 2.75% per annum, or (ii) an alternate base rate plus an applicable margin of 1.75% per annum. As of June 30, 2024, the interest rate on the 2021 Term Loan was 8.1%.</w:t>
      </w:r>
    </w:p>
    <w:p>
      <w:pPr>
        <w:spacing w:after="0" w:line="163"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&lt; 3.70:1.00 and &gt; 3.20:1.00</w:t>
            </w:r>
          </w:p>
        </w:tc>
        <w:tc>
          <w:tcPr>
            <w:tcW w:w="250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66"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6"/>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102.750%</w:t>
            </w:r>
          </w:p>
        </w:tc>
      </w:tr>
      <w:tr>
        <w:trPr>
          <w:trHeight w:val="238"/>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101.375%</w:t>
            </w:r>
          </w:p>
        </w:tc>
      </w:tr>
      <w:tr>
        <w:trPr>
          <w:trHeight w:val="247"/>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2026 and thereafter</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June 30, 2024 or December 31, 2023. The availability to borrow was $74.6 million, net of $0.4 million of outstanding letters of credit at June 30, 2024.</w:t>
      </w:r>
    </w:p>
    <w:p>
      <w:pPr>
        <w:spacing w:after="0" w:line="18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$0.4 million of outstanding letters of credit as of June 30, 2024.</w:t>
      </w:r>
    </w:p>
    <w:p>
      <w:pPr>
        <w:spacing w:after="0" w:line="163"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18"/>
          <w:szCs w:val="18"/>
          <w:color w:val="auto"/>
        </w:rPr>
        <w:t>respects of representations and warranties. Substantially all of our assets are pledged as collateral to secure our indebtedness under the 2021 Term Loan. At June 30, 2024, we were compliant with all debt covenants.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$18.8 million and $22.8 million for the three months ended June 30, 2024 and 2023, respectively, and $38.5 million and $45.5 million for the six months ended June 30, 2024 and 2023, respectively.</w:t>
      </w:r>
    </w:p>
    <w:p>
      <w:pPr>
        <w:spacing w:after="0" w:line="161"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 for additional information on the interest rate swap entered into in December 2022 to hedge our exposure against higher interest rates.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June 30,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 on the 2021 Term Loan described in Part I,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$700.1 million at June 30, 2024. The 2021 Term Loan now bears interest based, at our option, on either (i) Term SOFR plus an applicable margin of 2.75% per annum, or (ii) an alternate base rate plus an applicable margin of 1.75% per annum. As of June 30, 2024, the interest rate on the 2021 Term Loan was 8.1%.</w:t>
      </w:r>
    </w:p>
    <w:p>
      <w:pPr>
        <w:spacing w:after="0" w:line="74"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Based on the June 30, 2024 balance outstanding, each 1% movement in interest rates will result in an approximately $7.0 million change in annual interest expense.</w:t>
      </w:r>
    </w:p>
    <w:p>
      <w:pPr>
        <w:spacing w:after="0" w:line="5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December 2022, we entered into a cancellable interest rate swap agreement to hedge our exposure to interest rate fluctuations associated with the LIBOR (now transitioned to Term SOFR) portion of the variable interest rate on our 2021 Term Loan. Under the interest rate swap agreement, we pay a fixed rate of 5.17% and the counterparty pays a variable interest rate which is net settled. The notional amount on the interest rate swap is $675.0 million. We have the option to effectively terminate the interest rate swap agreement as of December 2023, and monthly thereafter until December 2025, in the event interest rates decrease. We recorded a gain of less than $0.1 million for the three months ended June 30, 2024 and a $0.4 million gain for the six months ended June 30, 2024.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 for additional information on the interest rate swap.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Based on the results of our assessment, our management concluded that our disclosure controls and procedures were not effective as of June 30, 2024 due to a material weakness in our internal control over financial reporting described below and previously disclosed in Part II, Item 9A. “Controls and Procedures”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w:t>
      </w:r>
    </w:p>
    <w:p>
      <w:pPr>
        <w:spacing w:after="0" w:line="227"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We identified a material weakness in the design and operation of our internal controls over financial reporting in the Control Activities component of the COSO framework related to a lack of information technology general controls to prevent the risk of management override. Specifically, we identified system limitations that do not facilitate proper segregation of duties within multiple systems and a lack of mitigating business process level controls to address the risk of management override over the preparation and review of manual journal entries and certain manual revenue invoices.</w:t>
      </w:r>
    </w:p>
    <w:p>
      <w:pPr>
        <w:spacing w:after="0" w:line="18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While this deficiency did not result in any material misstatements of our consolidated interim or annual financial statements, it does represent a material weakness in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 to Address the Material Weakness</w:t>
      </w:r>
    </w:p>
    <w:p>
      <w:pPr>
        <w:spacing w:after="0" w:line="14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previously described in Part II, Item 9A. “Controls and Procedures” in our Annual Report, we began implementing a remediation plan to address the material weakness discussed above. The material weakness will not be considered remediated until the applicable controls operate for a sufficient period of time and management has concluded, through testing, that these controls are operating effectively. The Company has devoted, significant time and resources to complete its remediation of the material weakness. The Company is targeting completion of the remediation and testing of the material weakness by the end of the 2024 fiscal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20" w:firstLine="374"/>
        <w:spacing w:after="0" w:line="265"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that occurred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From time to time we may become involved with various legal proceedings. Refer to the information contained under the heading “Legal Proceedings” in Note 13 to our Unaudited Condensed Consolidated Financial Statements included in Part 1,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Part I, Item 1A. “Risk Factors” in our Annual Report includes a discussion of our risk factors. There have been no material changes from the risk factors described in our Annual Report. We may disclose changes to such risk factors or disclose additional risk factors from time to time in our future SEC filings.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our purchases of our Class A Common Stock during the three months ended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3"/>
                <w:szCs w:val="13"/>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67"/>
        </w:trPr>
        <w:tc>
          <w:tcPr>
            <w:tcW w:w="2360" w:type="dxa"/>
            <w:vAlign w:val="bottom"/>
            <w:vMerge w:val="restart"/>
          </w:tcPr>
          <w:p>
            <w:pPr>
              <w:ind w:left="980"/>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 Under the Publicly</w:t>
            </w:r>
          </w:p>
        </w:tc>
        <w:tc>
          <w:tcPr>
            <w:tcW w:w="0" w:type="dxa"/>
            <w:vAlign w:val="bottom"/>
          </w:tcPr>
          <w:p>
            <w:pPr>
              <w:spacing w:after="0"/>
              <w:rPr>
                <w:sz w:val="1"/>
                <w:szCs w:val="1"/>
                <w:color w:val="auto"/>
              </w:rPr>
            </w:pPr>
          </w:p>
        </w:tc>
      </w:tr>
      <w:tr>
        <w:trPr>
          <w:trHeight w:val="79"/>
        </w:trPr>
        <w:tc>
          <w:tcPr>
            <w:tcW w:w="23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jc w:val="center"/>
              <w:ind w:right="28"/>
              <w:spacing w:after="0" w:line="189" w:lineRule="exact"/>
              <w:rPr>
                <w:sz w:val="20"/>
                <w:szCs w:val="20"/>
                <w:color w:val="auto"/>
              </w:rPr>
            </w:pPr>
            <w:r>
              <w:rPr>
                <w:rFonts w:ascii="Times New Roman" w:cs="Times New Roman" w:eastAsia="Times New Roman" w:hAnsi="Times New Roman"/>
                <w:sz w:val="14"/>
                <w:szCs w:val="14"/>
                <w:b w:val="1"/>
                <w:bCs w:val="1"/>
                <w:color w:val="auto"/>
              </w:rPr>
              <w:t>Announced Plans or Programs</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of March 31, 2024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534,499</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534,499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4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of April 30, 2024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534,499</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534,499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of May 31, 2024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534,499</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534,499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6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20" w:type="dxa"/>
            <w:vAlign w:val="bottom"/>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of June 30, 2024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2,534,499</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2,534,499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382"/>
        <w:spacing w:after="0" w:line="281" w:lineRule="auto"/>
        <w:tabs>
          <w:tab w:leader="none" w:pos="6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2023, our Board of Directors authorized a new share repurchase program for up to an aggregate amount of $100.0 million of our outstanding shares of Class A Common Stock over an 18-month period in an open market, ASR or privately negotiated transactions.</w:t>
      </w:r>
    </w:p>
    <w:p>
      <w:pPr>
        <w:spacing w:after="0" w:line="54" w:lineRule="exact"/>
        <w:rPr>
          <w:rFonts w:ascii="Times New Roman" w:cs="Times New Roman" w:eastAsia="Times New Roman" w:hAnsi="Times New Roman"/>
          <w:sz w:val="18"/>
          <w:szCs w:val="18"/>
          <w:color w:val="auto"/>
        </w:rPr>
      </w:pPr>
    </w:p>
    <w:p>
      <w:pPr>
        <w:ind w:right="20" w:firstLine="382"/>
        <w:spacing w:after="0" w:line="281" w:lineRule="auto"/>
        <w:tabs>
          <w:tab w:leader="none" w:pos="6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we entered into a share repurchase agreement with a stockholder, pursuant to which we repurchased, directly from the stockholder, 2.0 million shares of our Class A Common Stock for an aggregate purchase price of $51.5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June 30,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8" w:name="page39"/>
    <w:bookmarkEnd w:id="38"/>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During the three months ended June 30, 2024, David Roberts, President and Chief Executive Officer, and Craig Conti, Chief Financial Officer, adopted trading arrangements for the sale of shares of our Class A Common Stock in amounts and prices determined in accordance with such plan, as more fully described in the following table:</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6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 w:type="dxa"/>
            <w:vAlign w:val="bottom"/>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Non Rule 10b5-</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20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81"/>
        </w:trPr>
        <w:tc>
          <w:tcPr>
            <w:tcW w:w="2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ind w:left="20"/>
              <w:spacing w:after="0" w:line="81" w:lineRule="exact"/>
              <w:rPr>
                <w:sz w:val="20"/>
                <w:szCs w:val="20"/>
                <w:color w:val="auto"/>
              </w:rPr>
            </w:pPr>
            <w:r>
              <w:rPr>
                <w:rFonts w:ascii="Times New Roman" w:cs="Times New Roman" w:eastAsia="Times New Roman" w:hAnsi="Times New Roman"/>
                <w:sz w:val="9"/>
                <w:szCs w:val="9"/>
                <w:b w:val="1"/>
                <w:bCs w:val="1"/>
                <w:color w:val="auto"/>
              </w:rPr>
              <w:t>Rule 10b5-1</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600" w:type="dxa"/>
            <w:vAlign w:val="bottom"/>
          </w:tcPr>
          <w:p>
            <w:pPr>
              <w:jc w:val="right"/>
              <w:ind w:right="438"/>
              <w:spacing w:after="0" w:line="81" w:lineRule="exact"/>
              <w:rPr>
                <w:sz w:val="20"/>
                <w:szCs w:val="20"/>
                <w:color w:val="auto"/>
              </w:rPr>
            </w:pPr>
            <w:r>
              <w:rPr>
                <w:rFonts w:ascii="Times New Roman" w:cs="Times New Roman" w:eastAsia="Times New Roman" w:hAnsi="Times New Roman"/>
                <w:sz w:val="8"/>
                <w:szCs w:val="8"/>
                <w:b w:val="1"/>
                <w:bCs w:val="1"/>
                <w:color w:val="auto"/>
              </w:rPr>
              <w:t>(2)</w:t>
            </w:r>
          </w:p>
        </w:tc>
        <w:tc>
          <w:tcPr>
            <w:tcW w:w="100" w:type="dxa"/>
            <w:vAlign w:val="bottom"/>
          </w:tcPr>
          <w:p>
            <w:pPr>
              <w:spacing w:after="0"/>
              <w:rPr>
                <w:sz w:val="7"/>
                <w:szCs w:val="7"/>
                <w:color w:val="auto"/>
              </w:rPr>
            </w:pPr>
          </w:p>
        </w:tc>
        <w:tc>
          <w:tcPr>
            <w:tcW w:w="172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Securities/Total Dollar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Value to be Sold</w:t>
            </w:r>
            <w:r>
              <w:rPr>
                <w:rFonts w:ascii="Times New Roman" w:cs="Times New Roman" w:eastAsia="Times New Roman" w:hAnsi="Times New Roman"/>
                <w:sz w:val="19"/>
                <w:szCs w:val="19"/>
                <w:b w:val="1"/>
                <w:bCs w:val="1"/>
                <w:color w:val="auto"/>
                <w:w w:val="97"/>
                <w:vertAlign w:val="superscript"/>
              </w:rPr>
              <w:t>(3)</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David Roberts,</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Adoption</w:t>
            </w:r>
          </w:p>
        </w:tc>
        <w:tc>
          <w:tcPr>
            <w:tcW w:w="120" w:type="dxa"/>
            <w:vAlign w:val="bottom"/>
            <w:shd w:val="clear" w:color="auto" w:fill="CFF0FC"/>
          </w:tcPr>
          <w:p>
            <w:pPr>
              <w:spacing w:after="0"/>
              <w:rPr>
                <w:sz w:val="12"/>
                <w:szCs w:val="12"/>
                <w:color w:val="auto"/>
              </w:rPr>
            </w:pPr>
          </w:p>
        </w:tc>
        <w:tc>
          <w:tcPr>
            <w:tcW w:w="1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6, 2024</w:t>
            </w: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129,018</w:t>
            </w:r>
          </w:p>
        </w:tc>
        <w:tc>
          <w:tcPr>
            <w:tcW w:w="20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6, 2025</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2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Craig Conti,</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Adoption</w:t>
            </w: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9, 2024</w:t>
            </w:r>
          </w:p>
        </w:tc>
        <w:tc>
          <w:tcPr>
            <w:tcW w:w="10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7, 2025</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satisfy the affirmative defense conditions of Rule 10b5-1(c).</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satisfy the affirmative defense conditions of Rule 10b5-1(c).</w:t>
      </w:r>
    </w:p>
    <w:p>
      <w:pPr>
        <w:spacing w:after="0" w:line="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number of shares to be sold pursuant to the trading arrangement.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6"/>
        </w:trPr>
        <w:tc>
          <w:tcPr>
            <w:tcW w:w="9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0"/>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4940" w:type="dxa"/>
            <w:vAlign w:val="bottom"/>
            <w:tcBorders>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Second Amended and Restated Certificate of Incorporation of</w:t>
              </w:r>
            </w:hyperlink>
          </w:p>
        </w:tc>
        <w:tc>
          <w:tcPr>
            <w:tcW w:w="60" w:type="dxa"/>
            <w:vAlign w:val="bottom"/>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9"/>
              <w:spacing w:after="0" w:line="182" w:lineRule="exact"/>
              <w:rPr>
                <w:sz w:val="20"/>
                <w:szCs w:val="20"/>
                <w:color w:val="auto"/>
              </w:rPr>
            </w:pPr>
            <w:r>
              <w:rPr>
                <w:rFonts w:ascii="Times New Roman" w:cs="Times New Roman" w:eastAsia="Times New Roman" w:hAnsi="Times New Roman"/>
                <w:sz w:val="18"/>
                <w:szCs w:val="18"/>
                <w:color w:val="auto"/>
                <w:w w:val="99"/>
              </w:rPr>
              <w:t>001-37979</w:t>
            </w: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October 22, 2018</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4"/>
          </w:tcPr>
          <w:p>
            <w:pPr>
              <w:spacing w:after="0" w:line="195"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Verra Mobility Corporation.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5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Amended and Restated Bylaws of Verra Mobility Corporation.</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9"/>
              <w:spacing w:after="0"/>
              <w:rPr>
                <w:sz w:val="20"/>
                <w:szCs w:val="20"/>
                <w:color w:val="auto"/>
              </w:rPr>
            </w:pPr>
            <w:r>
              <w:rPr>
                <w:rFonts w:ascii="Times New Roman" w:cs="Times New Roman" w:eastAsia="Times New Roman" w:hAnsi="Times New Roman"/>
                <w:sz w:val="18"/>
                <w:szCs w:val="18"/>
                <w:color w:val="auto"/>
                <w:w w:val="99"/>
              </w:rPr>
              <w:t>001-37979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0000FF"/>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20" w:type="dxa"/>
            <w:vAlign w:val="bottom"/>
            <w:tcBorders>
              <w:bottom w:val="single" w:sz="8" w:color="0000EE"/>
            </w:tcBorders>
          </w:tcPr>
          <w:p>
            <w:pPr>
              <w:spacing w:after="0"/>
              <w:rPr>
                <w:sz w:val="24"/>
                <w:szCs w:val="24"/>
                <w:color w:val="auto"/>
              </w:rPr>
            </w:pPr>
          </w:p>
        </w:tc>
        <w:tc>
          <w:tcPr>
            <w:tcW w:w="16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0000FF"/>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40" w:type="dxa"/>
            <w:vAlign w:val="bottom"/>
            <w:tcBorders>
              <w:bottom w:val="single" w:sz="8" w:color="0000EE"/>
            </w:tcBorders>
            <w:gridSpan w:val="2"/>
          </w:tcPr>
          <w:p>
            <w:pPr>
              <w:spacing w:after="0"/>
              <w:rPr>
                <w:sz w:val="24"/>
                <w:szCs w:val="24"/>
                <w:color w:val="auto"/>
              </w:rPr>
            </w:pPr>
          </w:p>
        </w:tc>
        <w:tc>
          <w:tcPr>
            <w:tcW w:w="14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60" w:type="dxa"/>
            <w:vAlign w:val="bottom"/>
            <w:tcBorders>
              <w:bottom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58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12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60" w:type="dxa"/>
            <w:vAlign w:val="bottom"/>
            <w:tcBorders>
              <w:bottom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58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right="20" w:firstLine="1"/>
        <w:spacing w:after="0" w:line="281" w:lineRule="auto"/>
        <w:tabs>
          <w:tab w:leader="none" w:pos="2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78"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26035</wp:posOffset>
            </wp:positionV>
            <wp:extent cx="31769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0"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color w:val="auto"/>
        </w:rPr>
        <w:t>”) of Verra Mobility Corporation;</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0"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2"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Roberts</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0"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color w:val="auto"/>
        </w:rPr>
        <w:t>”) of Verra Mobility Corporation;</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0"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2"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June 30, 2024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66"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Times New Roman" w:cs="Times New Roman" w:eastAsia="Times New Roman" w:hAnsi="Times New Roman"/>
          <w:sz w:val="18"/>
          <w:szCs w:val="18"/>
          <w:color w:val="auto"/>
        </w:rPr>
      </w:pPr>
    </w:p>
    <w:p>
      <w:pPr>
        <w:ind w:left="520" w:right="360" w:hanging="512"/>
        <w:spacing w:after="0" w:line="484" w:lineRule="auto"/>
        <w:tabs>
          <w:tab w:leader="none" w:pos="5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This Certification has not been, and shall not be deemed, “filed” with the Securities and Exchange Commission.</w:t>
      </w:r>
    </w:p>
    <w:p>
      <w:pPr>
        <w:spacing w:after="0" w:line="1" w:lineRule="exact"/>
        <w:rPr>
          <w:sz w:val="20"/>
          <w:szCs w:val="20"/>
          <w:color w:val="auto"/>
        </w:rPr>
      </w:pPr>
    </w:p>
    <w:p>
      <w:pPr>
        <w:ind w:left="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wp:posOffset>
            </wp:positionV>
            <wp:extent cx="33566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June 30, 2024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as of the date hereof, solely for purposes of Title 18, Chapter 63, Section 1350 of the United States Code, that to the best of my knowledge:</w:t>
      </w:r>
    </w:p>
    <w:p>
      <w:pPr>
        <w:spacing w:after="0" w:line="6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Times New Roman" w:cs="Times New Roman" w:eastAsia="Times New Roman" w:hAnsi="Times New Roman"/>
          <w:sz w:val="18"/>
          <w:szCs w:val="18"/>
          <w:color w:val="auto"/>
        </w:rPr>
      </w:pPr>
    </w:p>
    <w:p>
      <w:pPr>
        <w:ind w:left="520" w:right="360" w:hanging="512"/>
        <w:spacing w:after="0" w:line="484" w:lineRule="auto"/>
        <w:tabs>
          <w:tab w:leader="none" w:pos="5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This Certification has not been, and shall not be deemed, “filed” with the Securities and Exchange Commission.</w:t>
      </w:r>
    </w:p>
    <w:p>
      <w:pPr>
        <w:spacing w:after="0" w:line="1" w:lineRule="exact"/>
        <w:rPr>
          <w:sz w:val="20"/>
          <w:szCs w:val="20"/>
          <w:color w:val="auto"/>
        </w:rPr>
      </w:pPr>
    </w:p>
    <w:p>
      <w:pPr>
        <w:ind w:left="20"/>
        <w:spacing w:after="0"/>
        <w:tabs>
          <w:tab w:leader="none" w:pos="5400" w:val="left"/>
          <w:tab w:leader="none" w:pos="596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26035</wp:posOffset>
            </wp:positionV>
            <wp:extent cx="33477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decimal"/>
      <w:start w:val="5"/>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296" Type="http://schemas.openxmlformats.org/officeDocument/2006/relationships/hyperlink" Target="https://www.sec.gov/Archives/edgar/data/1682745/000156459018024644/vrrm-ex31_941.htm" TargetMode="External"/><Relationship Id="rId297" Type="http://schemas.openxmlformats.org/officeDocument/2006/relationships/hyperlink" Target="https://www.sec.gov/ix?doc=/Archives/edgar/data/1682745/000095017023062035/vrrm-20231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2024-08-08T16:38:27Z</dcterms:created>
  <dcterms:modified xsi:type="dcterms:W3CDTF">2024-08-08T16:38:27Z</dcterms:modified>
</cp:coreProperties>
</file>