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158750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166370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156845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163195</wp:posOffset>
            </wp:positionV>
            <wp:extent cx="185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VERRA MOBILITY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150495</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1-37979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81-3563824</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2760" w:space="720"/>
            <w:col w:w="2660"/>
          </w:cols>
          <w:pgMar w:left="320" w:top="468"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1150 N. Alma School Road</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Mesa, Arizona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85201</w:t>
      </w:r>
    </w:p>
    <w:p>
      <w:pPr>
        <w:spacing w:after="0" w:line="50" w:lineRule="exact"/>
        <w:rPr>
          <w:sz w:val="24"/>
          <w:szCs w:val="24"/>
          <w:color w:val="auto"/>
        </w:rPr>
      </w:pPr>
    </w:p>
    <w:p>
      <w:pPr>
        <w:sectPr>
          <w:pgSz w:w="11900" w:h="16838" w:orient="portrait"/>
          <w:cols w:equalWidth="0" w:num="2">
            <w:col w:w="7480" w:space="720"/>
            <w:col w:w="3040"/>
          </w:cols>
          <w:pgMar w:left="320" w:top="468"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380" w:space="720"/>
            <w:col w:w="3140"/>
          </w:cols>
          <w:pgMar w:left="320" w:top="468"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443-7000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468"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151765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8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3"/>
              </w:rPr>
              <w:t>(Title of each class)</w:t>
            </w:r>
          </w:p>
        </w:tc>
        <w:tc>
          <w:tcPr>
            <w:tcW w:w="220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w w:val="93"/>
              </w:rPr>
              <w:t>(Trading symbol)</w:t>
            </w:r>
          </w:p>
        </w:tc>
        <w:tc>
          <w:tcPr>
            <w:tcW w:w="4460" w:type="dxa"/>
            <w:vAlign w:val="bottom"/>
          </w:tcPr>
          <w:p>
            <w:pPr>
              <w:jc w:val="center"/>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44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9"/>
              </w:rPr>
              <w:t>Class A common stock, par value $0.0001 per share</w:t>
            </w:r>
          </w:p>
        </w:tc>
        <w:tc>
          <w:tcPr>
            <w:tcW w:w="1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VRRM</w:t>
            </w:r>
          </w:p>
        </w:tc>
        <w:tc>
          <w:tcPr>
            <w:tcW w:w="180" w:type="dxa"/>
            <w:vAlign w:val="bottom"/>
            <w:vMerge w:val="continue"/>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 w:lineRule="exact"/>
        <w:rPr>
          <w:rFonts w:ascii="MS PGothic" w:cs="MS PGothic" w:eastAsia="MS PGothic" w:hAnsi="MS PGothic"/>
          <w:sz w:val="18"/>
          <w:szCs w:val="18"/>
          <w:color w:val="auto"/>
        </w:rPr>
      </w:pPr>
    </w:p>
    <w:p>
      <w:pPr>
        <w:ind w:right="20" w:firstLine="8"/>
        <w:spacing w:after="0" w:line="258" w:lineRule="auto"/>
        <w:tabs>
          <w:tab w:leader="none" w:pos="31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89"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As described in Item 5.02 below, on July 29, 2020, Jay Geldmacher, a member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notified the Company of his intention to resign from the Board, effective as of July 30, 2020. At the time of his resignation, Mr. Geldmacher was an independent director, a member of the Company’s Audit Committee (the “</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and the chair of the Company’s Compensation Committee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As a result of Mr. Geldmacher’s resignation, the Audit Committee is currently comprised of two independent members and the Board is currently comprised of six directors, three of whom are “independent directors” as defined in the applicable listing rules (“</w:t>
      </w:r>
      <w:r>
        <w:rPr>
          <w:rFonts w:ascii="Arial" w:cs="Arial" w:eastAsia="Arial" w:hAnsi="Arial"/>
          <w:sz w:val="17"/>
          <w:szCs w:val="17"/>
          <w:b w:val="1"/>
          <w:bCs w:val="1"/>
          <w:i w:val="1"/>
          <w:iCs w:val="1"/>
          <w:color w:val="auto"/>
        </w:rPr>
        <w:t>Nasdaq Rules</w:t>
      </w:r>
      <w:r>
        <w:rPr>
          <w:rFonts w:ascii="Arial" w:cs="Arial" w:eastAsia="Arial" w:hAnsi="Arial"/>
          <w:sz w:val="17"/>
          <w:szCs w:val="17"/>
          <w:color w:val="auto"/>
        </w:rPr>
        <w:t>”) of The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w:t>
      </w:r>
    </w:p>
    <w:p>
      <w:pPr>
        <w:spacing w:after="0" w:line="151"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On July 29, 2020, the Company notified Nasdaq that, due to Mr. Geldmacher’s resignation, the Company would no longer continue to satisfy the requirements of (i) Nasdaq Listing Rule 5605(c)(2)(A), which requires the audit committee of a Nasdaq-listed company to have a minimum of three members, each of whom satisfies the independence requirements set forth in Nasdaq Rules and (ii) Nasdaq Listing Rule 5605(b)(1), which requires that the majority of the board of directors of a Nasdaq-listed company be comprised of independent directors as defined in Nasdaq Rules. In the Company’s notice, it also informed Nasdaq that it intends to rely upon the cure period provided by Nasdaq Listing Rules 5605(c)(4)(B) and 5605(b)(1)(A), which provide a period of up to one year to regain compliance. On July 31, the Company received a letter from Nasdaq confirming its noncompliance with Listing Rules 5605(c)(2)(A) and 5605(b)(1) because the Audit Committee is not currently comprised of three independent directors and the Board is not currently comprised of a majority of independent directors.</w:t>
      </w:r>
    </w:p>
    <w:p>
      <w:pPr>
        <w:spacing w:after="0" w:line="151"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The Company expects to return to full compliance with Nasdaq Listing Rules 5605(c)(2)(A) and 5605(b)(1) on or before the end of the prescribed cure periods.</w:t>
      </w:r>
    </w:p>
    <w:p>
      <w:pPr>
        <w:sectPr>
          <w:pgSz w:w="11900" w:h="16838" w:orient="portrait"/>
          <w:cols w:equalWidth="0" w:num="1">
            <w:col w:w="11200"/>
          </w:cols>
          <w:pgMar w:left="320" w:top="121" w:right="37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25" w:lineRule="exact"/>
        <w:rPr>
          <w:sz w:val="20"/>
          <w:szCs w:val="20"/>
          <w:color w:val="auto"/>
        </w:rPr>
      </w:pPr>
    </w:p>
    <w:p>
      <w:pPr>
        <w:sectPr>
          <w:pgSz w:w="11900" w:h="16838" w:orient="portrait"/>
          <w:cols w:equalWidth="0" w:num="2">
            <w:col w:w="780" w:space="720"/>
            <w:col w:w="9700"/>
          </w:cols>
          <w:pgMar w:left="320" w:top="121" w:right="379" w:bottom="1440" w:gutter="0" w:footer="0" w:header="0"/>
          <w:type w:val="continuous"/>
        </w:sectPr>
      </w:pPr>
    </w:p>
    <w:p>
      <w:pPr>
        <w:ind w:right="100" w:firstLine="693"/>
        <w:spacing w:after="0" w:line="257" w:lineRule="auto"/>
        <w:rPr>
          <w:sz w:val="20"/>
          <w:szCs w:val="20"/>
          <w:color w:val="auto"/>
        </w:rPr>
      </w:pPr>
      <w:r>
        <w:rPr>
          <w:rFonts w:ascii="Arial" w:cs="Arial" w:eastAsia="Arial" w:hAnsi="Arial"/>
          <w:sz w:val="18"/>
          <w:szCs w:val="18"/>
          <w:color w:val="auto"/>
        </w:rPr>
        <w:t>On July 29, 2020, Mr. Geldmacher notified the Company of his intention to resign from the Board, effective as of July 30, 2020. At the time of his resignation, Mr. Geldmacher was the chair of the Company’s Compensation Committee and a member of the Company’s Audit Committee. Mr. Geldmacher’s decision to resign was due to commitments made in connection with his acceptance of a new chief executive opportunity and was not the result of any disagreement with management or the Board. The Company appreciates Mr. Geldmacher’s contributions to the Company and thanks him for his service.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640" w:val="left"/>
        </w:tabs>
        <w:rPr>
          <w:sz w:val="20"/>
          <w:szCs w:val="20"/>
          <w:color w:val="auto"/>
        </w:rPr>
      </w:pPr>
      <w:r>
        <w:rPr>
          <w:rFonts w:ascii="Arial" w:cs="Arial" w:eastAsia="Arial" w:hAnsi="Arial"/>
          <w:sz w:val="18"/>
          <w:szCs w:val="18"/>
          <w:color w:val="auto"/>
        </w:rPr>
        <w:t>Dated: July 31, 2020</w:t>
      </w:r>
      <w:r>
        <w:rPr>
          <w:sz w:val="20"/>
          <w:szCs w:val="20"/>
          <w:color w:val="auto"/>
        </w:rPr>
        <w:tab/>
      </w:r>
      <w:r>
        <w:rPr>
          <w:rFonts w:ascii="Arial" w:cs="Arial" w:eastAsia="Arial" w:hAnsi="Arial"/>
          <w:sz w:val="16"/>
          <w:szCs w:val="16"/>
          <w:b w:val="1"/>
          <w:bCs w:val="1"/>
          <w:color w:val="auto"/>
        </w:rPr>
        <w:t>Verra Mobility Corporation</w:t>
      </w:r>
    </w:p>
    <w:p>
      <w:pPr>
        <w:spacing w:after="0" w:line="229" w:lineRule="exact"/>
        <w:rPr>
          <w:sz w:val="20"/>
          <w:szCs w:val="20"/>
          <w:color w:val="auto"/>
        </w:rPr>
      </w:pPr>
    </w:p>
    <w:p>
      <w:pPr>
        <w:ind w:left="66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Patricia Chiodo</w:t>
      </w:r>
    </w:p>
    <w:p>
      <w:pPr>
        <w:spacing w:after="0" w:line="23" w:lineRule="exact"/>
        <w:rPr>
          <w:sz w:val="20"/>
          <w:szCs w:val="20"/>
          <w:color w:val="auto"/>
        </w:rPr>
      </w:pPr>
    </w:p>
    <w:p>
      <w:pPr>
        <w:ind w:left="666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2020-07-31T15:29:23Z</dcterms:created>
  <dcterms:modified xsi:type="dcterms:W3CDTF">2020-07-31T15:29:23Z</dcterms:modified>
</cp:coreProperties>
</file>