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40331.htm"/>
      <w:bookmarkStart w:id="1" w:name="ksvrrm20240331"/>
      <w:bookmarkEnd w:id="0"/>
      <w:bookmarkEnd w:id="1"/>
      <w:r>
        <w:rPr/>
        <w:t>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001-37979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Exact name of registrant as specified in its charter</w:t>
      </w:r>
      <w:r>
        <w:rPr>
          <w:rFonts w:ascii="Times New Roman" w:hAnsi="Times New Roman"/>
          <w:color w:val="000000"/>
          <w:sz w:val="19"/>
        </w:rPr>
        <w:t>)</w:t>
      </w:r>
    </w:p>
    <w:p>
      <w:pPr>
        <w:pStyle w:val="TextBody"/>
        <w:pBdr>
          <w:bottom w:val="single" w:sz="4" w:space="1" w:color="000000"/>
        </w:pBdr>
        <w:bidi w:val="0"/>
        <w:jc w:val="center"/>
        <w:rPr/>
      </w:pPr>
      <w:r>
        <w:rPr/>
        <w:t> </w:t>
      </w:r>
    </w:p>
    <w:tbl>
      <w:tblPr>
        <w:tblW w:w="5188" w:type="dxa"/>
        <w:jc w:val="left"/>
        <w:tblInd w:w="0" w:type="dxa"/>
        <w:tblLayout w:type="fixed"/>
        <w:tblCellMar>
          <w:top w:w="28" w:type="dxa"/>
          <w:left w:w="28" w:type="dxa"/>
          <w:bottom w:w="28" w:type="dxa"/>
          <w:right w:w="28" w:type="dxa"/>
        </w:tblCellMar>
      </w:tblPr>
      <w:tblGrid>
        <w:gridCol w:w="3376"/>
        <w:gridCol w:w="146"/>
        <w:gridCol w:w="166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81-3563824</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State of</w:t>
            </w:r>
            <w:r>
              <w:rPr>
                <w:rFonts w:ascii="Times New Roman" w:hAnsi="Times New Roman"/>
                <w:color w:val="000000"/>
                <w:sz w:val="19"/>
              </w:rPr>
              <w:t xml:space="preserve"> </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I.R.S. Employer</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Incorporation</w:t>
            </w:r>
            <w:r>
              <w:rPr>
                <w:rFonts w:ascii="Times New Roman" w:hAnsi="Times New Roman"/>
                <w:color w:val="000000"/>
                <w:sz w:val="19"/>
              </w:rPr>
              <w:t>)</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Identification No.</w:t>
            </w:r>
            <w:r>
              <w:rPr>
                <w:rFonts w:ascii="Times New Roman" w:hAnsi="Times New Roman"/>
                <w:color w:val="000000"/>
                <w:sz w:val="19"/>
              </w:rPr>
              <w:t>)</w:t>
            </w:r>
          </w:p>
        </w:tc>
      </w:tr>
      <w:tr>
        <w:trPr/>
        <w:tc>
          <w:tcPr>
            <w:tcW w:w="33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pPr>
            <w:r>
              <w:rPr/>
              <w:t> </w:t>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1150 North Alma School Road</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85201</w:t>
            </w:r>
          </w:p>
        </w:tc>
      </w:tr>
      <w:tr>
        <w:trPr/>
        <w:tc>
          <w:tcPr>
            <w:tcW w:w="337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Mesa, Arizona</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Zip Code</w:t>
            </w:r>
            <w:r>
              <w:rPr>
                <w:rFonts w:ascii="Times New Roman" w:hAnsi="Times New Roman"/>
                <w:color w:val="000000"/>
                <w:sz w:val="19"/>
              </w:rPr>
              <w:t>)</w:t>
            </w:r>
          </w:p>
        </w:tc>
      </w:tr>
      <w:tr>
        <w:trPr/>
        <w:tc>
          <w:tcPr>
            <w:tcW w:w="3376" w:type="dxa"/>
            <w:tcBorders/>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Address of Principal Executive Offices</w:t>
            </w:r>
            <w:r>
              <w:rPr>
                <w:rFonts w:ascii="Times New Roman" w:hAnsi="Times New Roman"/>
                <w:color w:val="000000"/>
                <w:sz w:val="19"/>
              </w:rPr>
              <w:t>)</w:t>
            </w:r>
          </w:p>
        </w:tc>
        <w:tc>
          <w:tcPr>
            <w:tcW w:w="146" w:type="dxa"/>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(480) 443-7000</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Registrant’s Telephone Number, Including Area Code</w:t>
      </w:r>
      <w:r>
        <w:rPr>
          <w:rFonts w:ascii="Times New Roman" w:hAnsi="Times New Roman"/>
          <w:color w:val="000000"/>
          <w:sz w:val="19"/>
        </w:rPr>
        <w:t>)</w:t>
      </w:r>
    </w:p>
    <w:p>
      <w:pPr>
        <w:pStyle w:val="TextBody"/>
        <w:bidi w:val="0"/>
        <w:jc w:val="center"/>
        <w:rPr/>
      </w:pPr>
      <w:r>
        <w:rPr/>
        <w:t> </w:t>
      </w:r>
    </w:p>
    <w:p>
      <w:pPr>
        <w:pStyle w:val="TextBody"/>
        <w:bidi w:val="0"/>
        <w:spacing w:before="80" w:after="283"/>
        <w:jc w:val="center"/>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1"/>
        <w:gridCol w:w="146"/>
        <w:gridCol w:w="1514"/>
        <w:gridCol w:w="146"/>
        <w:gridCol w:w="3938"/>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4461" w:type="dxa"/>
            <w:tcBorders/>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(Title of Each Class)</w:t>
            </w:r>
          </w:p>
        </w:tc>
        <w:tc>
          <w:tcPr>
            <w:tcW w:w="146" w:type="dxa"/>
            <w:tcBorders/>
            <w:vAlign w:val="center"/>
          </w:tcPr>
          <w:p>
            <w:pPr>
              <w:pStyle w:val="TableContents"/>
              <w:bidi w:val="0"/>
              <w:spacing w:before="0" w:after="44"/>
              <w:jc w:val="center"/>
              <w:rPr/>
            </w:pPr>
            <w:r>
              <w:rPr/>
              <w:t> </w:t>
            </w:r>
          </w:p>
        </w:tc>
        <w:tc>
          <w:tcPr>
            <w:tcW w:w="1514" w:type="dxa"/>
            <w:tcBorders/>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(Trading Symbol)</w:t>
            </w:r>
          </w:p>
        </w:tc>
        <w:tc>
          <w:tcPr>
            <w:tcW w:w="146" w:type="dxa"/>
            <w:tcBorders/>
            <w:vAlign w:val="center"/>
          </w:tcPr>
          <w:p>
            <w:pPr>
              <w:pStyle w:val="TableContents"/>
              <w:bidi w:val="0"/>
              <w:spacing w:before="0" w:after="44"/>
              <w:jc w:val="center"/>
              <w:rPr/>
            </w:pPr>
            <w:r>
              <w:rPr/>
              <w:t> </w:t>
            </w:r>
          </w:p>
        </w:tc>
        <w:tc>
          <w:tcPr>
            <w:tcW w:w="3938" w:type="dxa"/>
            <w:tcBorders/>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(Name of Each Exchange on Which Registered)</w:t>
            </w:r>
          </w:p>
        </w:tc>
      </w:tr>
      <w:tr>
        <w:trPr/>
        <w:tc>
          <w:tcPr>
            <w:tcW w:w="4461" w:type="dxa"/>
            <w:tcBorders/>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Class A Common Stock, par value $0.0001 per share</w:t>
            </w:r>
          </w:p>
        </w:tc>
        <w:tc>
          <w:tcPr>
            <w:tcW w:w="146" w:type="dxa"/>
            <w:tcBorders/>
            <w:vAlign w:val="center"/>
          </w:tcPr>
          <w:p>
            <w:pPr>
              <w:pStyle w:val="TableContents"/>
              <w:bidi w:val="0"/>
              <w:spacing w:before="0" w:after="44"/>
              <w:jc w:val="center"/>
              <w:rPr/>
            </w:pPr>
            <w:r>
              <w:rPr/>
              <w:t> </w:t>
            </w:r>
          </w:p>
        </w:tc>
        <w:tc>
          <w:tcPr>
            <w:tcW w:w="1514" w:type="dxa"/>
            <w:tcBorders/>
            <w:vAlign w:val="center"/>
          </w:tcPr>
          <w:p>
            <w:pPr>
              <w:pStyle w:val="TableContents"/>
              <w:bidi w:val="0"/>
              <w:spacing w:before="0" w:after="44"/>
              <w:jc w:val="center"/>
              <w:rPr>
                <w:rFonts w:ascii="Times New Roman" w:hAnsi="Times New Roman"/>
                <w:b/>
                <w:caps/>
                <w:color w:val="000000"/>
                <w:sz w:val="19"/>
              </w:rPr>
            </w:pPr>
            <w:r>
              <w:rPr>
                <w:rFonts w:ascii="Times New Roman" w:hAnsi="Times New Roman"/>
                <w:b/>
                <w:caps/>
                <w:color w:val="000000"/>
                <w:sz w:val="19"/>
              </w:rPr>
              <w:t>VRRM</w:t>
            </w:r>
          </w:p>
        </w:tc>
        <w:tc>
          <w:tcPr>
            <w:tcW w:w="146" w:type="dxa"/>
            <w:tcBorders/>
            <w:vAlign w:val="center"/>
          </w:tcPr>
          <w:p>
            <w:pPr>
              <w:pStyle w:val="TableContents"/>
              <w:bidi w:val="0"/>
              <w:spacing w:before="0" w:after="44"/>
              <w:jc w:val="center"/>
              <w:rPr/>
            </w:pPr>
            <w:r>
              <w:rPr/>
              <w:t> </w:t>
            </w:r>
          </w:p>
        </w:tc>
        <w:tc>
          <w:tcPr>
            <w:tcW w:w="3938" w:type="dxa"/>
            <w:tcBorders/>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Nasdaq Capital Market</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9"/>
        </w:rPr>
        <w:t>As of April 26, 2024, there were 166,524,776</w:t>
      </w:r>
      <w:r>
        <w:rPr>
          <w:rFonts w:ascii="Times New Roman" w:hAnsi="Times New Roman"/>
          <w:color w:val="000000"/>
          <w:sz w:val="20"/>
        </w:rPr>
        <w:t xml:space="preserve"> </w:t>
      </w:r>
      <w:r>
        <w:rPr>
          <w:rFonts w:ascii="Times New Roman" w:hAnsi="Times New Roman"/>
          <w:color w:val="000000"/>
          <w:sz w:val="19"/>
        </w:rPr>
        <w:t>shares of the Company’s Class A Common Stock, par value $0.0001 per share, issued and outstanding.</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 THE QUARTER ENDED MARCH 31, 2024</w:t>
      </w:r>
    </w:p>
    <w:p>
      <w:pPr>
        <w:pStyle w:val="TextBody"/>
        <w:bidi w:val="0"/>
        <w:spacing w:before="20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03"/>
        <w:gridCol w:w="146"/>
        <w:gridCol w:w="1256"/>
      </w:tblGrid>
      <w:tr>
        <w:trPr/>
        <w:tc>
          <w:tcPr>
            <w:tcW w:w="8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8803" w:type="dxa"/>
            <w:tcBorders/>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8803" w:type="dxa"/>
            <w:tcBorders/>
            <w:vAlign w:val="center"/>
          </w:tcPr>
          <w:p>
            <w:pPr>
              <w:pStyle w:val="TableContents"/>
              <w:bidi w:val="0"/>
              <w:spacing w:before="0" w:after="283"/>
              <w:ind w:left="360" w:right="0" w:firstLine="360"/>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4</w:t>
            </w:r>
          </w:p>
        </w:tc>
      </w:tr>
      <w:tr>
        <w:trPr/>
        <w:tc>
          <w:tcPr>
            <w:tcW w:w="8803" w:type="dxa"/>
            <w:tcBorders/>
            <w:vAlign w:val="center"/>
          </w:tcPr>
          <w:p>
            <w:pPr>
              <w:pStyle w:val="TableContents"/>
              <w:bidi w:val="0"/>
              <w:spacing w:before="0" w:after="283"/>
              <w:ind w:left="1000" w:right="0" w:firstLine="100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4</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Income</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5</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6</w:t>
            </w:r>
          </w:p>
        </w:tc>
      </w:tr>
      <w:tr>
        <w:trPr/>
        <w:tc>
          <w:tcPr>
            <w:tcW w:w="8803" w:type="dxa"/>
            <w:tcBorders/>
            <w:vAlign w:val="center"/>
          </w:tcPr>
          <w:p>
            <w:pPr>
              <w:pStyle w:val="TableContents"/>
              <w:bidi w:val="0"/>
              <w:spacing w:before="0" w:after="283"/>
              <w:ind w:left="1000" w:right="0" w:firstLine="100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7</w:t>
            </w:r>
          </w:p>
        </w:tc>
      </w:tr>
      <w:tr>
        <w:trPr/>
        <w:tc>
          <w:tcPr>
            <w:tcW w:w="8803" w:type="dxa"/>
            <w:tcBorders/>
            <w:vAlign w:val="center"/>
          </w:tcPr>
          <w:p>
            <w:pPr>
              <w:pStyle w:val="TableContents"/>
              <w:bidi w:val="0"/>
              <w:spacing w:before="0" w:after="283"/>
              <w:ind w:left="1000" w:right="0" w:firstLine="1000"/>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8803" w:type="dxa"/>
            <w:tcBorders/>
            <w:vAlign w:val="center"/>
          </w:tcPr>
          <w:p>
            <w:pPr>
              <w:pStyle w:val="TableContents"/>
              <w:bidi w:val="0"/>
              <w:spacing w:before="0" w:after="283"/>
              <w:ind w:left="360" w:right="0" w:firstLine="36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24</w:t>
            </w:r>
          </w:p>
        </w:tc>
      </w:tr>
      <w:tr>
        <w:trPr/>
        <w:tc>
          <w:tcPr>
            <w:tcW w:w="8803" w:type="dxa"/>
            <w:tcBorders/>
            <w:vAlign w:val="center"/>
          </w:tcPr>
          <w:p>
            <w:pPr>
              <w:pStyle w:val="TableContents"/>
              <w:bidi w:val="0"/>
              <w:spacing w:before="0" w:after="283"/>
              <w:ind w:left="360" w:right="0" w:firstLine="36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32</w:t>
            </w:r>
          </w:p>
        </w:tc>
      </w:tr>
      <w:tr>
        <w:trPr/>
        <w:tc>
          <w:tcPr>
            <w:tcW w:w="8803" w:type="dxa"/>
            <w:tcBorders/>
            <w:vAlign w:val="center"/>
          </w:tcPr>
          <w:p>
            <w:pPr>
              <w:pStyle w:val="TableContents"/>
              <w:bidi w:val="0"/>
              <w:spacing w:before="0" w:after="283"/>
              <w:ind w:left="360" w:right="0" w:firstLine="36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03" w:type="dxa"/>
            <w:tcBorders/>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803" w:type="dxa"/>
            <w:tcBorders/>
            <w:vAlign w:val="center"/>
          </w:tcPr>
          <w:p>
            <w:pPr>
              <w:pStyle w:val="TableContents"/>
              <w:bidi w:val="0"/>
              <w:spacing w:before="0" w:after="283"/>
              <w:ind w:left="360" w:right="0" w:firstLine="36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803" w:type="dxa"/>
            <w:tcBorders/>
            <w:vAlign w:val="center"/>
          </w:tcPr>
          <w:p>
            <w:pPr>
              <w:pStyle w:val="TableContents"/>
              <w:bidi w:val="0"/>
              <w:spacing w:before="0" w:after="283"/>
              <w:ind w:left="360" w:right="0" w:firstLine="360"/>
              <w:jc w:val="left"/>
              <w:rPr/>
            </w:pPr>
            <w:hyperlink w:anchor="item_1a_risks_related_to_our_business">
              <w:r>
                <w:rPr>
                  <w:rStyle w:val="InternetLink"/>
                  <w:rFonts w:ascii="Times New Roman" w:hAnsi="Times New Roman"/>
                  <w:color w:val="0000FF"/>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803" w:type="dxa"/>
            <w:tcBorders/>
            <w:vAlign w:val="center"/>
          </w:tcPr>
          <w:p>
            <w:pPr>
              <w:pStyle w:val="TableContents"/>
              <w:bidi w:val="0"/>
              <w:spacing w:before="0" w:after="283"/>
              <w:ind w:left="360" w:right="0" w:firstLine="360"/>
              <w:jc w:val="left"/>
              <w:rPr/>
            </w:pPr>
            <w:hyperlink w:anchor="item_2_sales_of_equity_securities">
              <w:r>
                <w:rPr>
                  <w:rStyle w:val="InternetLink"/>
                  <w:rFonts w:ascii="Times New Roman" w:hAnsi="Times New Roman"/>
                  <w:color w:val="0000FF"/>
                  <w:sz w:val="20"/>
                  <w:u w:val="single"/>
                </w:rPr>
                <w:t>Item 2. Unregistered Sales of Equity Securities, Use of Proceeds, and Issuer Purchases of Equity Securities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34</w:t>
            </w:r>
          </w:p>
        </w:tc>
      </w:tr>
      <w:tr>
        <w:trPr/>
        <w:tc>
          <w:tcPr>
            <w:tcW w:w="8803" w:type="dxa"/>
            <w:tcBorders/>
            <w:vAlign w:val="center"/>
          </w:tcPr>
          <w:p>
            <w:pPr>
              <w:pStyle w:val="TableContents"/>
              <w:bidi w:val="0"/>
              <w:spacing w:before="0" w:after="283"/>
              <w:ind w:left="360" w:right="0" w:firstLine="36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803" w:type="dxa"/>
            <w:tcBorders/>
            <w:vAlign w:val="center"/>
          </w:tcPr>
          <w:p>
            <w:pPr>
              <w:pStyle w:val="TableContents"/>
              <w:bidi w:val="0"/>
              <w:spacing w:before="0" w:after="283"/>
              <w:ind w:left="360" w:right="0" w:firstLine="36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803" w:type="dxa"/>
            <w:tcBorders/>
            <w:vAlign w:val="center"/>
          </w:tcPr>
          <w:p>
            <w:pPr>
              <w:pStyle w:val="TableContents"/>
              <w:bidi w:val="0"/>
              <w:spacing w:before="0" w:after="283"/>
              <w:ind w:left="360" w:right="0" w:firstLine="36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8803" w:type="dxa"/>
            <w:tcBorders/>
            <w:vAlign w:val="center"/>
          </w:tcPr>
          <w:p>
            <w:pPr>
              <w:pStyle w:val="TableContents"/>
              <w:bidi w:val="0"/>
              <w:spacing w:before="0" w:after="283"/>
              <w:ind w:left="360" w:right="0" w:firstLine="360"/>
              <w:jc w:val="left"/>
              <w:rPr/>
            </w:pPr>
            <w:hyperlink w:anchor="item_6_exhibits">
              <w:r>
                <w:rPr>
                  <w:rStyle w:val="InternetLink"/>
                  <w:rFonts w:ascii="Times New Roman" w:hAnsi="Times New Roman"/>
                  <w:color w:val="0000FF"/>
                  <w:sz w:val="20"/>
                  <w:u w:val="single"/>
                </w:rPr>
                <w:t>Item 6. Exhibits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03" w:type="dxa"/>
            <w:tcBorders/>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0"/>
        </w:rPr>
        <w:t>This Quarterly Report on Form 10-Q (this “</w:t>
      </w:r>
      <w:r>
        <w:rPr>
          <w:rFonts w:ascii="Times New Roman" w:hAnsi="Times New Roman"/>
          <w:b/>
          <w:i/>
          <w:color w:val="000000"/>
          <w:sz w:val="20"/>
        </w:rPr>
        <w:t>Report</w:t>
      </w:r>
      <w:r>
        <w:rPr>
          <w:rFonts w:ascii="Times New Roman" w:hAnsi="Times New Roman"/>
          <w:color w:val="000000"/>
          <w:sz w:val="20"/>
        </w:rPr>
        <w:t xml:space="preserve">”) contains forward-looking statements within the meaning of federal securities laws. All statements contained in this Report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t>
      </w:r>
    </w:p>
    <w:p>
      <w:pPr>
        <w:pStyle w:val="TextBody"/>
        <w:bidi w:val="0"/>
        <w:spacing w:before="120" w:after="283"/>
        <w:jc w:val="both"/>
        <w:rPr>
          <w:rFonts w:ascii="Times New Roman" w:hAnsi="Times New Roman"/>
          <w:sz w:val="20"/>
        </w:rPr>
      </w:pPr>
      <w:r>
        <w:rPr>
          <w:rFonts w:ascii="Times New Roman" w:hAnsi="Times New Roman"/>
          <w:color w:val="000000"/>
          <w:sz w:val="20"/>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2023 (our “</w:t>
      </w:r>
      <w:r>
        <w:rPr>
          <w:rFonts w:ascii="Times New Roman" w:hAnsi="Times New Roman"/>
          <w:b/>
          <w:i/>
          <w:color w:val="000000"/>
          <w:sz w:val="20"/>
        </w:rPr>
        <w:t>Annual Report</w:t>
      </w:r>
      <w:r>
        <w:rPr>
          <w:rFonts w:ascii="Times New Roman" w:hAnsi="Times New Roman"/>
          <w:color w:val="000000"/>
          <w:sz w:val="20"/>
        </w:rPr>
        <w:t>”), which highlight, among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concentration in our Commercial Services and Government Solutions segments;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uncertainties related to our government contracts, including legislative changes, termination rights, delays in payments, audits and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decreases in the prevalence or political acceptance of, or an increase in governmental restrictions regarding, automated and other similar methods of photo enforcement, parking solutions or the use of tolling;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implement our acquisition strategy or integrate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in or breaches of our networks or systems, including as a result of cyber-attacks;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and uncertainties related to our international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acquire necessary intellectual property or adequately protect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substantial level of indebtedness;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specialized third-party providers.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We undertake no obligation to update any of these forward-looking statements for any reason or to conform these statements to actual results or revised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indicates otherwise, the terms “Verra Mobility,” the “Company,” “we,” “us,” and “our” as used in this Report refer to Verra Mobility Corporation, a Delaware corporation, and its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bookmarkStart w:id="2" w:name="part_ifinancial_information"/>
      <w:bookmarkEnd w:id="2"/>
      <w:r>
        <w:rPr>
          <w:rFonts w:ascii="Times New Roman" w:hAnsi="Times New Roman"/>
          <w:b/>
          <w:caps/>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$20.6 million and</w:t>
              <w:br/>
              <w:t>$18.5 million at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439,538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835,835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214,773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1,029,113</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1,368,516</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$0.0001 par value, 1,000 shares authorized with no shares issued and outstanding at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$0.0001 par value, 260,000 shares authorized with 166,516</w:t>
              <w:br/>
              <w:t>and 166,555 shares issued and outstanding at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557,513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(125,887</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both"/>
        <w:rPr/>
      </w:pPr>
      <w:r>
        <w:rPr/>
        <w:t> </w:t>
      </w:r>
    </w:p>
    <w:tbl>
      <w:tblPr>
        <w:tblW w:w="8420" w:type="dxa"/>
        <w:jc w:val="left"/>
        <w:tblInd w:w="0" w:type="dxa"/>
        <w:tblLayout w:type="fixed"/>
        <w:tblCellMar>
          <w:top w:w="28" w:type="dxa"/>
          <w:left w:w="28" w:type="dxa"/>
          <w:bottom w:w="28" w:type="dxa"/>
          <w:right w:w="28" w:type="dxa"/>
        </w:tblCellMar>
      </w:tblPr>
      <w:tblGrid>
        <w:gridCol w:w="5566"/>
        <w:gridCol w:w="146"/>
        <w:gridCol w:w="220"/>
        <w:gridCol w:w="816"/>
        <w:gridCol w:w="173"/>
        <w:gridCol w:w="152"/>
        <w:gridCol w:w="220"/>
        <w:gridCol w:w="816"/>
        <w:gridCol w:w="3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202,721</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184,698</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209,730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191,903</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4,230</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5,286</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5,383</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70,640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61,843</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48,171</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40,013</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26,975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155,377</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141,802</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54,353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50,101</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19,635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22,687</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14,601</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(Gain) loss on interest rate swap</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w:t>
            </w:r>
          </w:p>
        </w:tc>
        <w:tc>
          <w:tcPr>
            <w:tcW w:w="17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2,798</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1,349</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15,381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38,972</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12,422</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7,845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29,149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4,577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loss: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(3,260</w:t>
            </w:r>
          </w:p>
        </w:tc>
        <w:tc>
          <w:tcPr>
            <w:tcW w:w="17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556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Total comprehensive income</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25,889</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4,487</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income per share:</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0.18</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0.03</w:t>
            </w:r>
          </w:p>
        </w:tc>
        <w:tc>
          <w:tcPr>
            <w:tcW w:w="3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0.17</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0.03</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166,241</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149,165</w:t>
            </w:r>
          </w:p>
        </w:tc>
        <w:tc>
          <w:tcPr>
            <w:tcW w:w="3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168,726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153,129</w:t>
            </w:r>
          </w:p>
        </w:tc>
        <w:tc>
          <w:tcPr>
            <w:tcW w:w="3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49"/>
        <w:gridCol w:w="442"/>
        <w:gridCol w:w="146"/>
        <w:gridCol w:w="146"/>
        <w:gridCol w:w="276"/>
        <w:gridCol w:w="850"/>
        <w:gridCol w:w="146"/>
        <w:gridCol w:w="146"/>
        <w:gridCol w:w="196"/>
        <w:gridCol w:w="691"/>
        <w:gridCol w:w="166"/>
        <w:gridCol w:w="146"/>
        <w:gridCol w:w="217"/>
        <w:gridCol w:w="834"/>
        <w:gridCol w:w="166"/>
        <w:gridCol w:w="146"/>
        <w:gridCol w:w="278"/>
        <w:gridCol w:w="938"/>
        <w:gridCol w:w="166"/>
        <w:gridCol w:w="146"/>
        <w:gridCol w:w="228"/>
        <w:gridCol w:w="808"/>
        <w:gridCol w:w="212"/>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9993" w:type="dxa"/>
            <w:gridSpan w:val="2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2024</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br/>
              <w:t>Stock</w:t>
              <w:br/>
              <w:t>Contingent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(125,887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(10,176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421,467</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29,149</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repurchases and retirement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Vesting of restricted stock units ("</w:t>
            </w:r>
            <w:r>
              <w:rPr>
                <w:rFonts w:ascii="Times New Roman" w:hAnsi="Times New Roman"/>
                <w:b/>
                <w:i/>
                <w:color w:val="000000"/>
                <w:sz w:val="17"/>
              </w:rPr>
              <w:t>RSU</w:t>
            </w:r>
            <w:r>
              <w:rPr>
                <w:rFonts w:ascii="Times New Roman" w:hAnsi="Times New Roman"/>
                <w:color w:val="000000"/>
                <w:sz w:val="17"/>
              </w:rPr>
              <w:t>s") and performance share units ("</w:t>
            </w:r>
            <w:r>
              <w:rPr>
                <w:rFonts w:ascii="Times New Roman" w:hAnsi="Times New Roman"/>
                <w:b/>
                <w:i/>
                <w:color w:val="000000"/>
                <w:sz w:val="17"/>
              </w:rPr>
              <w:t>PSU</w:t>
            </w:r>
            <w:r>
              <w:rPr>
                <w:rFonts w:ascii="Times New Roman" w:hAnsi="Times New Roman"/>
                <w:color w:val="000000"/>
                <w:sz w:val="17"/>
              </w:rPr>
              <w: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 of employee tax withholding related to RSUs and PSUs vesting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(4,608</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(4,608</w:t>
            </w:r>
          </w:p>
        </w:tc>
        <w:tc>
          <w:tcPr>
            <w:tcW w:w="2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5,558</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(3,260</w:t>
            </w:r>
          </w:p>
        </w:tc>
        <w:tc>
          <w:tcPr>
            <w:tcW w:w="2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166,516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557,363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(94,949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448,995</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9993" w:type="dxa"/>
            <w:gridSpan w:val="2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2023</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148,962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(12,865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231,070</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4,577</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 and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699</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 of employee tax withholding related to RSUs and PSUs vesting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(2,526</w:t>
            </w:r>
          </w:p>
        </w:tc>
        <w:tc>
          <w:tcPr>
            <w:tcW w:w="21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3,378</w:t>
            </w:r>
          </w:p>
        </w:tc>
        <w:tc>
          <w:tcPr>
            <w:tcW w:w="212"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21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149,961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36,575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306,974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(93,501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237,108</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aps/>
          <w:color w:val="000000"/>
          <w:sz w:val="20"/>
        </w:rPr>
      </w:pPr>
      <w:bookmarkStart w:id="7" w:name="condensed_consolidated_statements_cash_f"/>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675" w:type="dxa"/>
        <w:jc w:val="left"/>
        <w:tblInd w:w="0" w:type="dxa"/>
        <w:tblLayout w:type="fixed"/>
        <w:tblCellMar>
          <w:top w:w="28" w:type="dxa"/>
          <w:left w:w="28" w:type="dxa"/>
          <w:bottom w:w="28" w:type="dxa"/>
          <w:right w:w="28" w:type="dxa"/>
        </w:tblCellMar>
      </w:tblPr>
      <w:tblGrid>
        <w:gridCol w:w="6721"/>
        <w:gridCol w:w="146"/>
        <w:gridCol w:w="220"/>
        <w:gridCol w:w="816"/>
        <w:gridCol w:w="173"/>
        <w:gridCol w:w="152"/>
        <w:gridCol w:w="220"/>
        <w:gridCol w:w="816"/>
        <w:gridCol w:w="4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 and discounts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interest rate swap</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(40,783</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34,332</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45,217</w:t>
            </w:r>
          </w:p>
        </w:tc>
        <w:tc>
          <w:tcPr>
            <w:tcW w:w="4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(payments) for interest rate swap</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proceeds from the sale of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153,228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cash, cash equivalents, and restricted cash </w:t>
              <w:br/>
              <w:t>to the condensed consolidated balance sheets</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64,267</w:t>
            </w:r>
          </w:p>
        </w:tc>
        <w:tc>
          <w:tcPr>
            <w:tcW w:w="4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153,228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5"/>
        <w:gridCol w:w="146"/>
        <w:gridCol w:w="233"/>
        <w:gridCol w:w="746"/>
        <w:gridCol w:w="160"/>
        <w:gridCol w:w="160"/>
        <w:gridCol w:w="233"/>
        <w:gridCol w:w="746"/>
        <w:gridCol w:w="396"/>
      </w:tblGrid>
      <w:tr>
        <w:trPr/>
        <w:tc>
          <w:tcPr>
            <w:tcW w:w="7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3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979" w:type="dxa"/>
            <w:gridSpan w:val="2"/>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979"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73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73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396" w:type="dxa"/>
            <w:tcBorders/>
            <w:shd w:fill="CFF0FC"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73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 in accounts payable and accrued liabilities at period-end</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39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VERRA MOBILITY CORPORATION</w:t>
      </w:r>
    </w:p>
    <w:p>
      <w:pPr>
        <w:pStyle w:val="TextBody"/>
        <w:bidi w:val="0"/>
        <w:jc w:val="center"/>
        <w:rPr>
          <w:rFonts w:ascii="Times New Roman" w:hAnsi="Times New Roman"/>
          <w:b/>
          <w:caps/>
          <w:color w:val="000000"/>
          <w:sz w:val="20"/>
        </w:rPr>
      </w:pPr>
      <w:bookmarkStart w:id="8" w:name="notes_to_condensed_consolidated_financia"/>
      <w:bookmarkEnd w:id="8"/>
      <w:r>
        <w:rPr>
          <w:rFonts w:ascii="Times New Roman" w:hAnsi="Times New Roman"/>
          <w:b/>
          <w:caps/>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both"/>
        <w:rPr>
          <w:rFonts w:ascii="Times New Roman" w:hAnsi="Times New Roman"/>
          <w:sz w:val="20"/>
        </w:rPr>
      </w:pPr>
      <w:r>
        <w:rPr>
          <w:rFonts w:ascii="Times New Roman" w:hAnsi="Times New Roman"/>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Verra Mobility</w:t>
      </w:r>
      <w:r>
        <w:rPr>
          <w:rFonts w:ascii="Times New Roman" w:hAnsi="Times New Roman"/>
          <w:color w:val="000000"/>
          <w:sz w:val="20"/>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14,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Commercial Services segment offers automated toll and violations management and title and registration solutions to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Government Solutions segment offers photo enforcement solutions and services to its customers.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related maintenance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 </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color w:val="000000"/>
          <w:sz w:val="20"/>
        </w:rPr>
        <w:t>The accompanying unaudited condensed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that its estimates and assumptions are reasonable in the circumstances; however, actual results could differ materially from those estimates.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customers are those which represent more than 10% of the Company’s total revenue or accounts receivable, net. Revenue from the single Government Solutions customer exceeding 10% of total revenue is presented below:</w:t>
      </w:r>
    </w:p>
    <w:p>
      <w:pPr>
        <w:pStyle w:val="TextBody"/>
        <w:bidi w:val="0"/>
        <w:spacing w:before="120" w:after="283"/>
        <w:jc w:val="both"/>
        <w:rPr/>
      </w:pPr>
      <w:r>
        <w:rPr/>
        <w:t> </w:t>
      </w:r>
    </w:p>
    <w:tbl>
      <w:tblPr>
        <w:tblW w:w="6850" w:type="dxa"/>
        <w:jc w:val="left"/>
        <w:tblInd w:w="0" w:type="dxa"/>
        <w:tblLayout w:type="fixed"/>
        <w:tblCellMar>
          <w:top w:w="28" w:type="dxa"/>
          <w:left w:w="28" w:type="dxa"/>
          <w:bottom w:w="28" w:type="dxa"/>
          <w:right w:w="28" w:type="dxa"/>
        </w:tblCellMar>
      </w:tblPr>
      <w:tblGrid>
        <w:gridCol w:w="3991"/>
        <w:gridCol w:w="146"/>
        <w:gridCol w:w="213"/>
        <w:gridCol w:w="681"/>
        <w:gridCol w:w="396"/>
        <w:gridCol w:w="213"/>
        <w:gridCol w:w="213"/>
        <w:gridCol w:w="681"/>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City of New York Department of Transportation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The City of New York Department of Transportation (“</w:t>
      </w:r>
      <w:r>
        <w:rPr>
          <w:rFonts w:ascii="Times New Roman" w:hAnsi="Times New Roman"/>
          <w:b/>
          <w:i/>
          <w:color w:val="000000"/>
          <w:sz w:val="20"/>
        </w:rPr>
        <w:t>NYCDOT</w:t>
      </w:r>
      <w:r>
        <w:rPr>
          <w:rFonts w:ascii="Times New Roman" w:hAnsi="Times New Roman"/>
          <w:color w:val="000000"/>
          <w:sz w:val="20"/>
        </w:rPr>
        <w:t>”) represented 14% and 18% of total accounts receivable, net as of March 31, 2024 and December 31, 2023,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Significant customer revenues generated through the Company’s Commercial Services partners as a percent of total revenue are presented below:</w:t>
      </w:r>
    </w:p>
    <w:tbl>
      <w:tblPr>
        <w:tblW w:w="4945" w:type="dxa"/>
        <w:jc w:val="left"/>
        <w:tblInd w:w="0" w:type="dxa"/>
        <w:tblLayout w:type="fixed"/>
        <w:tblCellMar>
          <w:top w:w="28" w:type="dxa"/>
          <w:left w:w="28" w:type="dxa"/>
          <w:bottom w:w="28" w:type="dxa"/>
          <w:right w:w="28" w:type="dxa"/>
        </w:tblCellMar>
      </w:tblPr>
      <w:tblGrid>
        <w:gridCol w:w="2086"/>
        <w:gridCol w:w="146"/>
        <w:gridCol w:w="213"/>
        <w:gridCol w:w="681"/>
        <w:gridCol w:w="396"/>
        <w:gridCol w:w="213"/>
        <w:gridCol w:w="213"/>
        <w:gridCol w:w="681"/>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Hertz Corporation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 Budget Group, Inc.</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Enterprise Mobility</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Commercial Services customer exceeded 10% of total accounts receivable, net as of any period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significant customer concentrations that exceeded 10% of total revenue or accounts receivable, net for the Parking Solutions segment as of or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identified portfolio segments based on the type of business, industry in which the customer operates and historical credit loss patterns. The following presents the activity in the allowance for credit losses for the three months ended March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7"/>
        <w:gridCol w:w="146"/>
        <w:gridCol w:w="354"/>
        <w:gridCol w:w="1139"/>
        <w:gridCol w:w="166"/>
        <w:gridCol w:w="146"/>
        <w:gridCol w:w="275"/>
        <w:gridCol w:w="747"/>
        <w:gridCol w:w="166"/>
        <w:gridCol w:w="146"/>
        <w:gridCol w:w="412"/>
        <w:gridCol w:w="1121"/>
        <w:gridCol w:w="166"/>
        <w:gridCol w:w="146"/>
        <w:gridCol w:w="372"/>
        <w:gridCol w:w="852"/>
        <w:gridCol w:w="166"/>
        <w:gridCol w:w="146"/>
        <w:gridCol w:w="211"/>
        <w:gridCol w:w="676"/>
        <w:gridCol w:w="395"/>
      </w:tblGrid>
      <w:tr>
        <w:trPr/>
        <w:tc>
          <w:tcPr>
            <w:tcW w:w="2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257"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Commercial Services</w:t>
              <w:br/>
              <w:t xml:space="preserve">(Driver-billed)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Commercial </w:t>
              <w:br/>
              <w:t xml:space="preserve">Services </w:t>
              <w:br/>
              <w:t>(All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5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225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 loss expense (income)</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25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5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3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r>
      <w:tr>
        <w:trPr/>
        <w:tc>
          <w:tcPr>
            <w:tcW w:w="2257"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Commercial Services</w:t>
              <w:br/>
              <w:t xml:space="preserve">(Driver-billed)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Commercial </w:t>
              <w:br/>
              <w:t xml:space="preserve">Services </w:t>
              <w:br/>
              <w:t>(All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 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5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15,907</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225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 loss expense (income)</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2"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25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5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Driver-billed consists of receivables from drivers of rental cars for which the Company bills on behalf of its customers. Receivables not collected from drivers within a defined number of days are transferred to customers subject to applicable bad debt sharing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represents amounts that have been invoiced in advance and are expected to be recognized as revenue in future periods, and it primarily relates to Government Solutions and Parking Solutions customers. The Company had approximately $11.7 million and $13.1 million of deferred revenue in the Government Solutions segment as of March 31, 2024 and December 31, 2023, respectively. During the three months ended March 31, 2024 and 2023, the Company recognized $3.0 million and $1.5 million, respectively, of revenue excluding exchange rate impact related to amounts that were included in deferred revenue as of December 31, 2023 and 2022, respectively. The Company had approximately $17.6 million and $19.7 million of deferred revenue in the Parking Solutions segment as of March 31, 2024 and December 31, 2023, respectively. The Company recognized $8.6 million and $8.7 million of revenue during the three months ended March 31, 2024 and 2023, respectively, related to amounts that were included in deferred revenue as of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price allocated to the remaining performance obligations includes deferred revenue above and unbilled amounts that are expected to be recognized as revenue in future periods. As of March 31, 2024, total transaction price allocated to performance obligations in the Government Solutions segment that were unsatisfied or partially unsatisfied was $310.5 million, of which $179.7 million is expected to be recognized as revenue in the next twelve months and the rest over the remaining performance obligation period.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Swap</w:t>
      </w:r>
    </w:p>
    <w:p>
      <w:pPr>
        <w:pStyle w:val="TextBody"/>
        <w:bidi w:val="0"/>
        <w:spacing w:before="120" w:after="283"/>
        <w:jc w:val="both"/>
        <w:rPr>
          <w:rFonts w:ascii="Times New Roman" w:hAnsi="Times New Roman"/>
          <w:sz w:val="20"/>
        </w:rPr>
      </w:pPr>
      <w:r>
        <w:rPr>
          <w:rFonts w:ascii="Times New Roman" w:hAnsi="Times New Roman"/>
          <w:color w:val="000000"/>
          <w:sz w:val="20"/>
        </w:rPr>
        <w:t>In December 2022, the Company entered into a cancellable interest rate swap agreement to hedge its exposure to interest rate fluctuations associated with the LIBOR (now transitioned to Term Secured Overnight Financing Rate, “</w:t>
      </w:r>
      <w:r>
        <w:rPr>
          <w:rFonts w:ascii="Times New Roman" w:hAnsi="Times New Roman"/>
          <w:b/>
          <w:i/>
          <w:color w:val="000000"/>
          <w:sz w:val="20"/>
        </w:rPr>
        <w:t>SOFR</w:t>
      </w:r>
      <w:r>
        <w:rPr>
          <w:rFonts w:ascii="Times New Roman" w:hAnsi="Times New Roman"/>
          <w:color w:val="000000"/>
          <w:sz w:val="20"/>
        </w:rPr>
        <w:t xml:space="preserve">”) portion of the variable interest rate on its 2021 Term Loan. Under the interest rate swap agreement, the Company pays a fixed rate of 5.17%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 million. The Company has the option to effectively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payments are recorded in the condensed consolidated statements of operations within the (gain) loss on interest rate swap line item.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a $0.4 million gain during the three months ended March 31, 2024, of which $0.1 million is associated with the derivative instrument re-measured to fair value at the end of the reporting period, and $0.3 million of monthly cash proceeds received. The Company recorded a $2.8 million loss during the three months ended March 31, 2023, of which approximately $1.6 million is associated with the derivative instrument re-measured to fair value at the end of the reporting period and $1.2 million relates to the monthly cash payments made. The effect of remeasurement to fair value is recorded within the operating activities section and the monthly cash proceeds received or payments made are recorded within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investing activities section in the condensed consolidated statements of cash flows. See Note 7, </w:t>
      </w:r>
      <w:r>
        <w:rPr>
          <w:rFonts w:ascii="Times New Roman" w:hAnsi="Times New Roman"/>
          <w:i/>
          <w:color w:val="000000"/>
          <w:sz w:val="20"/>
        </w:rPr>
        <w:t>Fair Value of Financial Instruments</w:t>
      </w:r>
      <w:r>
        <w:rPr>
          <w:rFonts w:ascii="Times New Roman" w:hAnsi="Times New Roman"/>
          <w:color w:val="000000"/>
          <w:sz w:val="20"/>
        </w:rPr>
        <w:t xml:space="preserve">, for further discussion on the fair value measurement of the interest rate swap, and Note 6, </w:t>
      </w:r>
      <w:r>
        <w:rPr>
          <w:rFonts w:ascii="Times New Roman" w:hAnsi="Times New Roman"/>
          <w:i/>
          <w:color w:val="000000"/>
          <w:sz w:val="20"/>
        </w:rPr>
        <w:t>Long-term Debt</w:t>
      </w:r>
      <w:r>
        <w:rPr>
          <w:rFonts w:ascii="Times New Roman" w:hAnsi="Times New Roman"/>
          <w:color w:val="000000"/>
          <w:sz w:val="20"/>
        </w:rPr>
        <w:t>, for additional information on the Company's mix of fixed and variable debt.</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Accounting Standard Adopted</w:t>
      </w:r>
    </w:p>
    <w:p>
      <w:pPr>
        <w:pStyle w:val="TextBody"/>
        <w:bidi w:val="0"/>
        <w:spacing w:before="120" w:after="283"/>
        <w:jc w:val="both"/>
        <w:rPr>
          <w:rFonts w:ascii="Times New Roman" w:hAnsi="Times New Roman"/>
          <w:sz w:val="20"/>
        </w:rPr>
      </w:pPr>
      <w:r>
        <w:rPr>
          <w:rFonts w:ascii="Times New Roman" w:hAnsi="Times New Roman"/>
          <w:color w:val="000000"/>
          <w:sz w:val="20"/>
        </w:rPr>
        <w:t>On June 30, 2022, the Financial Accounting Standards Board (the “</w:t>
      </w:r>
      <w:r>
        <w:rPr>
          <w:rFonts w:ascii="Times New Roman" w:hAnsi="Times New Roman"/>
          <w:b/>
          <w:i/>
          <w:color w:val="000000"/>
          <w:sz w:val="20"/>
        </w:rPr>
        <w:t>FASB</w:t>
      </w:r>
      <w:r>
        <w:rPr>
          <w:rFonts w:ascii="Times New Roman" w:hAnsi="Times New Roman"/>
          <w:color w:val="000000"/>
          <w:sz w:val="20"/>
        </w:rPr>
        <w:t>”) issued Accounting Standards Update (“</w:t>
      </w:r>
      <w:r>
        <w:rPr>
          <w:rFonts w:ascii="Times New Roman" w:hAnsi="Times New Roman"/>
          <w:b/>
          <w:i/>
          <w:color w:val="000000"/>
          <w:sz w:val="20"/>
        </w:rPr>
        <w:t>ASU</w:t>
      </w:r>
      <w:r>
        <w:rPr>
          <w:rFonts w:ascii="Times New Roman" w:hAnsi="Times New Roman"/>
          <w:color w:val="000000"/>
          <w:sz w:val="20"/>
        </w:rPr>
        <w:t xml:space="preserve">”) 2022-03, </w:t>
      </w:r>
      <w:r>
        <w:rPr>
          <w:rFonts w:ascii="Times New Roman" w:hAnsi="Times New Roman"/>
          <w:i/>
          <w:color w:val="000000"/>
          <w:sz w:val="20"/>
        </w:rPr>
        <w:t>Fair Value Measurement (Topic 820): Fair Value Measurement of Equity Securities Subject to Contractual Sale Restrictions</w:t>
      </w:r>
      <w:r>
        <w:rPr>
          <w:rFonts w:ascii="Times New Roman" w:hAnsi="Times New Roman"/>
          <w:color w:val="000000"/>
          <w:sz w:val="20"/>
        </w:rPr>
        <w:t>. The ASU clarifies that a contractual 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Company adopted this standard as of January 1, 2024. The adoption of this standard did not have an impact on the Company's financial statements or disclosures.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The ASU intends to enhance disclosure related to significant segment expenses regularly provided to the Chief Operating Decision Maker (“</w:t>
      </w:r>
      <w:r>
        <w:rPr>
          <w:rFonts w:ascii="Times New Roman" w:hAnsi="Times New Roman"/>
          <w:b/>
          <w:i/>
          <w:color w:val="000000"/>
          <w:sz w:val="20"/>
        </w:rPr>
        <w:t>CODM</w:t>
      </w:r>
      <w:r>
        <w:rPr>
          <w:rFonts w:ascii="Times New Roman" w:hAnsi="Times New Roman"/>
          <w:color w:val="000000"/>
          <w:sz w:val="20"/>
        </w:rPr>
        <w:t>”), amounts presented as “other” within segment profit (loss), require that all annual disclosures are also reported for interim periods, further define the CODM and how they use segment profit (loss) to allocate resources, and require that entities with only a single reportable segment provide all required segment disclosures. The guidance is effective for fiscal years beginning after December 15, 2023 and interim periods within fiscal years beginning after December 15, 2024. Early adoption is permitted. The Company is currently evaluating the impact of this standard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Early adoption is permitted. The Company is currently evaluating the impact of this standard on its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at:</w:t>
      </w:r>
    </w:p>
    <w:p>
      <w:pPr>
        <w:pStyle w:val="TextBody"/>
        <w:bidi w:val="0"/>
        <w:jc w:val="left"/>
        <w:rPr/>
      </w:pPr>
      <w:r>
        <w:rPr/>
        <w:t> </w:t>
      </w:r>
    </w:p>
    <w:tbl>
      <w:tblPr>
        <w:tblW w:w="6742" w:type="dxa"/>
        <w:jc w:val="left"/>
        <w:tblInd w:w="0" w:type="dxa"/>
        <w:tblLayout w:type="fixed"/>
        <w:tblCellMar>
          <w:top w:w="28" w:type="dxa"/>
          <w:left w:w="28" w:type="dxa"/>
          <w:bottom w:w="28" w:type="dxa"/>
          <w:right w:w="28" w:type="dxa"/>
        </w:tblCellMar>
      </w:tblPr>
      <w:tblGrid>
        <w:gridCol w:w="4031"/>
        <w:gridCol w:w="146"/>
        <w:gridCol w:w="211"/>
        <w:gridCol w:w="676"/>
        <w:gridCol w:w="146"/>
        <w:gridCol w:w="146"/>
        <w:gridCol w:w="260"/>
        <w:gridCol w:w="835"/>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tolls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computer maintenance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fulfill a customer contract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291" w:type="dxa"/>
            <w:tcBorders/>
            <w:shd w:fill="FFFFFF" w:val="clear"/>
            <w:vAlign w:val="center"/>
          </w:tcPr>
          <w:p>
            <w:pPr>
              <w:pStyle w:val="TableContents"/>
              <w:bidi w:val="0"/>
              <w:spacing w:before="0" w:after="283"/>
              <w:jc w:val="left"/>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0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46,961</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 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changes in the carrying amount of goodwill by reportable segment:</w:t>
      </w:r>
    </w:p>
    <w:p>
      <w:pPr>
        <w:pStyle w:val="TextBody"/>
        <w:bidi w:val="0"/>
        <w:jc w:val="both"/>
        <w:rPr/>
      </w:pPr>
      <w:r>
        <w:rPr/>
        <w:t> </w:t>
      </w:r>
    </w:p>
    <w:tbl>
      <w:tblPr>
        <w:tblW w:w="8631" w:type="dxa"/>
        <w:jc w:val="left"/>
        <w:tblInd w:w="0" w:type="dxa"/>
        <w:tblLayout w:type="fixed"/>
        <w:tblCellMar>
          <w:top w:w="28" w:type="dxa"/>
          <w:left w:w="28" w:type="dxa"/>
          <w:bottom w:w="28" w:type="dxa"/>
          <w:right w:w="28" w:type="dxa"/>
        </w:tblCellMar>
      </w:tblPr>
      <w:tblGrid>
        <w:gridCol w:w="3361"/>
        <w:gridCol w:w="146"/>
        <w:gridCol w:w="211"/>
        <w:gridCol w:w="781"/>
        <w:gridCol w:w="166"/>
        <w:gridCol w:w="146"/>
        <w:gridCol w:w="217"/>
        <w:gridCol w:w="804"/>
        <w:gridCol w:w="166"/>
        <w:gridCol w:w="146"/>
        <w:gridCol w:w="211"/>
        <w:gridCol w:w="781"/>
        <w:gridCol w:w="14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835,835</w:t>
            </w:r>
          </w:p>
        </w:tc>
        <w:tc>
          <w:tcPr>
            <w:tcW w:w="21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Intangible assets consist of the following as of the respective period-ends: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2"/>
        <w:gridCol w:w="146"/>
        <w:gridCol w:w="886"/>
        <w:gridCol w:w="146"/>
        <w:gridCol w:w="211"/>
        <w:gridCol w:w="841"/>
        <w:gridCol w:w="166"/>
        <w:gridCol w:w="146"/>
        <w:gridCol w:w="229"/>
        <w:gridCol w:w="852"/>
        <w:gridCol w:w="146"/>
        <w:gridCol w:w="146"/>
        <w:gridCol w:w="886"/>
        <w:gridCol w:w="146"/>
        <w:gridCol w:w="211"/>
        <w:gridCol w:w="841"/>
        <w:gridCol w:w="166"/>
        <w:gridCol w:w="146"/>
        <w:gridCol w:w="229"/>
        <w:gridCol w:w="852"/>
        <w:gridCol w:w="291"/>
      </w:tblGrid>
      <w:tr>
        <w:trPr/>
        <w:tc>
          <w:tcPr>
            <w:tcW w:w="2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vAlign w:val="center"/>
          </w:tcPr>
          <w:p>
            <w:pPr>
              <w:pStyle w:val="TableContents"/>
              <w:bidi w:val="0"/>
              <w:spacing w:before="0" w:after="283"/>
              <w:jc w:val="center"/>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Trademarks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32,882</w:t>
            </w:r>
          </w:p>
        </w:tc>
        <w:tc>
          <w:tcPr>
            <w:tcW w:w="291" w:type="dxa"/>
            <w:tcBorders/>
            <w:shd w:fill="CFF0FC" w:val="cle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FFFFFF" w:val="clear"/>
            <w:vAlign w:val="center"/>
          </w:tcPr>
          <w:p>
            <w:pPr>
              <w:pStyle w:val="TableContents"/>
              <w:bidi w:val="0"/>
              <w:spacing w:before="0" w:after="283"/>
              <w:jc w:val="left"/>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Non-compete agreements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62,540</w:t>
            </w:r>
          </w:p>
        </w:tc>
        <w:tc>
          <w:tcPr>
            <w:tcW w:w="291" w:type="dxa"/>
            <w:tcBorders/>
            <w:shd w:fill="CFF0FC" w:val="cle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288,065</w:t>
            </w:r>
          </w:p>
        </w:tc>
        <w:tc>
          <w:tcPr>
            <w:tcW w:w="291" w:type="dxa"/>
            <w:tcBorders/>
            <w:shd w:fill="FFFFFF" w:val="clear"/>
            <w:vAlign w:val="center"/>
          </w:tcPr>
          <w:p>
            <w:pPr>
              <w:pStyle w:val="TableContents"/>
              <w:bidi w:val="0"/>
              <w:spacing w:before="0" w:after="283"/>
              <w:jc w:val="left"/>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Developed technology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 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 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2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Certain fully amortized intangible assets were removed as of March 31, 2024 as compared to the amounts reported in the December 31, 2023 Annual Report on Form 10-K, resulting in an increase in the weighted average remaining useful lives compared to the prior year which relates to the remaining intangible assets that are being amortized.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expense was $16.7 million and $22.0 million for the three months ended March 31, 2024 and 2023,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amortization expense in future years is expected to be:</w:t>
      </w:r>
    </w:p>
    <w:p>
      <w:pPr>
        <w:pStyle w:val="TextBody"/>
        <w:bidi w:val="0"/>
        <w:jc w:val="both"/>
        <w:rPr/>
      </w:pPr>
      <w:r>
        <w:rPr/>
        <w:t> </w:t>
      </w:r>
    </w:p>
    <w:tbl>
      <w:tblPr>
        <w:tblW w:w="3110" w:type="dxa"/>
        <w:jc w:val="left"/>
        <w:tblInd w:w="0" w:type="dxa"/>
        <w:tblLayout w:type="fixed"/>
        <w:tblCellMar>
          <w:top w:w="28" w:type="dxa"/>
          <w:left w:w="28" w:type="dxa"/>
          <w:bottom w:w="28" w:type="dxa"/>
          <w:right w:w="28" w:type="dxa"/>
        </w:tblCellMar>
      </w:tblPr>
      <w:tblGrid>
        <w:gridCol w:w="1681"/>
        <w:gridCol w:w="146"/>
        <w:gridCol w:w="211"/>
        <w:gridCol w:w="781"/>
        <w:gridCol w:w="2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50,237</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64,285</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57,316</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2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22,474</w:t>
            </w:r>
          </w:p>
        </w:tc>
        <w:tc>
          <w:tcPr>
            <w:tcW w:w="2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consist of the following at:</w:t>
      </w:r>
    </w:p>
    <w:p>
      <w:pPr>
        <w:pStyle w:val="TextBody"/>
        <w:bidi w:val="0"/>
        <w:jc w:val="both"/>
        <w:rPr/>
      </w:pPr>
      <w:r>
        <w:rPr/>
        <w:t> </w:t>
      </w:r>
    </w:p>
    <w:tbl>
      <w:tblPr>
        <w:tblW w:w="640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60"/>
        <w:gridCol w:w="835"/>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wages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27,905</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due to customers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2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w:t>
            </w:r>
          </w:p>
        </w:tc>
        <w:tc>
          <w:tcPr>
            <w:tcW w:w="2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the Company’s long-term debt at:</w:t>
      </w:r>
    </w:p>
    <w:p>
      <w:pPr>
        <w:pStyle w:val="TextBody"/>
        <w:bidi w:val="0"/>
        <w:jc w:val="left"/>
        <w:rPr/>
      </w:pPr>
      <w:r>
        <w:rPr/>
        <w:t> </w:t>
      </w:r>
    </w:p>
    <w:tbl>
      <w:tblPr>
        <w:tblW w:w="6969" w:type="dxa"/>
        <w:jc w:val="left"/>
        <w:tblInd w:w="0" w:type="dxa"/>
        <w:tblLayout w:type="fixed"/>
        <w:tblCellMar>
          <w:top w:w="28" w:type="dxa"/>
          <w:left w:w="28" w:type="dxa"/>
          <w:bottom w:w="28" w:type="dxa"/>
          <w:right w:w="28" w:type="dxa"/>
        </w:tblCellMar>
      </w:tblPr>
      <w:tblGrid>
        <w:gridCol w:w="3816"/>
        <w:gridCol w:w="146"/>
        <w:gridCol w:w="211"/>
        <w:gridCol w:w="931"/>
        <w:gridCol w:w="166"/>
        <w:gridCol w:w="146"/>
        <w:gridCol w:w="211"/>
        <w:gridCol w:w="931"/>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due 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704,587</w:t>
            </w:r>
          </w:p>
        </w:tc>
        <w:tc>
          <w:tcPr>
            <w:tcW w:w="41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 due 2029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411" w:type="dxa"/>
            <w:tcBorders/>
            <w:shd w:fill="FFFFFF" w:val="clear"/>
            <w:vAlign w:val="center"/>
          </w:tcPr>
          <w:p>
            <w:pPr>
              <w:pStyle w:val="TableContents"/>
              <w:bidi w:val="0"/>
              <w:spacing w:before="0" w:after="283"/>
              <w:jc w:val="left"/>
              <w:rPr/>
            </w:pPr>
            <w:r>
              <w:rPr/>
              <w:t> </w:t>
            </w:r>
          </w:p>
        </w:tc>
      </w:tr>
      <w:tr>
        <w:trPr/>
        <w:tc>
          <w:tcPr>
            <w:tcW w:w="3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1,038,132</w:t>
            </w:r>
          </w:p>
        </w:tc>
        <w:tc>
          <w:tcPr>
            <w:tcW w:w="411" w:type="dxa"/>
            <w:tcBorders/>
            <w:shd w:fill="CFF0FC" w:val="clear"/>
            <w:vAlign w:val="center"/>
          </w:tcPr>
          <w:p>
            <w:pPr>
              <w:pStyle w:val="TableContents"/>
              <w:bidi w:val="0"/>
              <w:spacing w:before="0" w:after="283"/>
              <w:jc w:val="left"/>
              <w:rPr/>
            </w:pPr>
            <w:r>
              <w:rPr/>
              <w:t> </w:t>
            </w:r>
          </w:p>
        </w:tc>
      </w:tr>
      <w:tr>
        <w:trPr/>
        <w:tc>
          <w:tcPr>
            <w:tcW w:w="3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 xml:space="preserve">2021 Term Loan </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the Company had $4.6 million of offering discount costs and $4.5 million in deferred financing costs, both of which were capitalized and are being amortized over the remaining life of the 2021 Term Loan.</w:t>
      </w:r>
    </w:p>
    <w:p>
      <w:pPr>
        <w:pStyle w:val="TextBody"/>
        <w:bidi w:val="0"/>
        <w:spacing w:before="240" w:after="283"/>
        <w:jc w:val="both"/>
        <w:rPr>
          <w:rFonts w:ascii="Times New Roman" w:hAnsi="Times New Roman"/>
          <w:sz w:val="20"/>
        </w:rPr>
      </w:pPr>
      <w:r>
        <w:rPr>
          <w:rFonts w:ascii="Times New Roman" w:hAnsi="Times New Roman"/>
          <w:color w:val="000000"/>
          <w:sz w:val="20"/>
        </w:rPr>
        <w:t>In February 2024, VM Consolidated entered into a third amendment to the 2021 Term Loan (the “</w:t>
      </w:r>
      <w:r>
        <w:rPr>
          <w:rFonts w:ascii="Times New Roman" w:hAnsi="Times New Roman"/>
          <w:b/>
          <w:i/>
          <w:color w:val="000000"/>
          <w:sz w:val="20"/>
        </w:rPr>
        <w:t>Third Amendment</w:t>
      </w:r>
      <w:r>
        <w:rPr>
          <w:rFonts w:ascii="Times New Roman" w:hAnsi="Times New Roman"/>
          <w:color w:val="000000"/>
          <w:sz w:val="20"/>
        </w:rPr>
        <w:t>”) to refinance the 2021 Term Loan (the “</w:t>
      </w:r>
      <w:r>
        <w:rPr>
          <w:rFonts w:ascii="Times New Roman" w:hAnsi="Times New Roman"/>
          <w:b/>
          <w:i/>
          <w:color w:val="000000"/>
          <w:sz w:val="20"/>
        </w:rPr>
        <w:t>Refinancing Transaction</w:t>
      </w:r>
      <w:r>
        <w:rPr>
          <w:rFonts w:ascii="Times New Roman" w:hAnsi="Times New Roman"/>
          <w:color w:val="000000"/>
          <w:sz w:val="20"/>
        </w:rPr>
        <w:t>”). Pursuant to the Third Amendment, the interest rate was reduced by 0.50% to SOFR plus 2.75% from SOFR plus 3.25% with the SOFR floor unchanged at 0.00%. The credit spread adjustment, ranging from 0.11448% to 0.71513%, was eliminated. In addition, the 2021 Term Loan no longer contains a provision for principal repayments which were previously required to be paid in quarterly installments. During the three months ended March 31, 2024, the Company made an early repayment of approximately $2.3 million on the 2021 Term Loan and as a result, the total principal outstanding was $702.3 million as of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evaluated the Refinancing Transaction on a lender-by-lender basis and accounted accordingly for debt extinguishment costs and debt modification costs (for the portion of the transaction that did not meet the accounting criteria for debt extinguishment). The Company recorded a $0.6 million loss on extinguishment of debt during the three months ended March 31, 2024 related to the write-off of pre-existing deferred financing costs and discounts in connection with the Refinancing Transaction. The Company recorded a $1.3 million loss on extinguishment of debt during the three months ended March 31, 2023 related to the write-off of pre-existing deferred financing costs and discounts in connection with the early repayments of $62.5 million on the 2021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2021 Term Loan now bears interest based at the Company’s option, on either (i) Term SOFR plus an applicable margin of 2.75% per annum, or (ii) an alternate base rate plus an applicable margin of 1.75% per annum. As of March 31, 2024, the interest rate on the 2021 Term Loan was 8.1%.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due on April 15, 2029. In connection with the issuance of the Senior Notes, the Company incurred $5.7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million in lender and third-party costs, which were capitalized as deferred financing costs and are being amortized over the remaining life of the Senior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pStyle w:val="TextBody"/>
        <w:bidi w:val="0"/>
        <w:jc w:val="both"/>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102.750%</w:t>
            </w:r>
          </w:p>
        </w:tc>
      </w:tr>
      <w:tr>
        <w:trPr/>
        <w:tc>
          <w:tcPr>
            <w:tcW w:w="16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101.375%</w:t>
            </w:r>
          </w:p>
        </w:tc>
      </w:tr>
      <w:tr>
        <w:trPr/>
        <w:tc>
          <w:tcPr>
            <w:tcW w:w="16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and thereafter</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r>
    </w:tbl>
    <w:p>
      <w:pPr>
        <w:pStyle w:val="TextBody"/>
        <w:bidi w:val="0"/>
        <w:jc w:val="both"/>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20" w:after="283"/>
        <w:jc w:val="both"/>
        <w:rPr>
          <w:rFonts w:ascii="Times New Roman" w:hAnsi="Times New Roman"/>
          <w:sz w:val="20"/>
        </w:rPr>
      </w:pPr>
      <w:r>
        <w:rPr>
          <w:rFonts w:ascii="Times New Roman" w:hAnsi="Times New Roman"/>
          <w:color w:val="000000"/>
          <w:sz w:val="20"/>
        </w:rPr>
        <w:t>The Company has a Revolving Credit Agreement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March 31, 2024 or December 31, 2023. The availability to borrow was $74.6 million, net of $0.4 million of outstanding letters of credit at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on the unused portion of the Revolver is payable quarterly at 0.375% and the Company is also required to pay participation and fronting fees at 1.38% on $0.4 million of outstanding letters of credit as of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March 31, 2024, the Company was compliant with all debt covenants.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interest expense, including amortization of deferred financing costs and discounts, of $19.6 million and $22.7 million for the three months ended March 31, 2024 and 2023,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effective interest rates on the Company’s outstanding borrowings were 7.2% and 7.7% at March 31, 2024 and December 31, 2023,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for additional information on the interest rate swap entered into in December 2022 to hedge the Company's exposure against rising interest rates.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Fair value is based on observable inputs such as quoted prices for identical assets or liabilities in active markets.</w:t>
      </w:r>
    </w:p>
    <w:p>
      <w:pPr>
        <w:pStyle w:val="TextBody"/>
        <w:bidi w:val="0"/>
        <w:spacing w:before="20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Fair value is determined using one or more significant inputs that are unobservable in active markets at the measurement date, such as a pricing model, discounted cash flow, or similar technique.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pStyle w:val="TextBody"/>
        <w:bidi w:val="0"/>
        <w:jc w:val="both"/>
        <w:rPr/>
      </w:pPr>
      <w:r>
        <w:rPr/>
        <w:t> </w:t>
      </w:r>
    </w:p>
    <w:tbl>
      <w:tblPr>
        <w:tblW w:w="8268" w:type="dxa"/>
        <w:jc w:val="left"/>
        <w:tblInd w:w="0" w:type="dxa"/>
        <w:tblLayout w:type="fixed"/>
        <w:tblCellMar>
          <w:top w:w="28" w:type="dxa"/>
          <w:left w:w="28" w:type="dxa"/>
          <w:bottom w:w="28" w:type="dxa"/>
          <w:right w:w="28" w:type="dxa"/>
        </w:tblCellMar>
      </w:tblPr>
      <w:tblGrid>
        <w:gridCol w:w="1471"/>
        <w:gridCol w:w="146"/>
        <w:gridCol w:w="886"/>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709,872</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The Company had issued Private Placement Warrants (as defined below) in connection with the initial public offering (“</w:t>
      </w:r>
      <w:r>
        <w:rPr>
          <w:rFonts w:ascii="Times New Roman" w:hAnsi="Times New Roman"/>
          <w:b/>
          <w:i/>
          <w:color w:val="000000"/>
          <w:sz w:val="20"/>
        </w:rPr>
        <w:t>IPO</w:t>
      </w:r>
      <w:r>
        <w:rPr>
          <w:rFonts w:ascii="Times New Roman" w:hAnsi="Times New Roman"/>
          <w:color w:val="000000"/>
          <w:sz w:val="20"/>
        </w:rPr>
        <w:t>”) to acquire shares of the Company's Class A Common Stock which had a five-year term and expired in October 2023. During fiscal year 2023, all Private Placement Warrants were exercised by the warrant holders. The following summarizes the change in fair value of Private Placement Warrant liabilities included in net income which consists of adjustments related to the Private Placement Warrants liabilities re-measured to fair value at the end of the reporting period:</w:t>
      </w:r>
    </w:p>
    <w:p>
      <w:pPr>
        <w:pStyle w:val="TextBody"/>
        <w:bidi w:val="0"/>
        <w:jc w:val="both"/>
        <w:rPr/>
      </w:pPr>
      <w:r>
        <w:rPr/>
        <w:t> </w:t>
      </w:r>
    </w:p>
    <w:tbl>
      <w:tblPr>
        <w:tblW w:w="7443" w:type="dxa"/>
        <w:jc w:val="left"/>
        <w:tblInd w:w="0" w:type="dxa"/>
        <w:tblLayout w:type="fixed"/>
        <w:tblCellMar>
          <w:top w:w="28" w:type="dxa"/>
          <w:left w:w="28" w:type="dxa"/>
          <w:bottom w:w="28" w:type="dxa"/>
          <w:right w:w="28" w:type="dxa"/>
        </w:tblCellMar>
      </w:tblPr>
      <w:tblGrid>
        <w:gridCol w:w="4201"/>
        <w:gridCol w:w="146"/>
        <w:gridCol w:w="667"/>
        <w:gridCol w:w="2138"/>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w:t>
            </w:r>
          </w:p>
        </w:tc>
        <w:tc>
          <w:tcPr>
            <w:tcW w:w="29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an equity investment measured at cost with a carrying value of $1.9 million and $2.1 million as of March 31, 2024 and December 31, 2023,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three months ended March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recurring fair value measurement of the interest rate swap was valued based on observable inputs for similar assets and liabilities including swaption values and other observable inputs for interest rates and yield curves and is classified within level 2 of the fair value hierarchy.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presents the changes in the fair value of the interest rate swap in the gross balances within the below line items for the respective periods: </w:t>
      </w:r>
    </w:p>
    <w:p>
      <w:pPr>
        <w:pStyle w:val="TextBody"/>
        <w:bidi w:val="0"/>
        <w:jc w:val="both"/>
        <w:rPr/>
      </w:pPr>
      <w:r>
        <w:rPr/>
        <w:t> </w:t>
      </w:r>
    </w:p>
    <w:tbl>
      <w:tblPr>
        <w:tblW w:w="9800" w:type="dxa"/>
        <w:jc w:val="left"/>
        <w:tblInd w:w="0" w:type="dxa"/>
        <w:tblLayout w:type="fixed"/>
        <w:tblCellMar>
          <w:top w:w="28" w:type="dxa"/>
          <w:left w:w="28" w:type="dxa"/>
          <w:bottom w:w="28" w:type="dxa"/>
          <w:right w:w="28" w:type="dxa"/>
        </w:tblCellMar>
      </w:tblPr>
      <w:tblGrid>
        <w:gridCol w:w="3421"/>
        <w:gridCol w:w="146"/>
        <w:gridCol w:w="933"/>
        <w:gridCol w:w="1872"/>
        <w:gridCol w:w="166"/>
        <w:gridCol w:w="146"/>
        <w:gridCol w:w="703"/>
        <w:gridCol w:w="2102"/>
        <w:gridCol w:w="3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5"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805" w:type="dxa"/>
            <w:gridSpan w:val="2"/>
            <w:tcBorders/>
            <w:shd w:fill="CFF0FC" w:val="clear"/>
            <w:vAlign w:val="center"/>
          </w:tcPr>
          <w:p>
            <w:pPr>
              <w:pStyle w:val="TableContents"/>
              <w:bidi w:val="0"/>
              <w:spacing w:before="0" w:after="283"/>
              <w:jc w:val="center"/>
              <w:rPr/>
            </w:pPr>
            <w:r>
              <w:rPr/>
              <w:t> </w:t>
            </w:r>
          </w:p>
        </w:tc>
        <w:tc>
          <w:tcPr>
            <w:tcW w:w="311" w:type="dxa"/>
            <w:tcBorders/>
            <w:shd w:fill="CFF0FC"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3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interest rate swap</w:t>
            </w:r>
          </w:p>
        </w:tc>
        <w:tc>
          <w:tcPr>
            <w:tcW w:w="146" w:type="dxa"/>
            <w:tcBorders/>
            <w:shd w:fill="CFF0FC" w:val="cle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separately classifies the current and non-current components based on the value of settlements due within 12 months (current) and greater than 12 months (non-current). For additional information on the interest rate swap, refer to Note 2, </w:t>
      </w:r>
      <w:r>
        <w:rPr>
          <w:rFonts w:ascii="Times New Roman" w:hAnsi="Times New Roman"/>
          <w:i/>
          <w:color w:val="000000"/>
          <w:sz w:val="20"/>
        </w:rPr>
        <w:t>Significant Accounting Policies</w:t>
      </w:r>
      <w:r>
        <w:rPr>
          <w:rFonts w:ascii="Times New Roman" w:hAnsi="Times New Roman"/>
          <w:color w:val="000000"/>
          <w:sz w:val="20"/>
        </w:rPr>
        <w: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Net Income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basic and diluted net income per share are as follows:</w:t>
      </w:r>
    </w:p>
    <w:p>
      <w:pPr>
        <w:pStyle w:val="TextBody"/>
        <w:bidi w:val="0"/>
        <w:jc w:val="both"/>
        <w:rPr/>
      </w:pPr>
      <w:r>
        <w:rPr/>
        <w:t> </w:t>
      </w:r>
    </w:p>
    <w:tbl>
      <w:tblPr>
        <w:tblW w:w="8216" w:type="dxa"/>
        <w:jc w:val="left"/>
        <w:tblInd w:w="0" w:type="dxa"/>
        <w:tblLayout w:type="fixed"/>
        <w:tblCellMar>
          <w:top w:w="28" w:type="dxa"/>
          <w:left w:w="28" w:type="dxa"/>
          <w:bottom w:w="28" w:type="dxa"/>
          <w:right w:w="28" w:type="dxa"/>
        </w:tblCellMar>
      </w:tblPr>
      <w:tblGrid>
        <w:gridCol w:w="5281"/>
        <w:gridCol w:w="146"/>
        <w:gridCol w:w="222"/>
        <w:gridCol w:w="823"/>
        <w:gridCol w:w="154"/>
        <w:gridCol w:w="154"/>
        <w:gridCol w:w="222"/>
        <w:gridCol w:w="823"/>
        <w:gridCol w:w="3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29,149</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166,241</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equivalents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168,726</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153,129</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basic</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CFF0FC" w:val="clear"/>
            <w:vAlign w:val="center"/>
          </w:tcPr>
          <w:p>
            <w:pPr>
              <w:pStyle w:val="TableContents"/>
              <w:bidi w:val="0"/>
              <w:spacing w:before="0" w:after="283"/>
              <w:jc w:val="left"/>
              <w:rPr/>
            </w:pPr>
            <w:r>
              <w:rPr/>
              <w:t> </w:t>
            </w:r>
          </w:p>
        </w:tc>
      </w:tr>
      <w:tr>
        <w:trPr/>
        <w:tc>
          <w:tcPr>
            <w:tcW w:w="5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 diluted</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FFFFFF" w:val="cle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income per share:</w:t>
            </w:r>
          </w:p>
        </w:tc>
        <w:tc>
          <w:tcPr>
            <w:tcW w:w="146"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0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Contingently issuable shares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stock options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Performance share units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shares excluded</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effective income tax rate was 25.2% and 63.2% for the three months ended March 31, 2024 and 2023, respectively. The primary driver for the effective tax rate variance is the permanent difference related to the mark-to-market adjustments on the Private Placement Warrants that impacted the rate in the prior year without a comparable impact in the current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As of March 31, 2023, there were 18,092,120 warrants outstanding to acquire shares of the Company’s Class A Common Stock, including warrants originally issued to Gores Sponsor II, LLC in a private placement in connection with the IPO (the “</w:t>
      </w:r>
      <w:r>
        <w:rPr>
          <w:rFonts w:ascii="Times New Roman" w:hAnsi="Times New Roman"/>
          <w:b/>
          <w:i/>
          <w:color w:val="000000"/>
          <w:sz w:val="20"/>
        </w:rPr>
        <w:t>Private Placement Warrants</w:t>
      </w:r>
      <w:r>
        <w:rPr>
          <w:rFonts w:ascii="Times New Roman" w:hAnsi="Times New Roman"/>
          <w:color w:val="000000"/>
          <w:sz w:val="20"/>
        </w:rPr>
        <w:t>”) and the remaining warrants issued in connection with the IPO (the “</w:t>
      </w:r>
      <w:r>
        <w:rPr>
          <w:rFonts w:ascii="Times New Roman" w:hAnsi="Times New Roman"/>
          <w:b/>
          <w:i/>
          <w:color w:val="000000"/>
          <w:sz w:val="20"/>
        </w:rPr>
        <w:t>Public Warrants</w:t>
      </w:r>
      <w:r>
        <w:rPr>
          <w:rFonts w:ascii="Times New Roman" w:hAnsi="Times New Roman"/>
          <w:color w:val="000000"/>
          <w:sz w:val="20"/>
        </w:rPr>
        <w:t xml:space="preserv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together with the Private Placement Warrants, the “</w:t>
      </w:r>
      <w:r>
        <w:rPr>
          <w:rFonts w:ascii="Times New Roman" w:hAnsi="Times New Roman"/>
          <w:b/>
          <w:i/>
          <w:color w:val="000000"/>
          <w:sz w:val="20"/>
        </w:rPr>
        <w:t>Warrants</w:t>
      </w:r>
      <w:r>
        <w:rPr>
          <w:rFonts w:ascii="Times New Roman" w:hAnsi="Times New Roman"/>
          <w:color w:val="000000"/>
          <w:sz w:val="20"/>
        </w:rPr>
        <w:t>”). As of December 31, 2023, all Warrants were either exercised by the holder or redeemed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2023, the Company processed the exercise of approximately 1.9 million Public Warrants on a cashless basis in exchange for 632,745 shares of Class A Common Stock.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the Company's Board of Directors authorized a share repurchase program for up to an aggregate amount of $100.0 million of the Company's outstanding shares of Class A Common Stock over an 18-month period in open market, accelerated share repurchase ("</w:t>
      </w:r>
      <w:r>
        <w:rPr>
          <w:rFonts w:ascii="Times New Roman" w:hAnsi="Times New Roman"/>
          <w:b/>
          <w:i/>
          <w:color w:val="000000"/>
          <w:sz w:val="20"/>
        </w:rPr>
        <w:t>ASR</w:t>
      </w:r>
      <w:r>
        <w:rPr>
          <w:rFonts w:ascii="Times New Roman" w:hAnsi="Times New Roman"/>
          <w:color w:val="000000"/>
          <w:sz w:val="20"/>
        </w:rPr>
        <w:t xml:space="preserve">") or privately negotiated transactions, each as permitted under applicable rules and regulations, any of which may use pre-arranged trading plans that are designed to meet the requirements of Rule 10b5-1 of the Exchange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paid $8.1 million to repurchase 449,432 shares of its Class A Common Stock through open market transactions during fiscal year 2023, which it subsequently retired. On September 5,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 In connection with the settlement, the Company reduced the par value from common stock and $1.8 million from additional paid-in capital calculated using an average share price, with an offset of $1.8 million to accumulated deficit on the condensed consolidated statements of stockholders' equity.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30, 2023, the Company’s Board of Directors authorized a new share repurchase program for up to an aggregate amount of $100.0 million of its outstanding shares of Class A Common Stock over an 18-month period in open market, ASR or privately negotiated transactions.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 The Company has not yet repurchased shares under this repurchase program.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details the components of stock-based compensation for the respective periods:</w:t>
      </w:r>
    </w:p>
    <w:p>
      <w:pPr>
        <w:pStyle w:val="TextBody"/>
        <w:bidi w:val="0"/>
        <w:jc w:val="both"/>
        <w:rPr/>
      </w:pPr>
      <w:r>
        <w:rPr/>
        <w:t> </w:t>
      </w:r>
    </w:p>
    <w:tbl>
      <w:tblPr>
        <w:tblW w:w="6569" w:type="dxa"/>
        <w:jc w:val="left"/>
        <w:tblInd w:w="0" w:type="dxa"/>
        <w:tblLayout w:type="fixed"/>
        <w:tblCellMar>
          <w:top w:w="28" w:type="dxa"/>
          <w:left w:w="28" w:type="dxa"/>
          <w:bottom w:w="28" w:type="dxa"/>
          <w:right w:w="28" w:type="dxa"/>
        </w:tblCellMar>
      </w:tblPr>
      <w:tblGrid>
        <w:gridCol w:w="3736"/>
        <w:gridCol w:w="146"/>
        <w:gridCol w:w="272"/>
        <w:gridCol w:w="738"/>
        <w:gridCol w:w="188"/>
        <w:gridCol w:w="188"/>
        <w:gridCol w:w="272"/>
        <w:gridCol w:w="738"/>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88"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Tax Receivable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2018, the Company entered into a Tax Receivable Agreement (“</w:t>
      </w:r>
      <w:r>
        <w:rPr>
          <w:rFonts w:ascii="Times New Roman" w:hAnsi="Times New Roman"/>
          <w:b/>
          <w:i/>
          <w:color w:val="000000"/>
          <w:sz w:val="20"/>
        </w:rPr>
        <w:t>TRA</w:t>
      </w:r>
      <w:r>
        <w:rPr>
          <w:rFonts w:ascii="Times New Roman" w:hAnsi="Times New Roman"/>
          <w:color w:val="000000"/>
          <w:sz w:val="20"/>
        </w:rPr>
        <w:t>”) with PE Greenlight Holdings, LLC. On August 3, 2022, PE Greenlight Holdings, LLC sold and transferred to Lakeside Smart Holdco L.P (“</w:t>
      </w:r>
      <w:r>
        <w:rPr>
          <w:rFonts w:ascii="Times New Roman" w:hAnsi="Times New Roman"/>
          <w:b/>
          <w:i/>
          <w:color w:val="000000"/>
          <w:sz w:val="20"/>
        </w:rPr>
        <w:t>Lakeside</w:t>
      </w:r>
      <w:r>
        <w:rPr>
          <w:rFonts w:ascii="Times New Roman" w:hAnsi="Times New Roman"/>
          <w:color w:val="000000"/>
          <w:sz w:val="20"/>
        </w:rPr>
        <w:t xml:space="preserve">”),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TRA. The Company generally retains the benefit of the remaining 50.0% of these cash savings. The Company estimated the potential maximum benefit to be paid will be approximately $70.0 million, and recorded an initial liability and corresponding charge to equity at the inception of the TRA.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March 31, 2024, the TRA liability was approximately $53.5 million of which $5.1 million was the current portion and $48.4 million was the non-current portion, both of which are included in the respective tax receivable agreement liability line items on the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had $1.8 million of bank guarantees at March 31, 2024 required to support bids and contracts with certain international customers.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non-cancelable purchase commitments to certain vendors. The aggregate non-cancelable purchase commitments outstanding at March 31, 2024 were $25.3 million. The majority of these outstanding commitments are expected to be incurred in the next twelve months, and approximately $0.6 million is expected to be incurred subsequent to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tax audits in the normal course of business and does not have material contingencies recorded related to such audits.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Other than the PlusPass matter discussed below, the Company has determined that resolution of the remaining pending matters is not probable to have a material adverse impact on its consolidated results of operations, cash flows, or financial position.</w:t>
      </w:r>
    </w:p>
    <w:p>
      <w:pPr>
        <w:pStyle w:val="TextBody"/>
        <w:bidi w:val="0"/>
        <w:spacing w:before="240" w:after="283"/>
        <w:jc w:val="both"/>
        <w:rPr>
          <w:rFonts w:ascii="Times New Roman" w:hAnsi="Times New Roman"/>
          <w:sz w:val="20"/>
        </w:rPr>
      </w:pPr>
      <w:r>
        <w:rPr>
          <w:rFonts w:ascii="Times New Roman" w:hAnsi="Times New Roman"/>
          <w:i/>
          <w:color w:val="000000"/>
          <w:sz w:val="20"/>
        </w:rPr>
        <w:t>Brantley v. City of Gretna</w:t>
      </w:r>
      <w:r>
        <w:rPr>
          <w:rFonts w:ascii="Times New Roman" w:hAnsi="Times New Roman"/>
          <w:color w:val="000000"/>
          <w:sz w:val="20"/>
        </w:rPr>
        <w:t xml:space="preserve"> is a class action lawsuit filed in the 24th Judicial District Court of Jefferson Parish, Louisiana against the City of Gretna (the “</w:t>
      </w:r>
      <w:r>
        <w:rPr>
          <w:rFonts w:ascii="Times New Roman" w:hAnsi="Times New Roman"/>
          <w:b/>
          <w:i/>
          <w:color w:val="000000"/>
          <w:sz w:val="20"/>
        </w:rPr>
        <w:t>City</w:t>
      </w:r>
      <w:r>
        <w:rPr>
          <w:rFonts w:ascii="Times New Roman" w:hAnsi="Times New Roman"/>
          <w:color w:val="000000"/>
          <w:sz w:val="20"/>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Trial is expected to occur in mid- to late 2025. Based on the information available to the Company at present, the Company is unable to estimate a reasonably possible range of loss for this action and, accordingly, it has not accrued any liability associated with this action.</w:t>
      </w:r>
    </w:p>
    <w:p>
      <w:pPr>
        <w:pStyle w:val="TextBody"/>
        <w:bidi w:val="0"/>
        <w:spacing w:before="240" w:after="283"/>
        <w:jc w:val="both"/>
        <w:rPr>
          <w:rFonts w:ascii="Times New Roman" w:hAnsi="Times New Roman"/>
          <w:sz w:val="20"/>
        </w:rPr>
      </w:pPr>
      <w:r>
        <w:rPr>
          <w:rFonts w:ascii="Times New Roman" w:hAnsi="Times New Roman"/>
          <w:i/>
          <w:color w:val="000000"/>
          <w:sz w:val="20"/>
        </w:rPr>
        <w:t>PlusPass Inc. (“</w:t>
      </w:r>
      <w:r>
        <w:rPr>
          <w:rFonts w:ascii="Times New Roman" w:hAnsi="Times New Roman"/>
          <w:b/>
          <w:i/>
          <w:color w:val="000000"/>
          <w:sz w:val="20"/>
        </w:rPr>
        <w:t>PlusPass</w:t>
      </w:r>
      <w:r>
        <w:rPr>
          <w:rFonts w:ascii="Times New Roman" w:hAnsi="Times New Roman"/>
          <w:color w:val="000000"/>
          <w:sz w:val="20"/>
        </w:rPr>
        <w:t>”</w:t>
      </w:r>
      <w:r>
        <w:rPr>
          <w:rFonts w:ascii="Times New Roman" w:hAnsi="Times New Roman"/>
          <w:i/>
          <w:color w:val="000000"/>
          <w:sz w:val="20"/>
        </w:rPr>
        <w:t>) v. Verra Mobility Corporation, et al.</w:t>
      </w:r>
      <w:r>
        <w:rPr>
          <w:rFonts w:ascii="Times New Roman" w:hAnsi="Times New Roman"/>
          <w:color w:val="000000"/>
          <w:sz w:val="20"/>
        </w:rPr>
        <w:t xml:space="preserve"> is a lawsuit filed in the United States District Court, Central District of California, 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was presented within selling, general and administrative expenses on the consolidated statements of operations, and payment was made during the three months ended March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CODM function is comprised of the Company’s CEO and certain defined representatives of the Company’s executive management team. The Company’s CODM monitors operating performance, allocates resources and deploys capital based on these three segments.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set forth financial information by segment for the respective periods: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62"/>
        <w:gridCol w:w="146"/>
        <w:gridCol w:w="235"/>
        <w:gridCol w:w="756"/>
        <w:gridCol w:w="166"/>
        <w:gridCol w:w="146"/>
        <w:gridCol w:w="242"/>
        <w:gridCol w:w="779"/>
        <w:gridCol w:w="166"/>
        <w:gridCol w:w="146"/>
        <w:gridCol w:w="211"/>
        <w:gridCol w:w="676"/>
        <w:gridCol w:w="166"/>
        <w:gridCol w:w="146"/>
        <w:gridCol w:w="211"/>
        <w:gridCol w:w="736"/>
        <w:gridCol w:w="166"/>
        <w:gridCol w:w="146"/>
        <w:gridCol w:w="211"/>
        <w:gridCol w:w="781"/>
        <w:gridCol w:w="311"/>
      </w:tblGrid>
      <w:tr>
        <w:trPr/>
        <w:tc>
          <w:tcPr>
            <w:tcW w:w="3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0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202,721</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209,730</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69,574</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42,151</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92,778</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26,886</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interest rate swap</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38,972</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62"/>
        <w:gridCol w:w="146"/>
        <w:gridCol w:w="235"/>
        <w:gridCol w:w="756"/>
        <w:gridCol w:w="166"/>
        <w:gridCol w:w="146"/>
        <w:gridCol w:w="242"/>
        <w:gridCol w:w="779"/>
        <w:gridCol w:w="166"/>
        <w:gridCol w:w="146"/>
        <w:gridCol w:w="211"/>
        <w:gridCol w:w="676"/>
        <w:gridCol w:w="166"/>
        <w:gridCol w:w="146"/>
        <w:gridCol w:w="211"/>
        <w:gridCol w:w="736"/>
        <w:gridCol w:w="166"/>
        <w:gridCol w:w="146"/>
        <w:gridCol w:w="211"/>
        <w:gridCol w:w="781"/>
        <w:gridCol w:w="311"/>
      </w:tblGrid>
      <w:tr>
        <w:trPr/>
        <w:tc>
          <w:tcPr>
            <w:tcW w:w="3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0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184,698</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191,903</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61,511</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36,640</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87,871</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30,309</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related expenses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Transformation expenses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private placement warrants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311" w:type="dxa"/>
            <w:tcBorders/>
            <w:shd w:fill="CFF0FC" w:val="cle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311" w:type="dxa"/>
            <w:tcBorders/>
            <w:shd w:fill="FFFFFF" w:val="clear"/>
            <w:vAlign w:val="center"/>
          </w:tcPr>
          <w:p>
            <w:pPr>
              <w:pStyle w:val="TableContents"/>
              <w:bidi w:val="0"/>
              <w:spacing w:before="0" w:after="283"/>
              <w:jc w:val="left"/>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table below details the following assets by reportable segment as of the respective period-ends:</w:t>
      </w:r>
    </w:p>
    <w:p>
      <w:pPr>
        <w:pStyle w:val="TextBody"/>
        <w:bidi w:val="0"/>
        <w:spacing w:before="40" w:after="283"/>
        <w:jc w:val="both"/>
        <w:rPr/>
      </w:pPr>
      <w:r>
        <w:rPr/>
        <w:t> </w:t>
      </w:r>
    </w:p>
    <w:tbl>
      <w:tblPr>
        <w:tblW w:w="5909" w:type="dxa"/>
        <w:jc w:val="left"/>
        <w:tblInd w:w="0" w:type="dxa"/>
        <w:tblLayout w:type="fixed"/>
        <w:tblCellMar>
          <w:top w:w="28" w:type="dxa"/>
          <w:left w:w="28" w:type="dxa"/>
          <w:bottom w:w="28" w:type="dxa"/>
          <w:right w:w="28" w:type="dxa"/>
        </w:tblCellMar>
      </w:tblPr>
      <w:tblGrid>
        <w:gridCol w:w="2896"/>
        <w:gridCol w:w="146"/>
        <w:gridCol w:w="211"/>
        <w:gridCol w:w="931"/>
        <w:gridCol w:w="146"/>
        <w:gridCol w:w="146"/>
        <w:gridCol w:w="211"/>
        <w:gridCol w:w="931"/>
        <w:gridCol w:w="2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Commercials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98,611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Commercials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721,192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523,687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8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404,267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8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1,789,983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In addition, refer to Note 4, </w:t>
      </w:r>
      <w:r>
        <w:rPr>
          <w:rFonts w:ascii="Times New Roman" w:hAnsi="Times New Roman"/>
          <w:i/>
          <w:color w:val="000000"/>
          <w:sz w:val="20"/>
        </w:rPr>
        <w:t>Goodwill and Intangible Assets</w:t>
      </w:r>
      <w:r>
        <w:rPr>
          <w:rFonts w:ascii="Times New Roman" w:hAnsi="Times New Roman"/>
          <w:color w:val="000000"/>
          <w:sz w:val="20"/>
        </w:rPr>
        <w:t xml:space="preserve"> for goodwill balances by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primarily operates within the United States, Australia, Canada, United Kingdom and in various other countries in Europe and Asia. Revenues earned from goods transferred to customers at a point in time were approximately $7.0 million and $7.2 million for the three months ended March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details the revenues from international operations for the respective periods:</w:t>
      </w:r>
    </w:p>
    <w:p>
      <w:pPr>
        <w:pStyle w:val="TextBody"/>
        <w:bidi w:val="0"/>
        <w:spacing w:before="120" w:after="283"/>
        <w:jc w:val="both"/>
        <w:rPr/>
      </w:pPr>
      <w:r>
        <w:rPr/>
        <w:t> </w:t>
      </w:r>
    </w:p>
    <w:tbl>
      <w:tblPr>
        <w:tblW w:w="5351" w:type="dxa"/>
        <w:jc w:val="left"/>
        <w:tblInd w:w="0" w:type="dxa"/>
        <w:tblLayout w:type="fixed"/>
        <w:tblCellMar>
          <w:top w:w="28" w:type="dxa"/>
          <w:left w:w="28" w:type="dxa"/>
          <w:bottom w:w="28" w:type="dxa"/>
          <w:right w:w="28" w:type="dxa"/>
        </w:tblCellMar>
      </w:tblPr>
      <w:tblGrid>
        <w:gridCol w:w="2516"/>
        <w:gridCol w:w="146"/>
        <w:gridCol w:w="245"/>
        <w:gridCol w:w="785"/>
        <w:gridCol w:w="169"/>
        <w:gridCol w:w="169"/>
        <w:gridCol w:w="245"/>
        <w:gridCol w:w="785"/>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12,477</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291" w:type="dxa"/>
            <w:tcBorders/>
            <w:shd w:fill="FFFFFF" w:val="cle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w:t>
            </w:r>
          </w:p>
        </w:tc>
        <w:tc>
          <w:tcPr>
            <w:tcW w:w="291" w:type="dxa"/>
            <w:tcBorders/>
            <w:shd w:fill="CFF0FC" w:val="clear"/>
            <w:vAlign w:val="center"/>
          </w:tcPr>
          <w:p>
            <w:pPr>
              <w:pStyle w:val="TableContents"/>
              <w:bidi w:val="0"/>
              <w:spacing w:before="0" w:after="283"/>
              <w:jc w:val="left"/>
              <w:rPr/>
            </w:pPr>
            <w:r>
              <w:rPr/>
              <w:t> </w:t>
            </w:r>
          </w:p>
        </w:tc>
      </w:tr>
      <w:tr>
        <w:trPr/>
        <w:tc>
          <w:tcPr>
            <w:tcW w:w="2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international revenues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together with our Annual Report, and our financial statements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xml:space="preserve">”), as well as governments, universities, parking operators, healthcare facilities, transportation hubs and other violation-issuing authorities. Our vision is to continue to develop and use technology and data intelligence to make transportation safer, smarter and more connected globally.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long-term contracts and a highly reoccurring service revenue model. We continue to execute our strategy to grow revenue organically year over year and focus on initiatives that support our long-term vision. During the periods presented,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total revenue by $17.8 million, or 9%, from $191.9 million in the three months ended March 31, 2023 to $209.7 million in the same period in 2024. The increase was mainly due to service revenue resulting from increased travel volume in the Commercial Services segment and the growth from speed and red light programs in the Government Solutions segment.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Generated cash flows from operating activities of $34.3 million and $45.2 million for the three months ended March 31, 2024 and 2023, respectively. Our cash on hand was $149.5 million as of March 31,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to focus on debt management and lowering our exposure to higher interest rates, and as a result, we refinanced our debt and reduced our interest rate by 50 basis points and made an early repayment of approximately $2.3 million on our 2021 Term Loan during the three months ended March 31,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paid $8.1 million to repurchase 449,432 shares of our Class A Common Stock through open market transactions during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30,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our management may deem relevant. The timing, volume and nature of repurchases are subject to market conditions, applicable securities laws and other factors and may be amended, suspended or discontinued at any time. We have not yet repurchased shares under this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three operating and reportable segments, Commercial Services, Government Solutions and Parking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segment offers toll and violation management solutions and title and registration services for commercial fleet customers, including RACs, Direct Fleets and FMCs in North America. In Europe, we provide tolling and violations processing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Government Solutions segment offers photo enforcement solutions and services to its customers. We provide complete, end-to-end speed, red-light, school bus stop arm and bus lane enforcement solutions, principally within the United States and Canada. Our international operations primarily involve the sale of traffic enforcement products and related maintenance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Parking Solutions segment provides an integrated suite of parking software, transaction processing and hardware solutions to universities, municipalities, healthcare facilities and commercial parking operators in the United States and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Parking Solutions segment generates service revenue mainly from offering software as a service, subscription fees, professional services and citation processing services related to parking management solutions to its customers. </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are generated by the sale of photo enforcement equipment in the Government Solutions segment and specialized hardware in the Parking Solutions segment. Customer buying patterns vary greatly from period to period related to product sales.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consists of recurring service costs, collection and other third-party costs in our segments.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consists of the cost to acquire and install photo enforcement equipment purchased by Government Solutions customers and costs to develop hardware sold to Parking Solutions customers.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include payroll and payroll-related costs (including stock-based compensation), real estate lease expense, insurance costs, professional services fees, acquisition costs and general corporate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4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This includes interest expense and amortization of deferred financing costs and discounts and is net of interest income.</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Private Placement Warrants</w:t>
      </w:r>
      <w:r>
        <w:rPr>
          <w:rFonts w:ascii="Times New Roman" w:hAnsi="Times New Roman"/>
          <w:color w:val="000000"/>
          <w:sz w:val="20"/>
        </w:rPr>
        <w:t>. Change in fair value of private placement warrants consists of liability adjustments related to the Private Placement Warrants originally issued to Gores Sponsor II, LLC re-measured to fair value at the end of the reporting period.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(Gain) Loss on Interest Rate Swap. </w:t>
      </w:r>
      <w:r>
        <w:rPr>
          <w:rFonts w:ascii="Times New Roman" w:hAnsi="Times New Roman"/>
          <w:color w:val="000000"/>
          <w:sz w:val="20"/>
        </w:rPr>
        <w:t>(Gain) loss on interest rate swap relates to the changes associated with the derivative instrument re-measured to fair value at the end of the reporting period and the related periodic cash receipts or payments.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on Extinguishment of Debt. </w:t>
      </w:r>
      <w:r>
        <w:rPr>
          <w:rFonts w:ascii="Times New Roman" w:hAnsi="Times New Roman"/>
          <w:color w:val="000000"/>
          <w:sz w:val="20"/>
        </w:rPr>
        <w:t>Loss on extinguishment of debt consists of the write-off of pre-existing original issue discounts and deferred financing costs associated with debt extinguishment.</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Other income, net primarily consists of volume rebates earned from total spend on purchasing cards, gains or losses on foreign currency transactions and other non-operating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Three Months Ended March 31, 2024 Compared to Three Months Ended March 31,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79"/>
        <w:gridCol w:w="146"/>
        <w:gridCol w:w="211"/>
        <w:gridCol w:w="781"/>
        <w:gridCol w:w="166"/>
        <w:gridCol w:w="146"/>
        <w:gridCol w:w="211"/>
        <w:gridCol w:w="781"/>
        <w:gridCol w:w="166"/>
        <w:gridCol w:w="146"/>
        <w:gridCol w:w="146"/>
        <w:gridCol w:w="571"/>
        <w:gridCol w:w="288"/>
        <w:gridCol w:w="146"/>
        <w:gridCol w:w="146"/>
        <w:gridCol w:w="571"/>
        <w:gridCol w:w="288"/>
        <w:gridCol w:w="146"/>
        <w:gridCol w:w="211"/>
        <w:gridCol w:w="736"/>
        <w:gridCol w:w="166"/>
        <w:gridCol w:w="146"/>
        <w:gridCol w:w="146"/>
        <w:gridCol w:w="631"/>
        <w:gridCol w:w="534"/>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2024 vs 2023</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96.7</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96.2</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191,903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fair value of private placement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(Gain) loss on interest rate swap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(114.2</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w:t>
            </w:r>
          </w:p>
        </w:tc>
        <w:tc>
          <w:tcPr>
            <w:tcW w:w="28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(55.9</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w:t>
            </w:r>
          </w:p>
        </w:tc>
        <w:tc>
          <w:tcPr>
            <w:tcW w:w="534"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w:t>
            </w:r>
          </w:p>
        </w:tc>
        <w:tc>
          <w:tcPr>
            <w:tcW w:w="53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w:t>
            </w:r>
          </w:p>
        </w:tc>
        <w:tc>
          <w:tcPr>
            <w:tcW w:w="28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213.7</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534"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79"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9"/>
              </w:rPr>
            </w:pPr>
            <w:r>
              <w:rPr>
                <w:rFonts w:ascii="Times New Roman" w:hAnsi="Times New Roman"/>
                <w:b/>
                <w:color w:val="000000"/>
                <w:sz w:val="19"/>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536.9</w:t>
            </w:r>
          </w:p>
        </w:tc>
        <w:tc>
          <w:tcPr>
            <w:tcW w:w="53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Service revenue increased by $18.0 million, or 9.8%, to $202.7 million for the three months ended March 31, 2024 from $184.7 million for the three months ended March 31, 2023, representing 96.7% and 96.2% of total revenue, respectively. The following table depicts service revenue by segment:</w:t>
      </w:r>
    </w:p>
    <w:p>
      <w:pPr>
        <w:pStyle w:val="TextBody"/>
        <w:bidi w:val="0"/>
        <w:jc w:val="both"/>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2024 vs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Service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59"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Commercial Services service revenue increased by $10.3 million, or 12.0%, from $85.6 million for the three months ended March 31, 2023 to $95.9 million for the three months ended March 31, 2024. The increase was primarily due to increased travel volume and related tolling activity compared to the prior year. The volume of tolls incurred by RAC vehicles contributed to a $5.7 million growth in revenue and an increase in enrolled vehicles as well as higher tolling activity for our FMC customers contributed to a $3.4 million growth in revenue during the three months ended March 31, 2024, compared to the same period in 2023. In addition, there was more revenue generated from processing violations compared to the prior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Solutions service revenue increased by $7.1 million to $90.3 million for the three months ended March 31, 2024 compared to $83.2 million in the same period in 2023. The increase was primarily driven by the expansion of speed programs which contributed $3.5 million and red light programs which contributed $2.4 million to the service revenue growth compared to the prior year. The remaining increase is attributable to expansions across school bus stop-arm and bus lane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Parking Solutions service revenue grew by $0.7 million to $16.6 million for the three months ended March 31, 2024, from $15.8 million for the three months ended March 31, 2023. The growth was primarily due to increased revenue from software as a service product offerings, citation processing services and professional services related to parking management solutions.</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were $7.0 million and $7.2 million for the three months ended March 31, 2024 and 2023, respectively. Product sales decreased by approximately $0.2 million, which was due to a $1.4 million decrease in product sales in the Parking Solutions segment, offset by a $1.2 million growth in product sales to Government Solutions customers. Customer buying patterns vary greatly from period to period related to product sales. </w:t>
      </w:r>
    </w:p>
    <w:p>
      <w:pPr>
        <w:pStyle w:val="TextBody"/>
        <w:bidi w:val="0"/>
        <w:spacing w:before="24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increased slightly from $4.2 million for the three months ended March 31, 2023 to $4.3 million for the three months ended March 31, 2024, mainly due to increased recurring service costs.</w:t>
      </w:r>
    </w:p>
    <w:p>
      <w:pPr>
        <w:pStyle w:val="TextBody"/>
        <w:bidi w:val="0"/>
        <w:spacing w:before="240" w:after="283"/>
        <w:jc w:val="both"/>
        <w:rPr>
          <w:rFonts w:ascii="Times New Roman" w:hAnsi="Times New Roman"/>
          <w:sz w:val="20"/>
        </w:rPr>
      </w:pPr>
      <w:r>
        <w:rPr>
          <w:rFonts w:ascii="Times New Roman" w:hAnsi="Times New Roman"/>
          <w:i/>
          <w:color w:val="000000"/>
          <w:sz w:val="20"/>
        </w:rPr>
        <w:t>Cost of Product Sales.</w:t>
      </w:r>
      <w:r>
        <w:rPr>
          <w:rFonts w:ascii="Times New Roman" w:hAnsi="Times New Roman"/>
          <w:color w:val="000000"/>
          <w:sz w:val="20"/>
        </w:rPr>
        <w:t xml:space="preserve"> Cost of product sales decreased slightly by $0.1 million from $5.4 million in the three months ended March 31, 2023 to $5.3 million in the three months ended March 31, 2024, which was in line with the decrease in product sales discussed above.</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increased by $8.8 million, or 14.2%, from $61.8 million for the three months ended March 31, 2023 to $70.6 million for the three months ended March 31, 2024. The increase in 2024 was primarily attributable to increases of $6.1 million in wages expense and $2.4 million of information technology costs, partially offset by a decrease of $0.6 million in equipment maintenance expenses compared to the prior period. Operating expenses as a percentage of total revenue increased from 32.2% to 33.7% for the three months ended March 31, 2023 and 2024,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operating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67"/>
        <w:gridCol w:w="146"/>
        <w:gridCol w:w="211"/>
        <w:gridCol w:w="676"/>
        <w:gridCol w:w="146"/>
        <w:gridCol w:w="146"/>
        <w:gridCol w:w="211"/>
        <w:gridCol w:w="676"/>
        <w:gridCol w:w="146"/>
        <w:gridCol w:w="146"/>
        <w:gridCol w:w="151"/>
        <w:gridCol w:w="485"/>
        <w:gridCol w:w="282"/>
        <w:gridCol w:w="151"/>
        <w:gridCol w:w="151"/>
        <w:gridCol w:w="485"/>
        <w:gridCol w:w="271"/>
        <w:gridCol w:w="146"/>
        <w:gridCol w:w="211"/>
        <w:gridCol w:w="571"/>
        <w:gridCol w:w="146"/>
        <w:gridCol w:w="146"/>
        <w:gridCol w:w="146"/>
        <w:gridCol w:w="571"/>
        <w:gridCol w:w="521"/>
      </w:tblGrid>
      <w:tr>
        <w:trPr/>
        <w:tc>
          <w:tcPr>
            <w:tcW w:w="3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2024 vs 2023</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7"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7"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6" w:type="dxa"/>
            <w:gridSpan w:val="2"/>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63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521" w:type="dxa"/>
            <w:tcBorders/>
            <w:shd w:fill="CFF0FC" w:val="clear"/>
            <w:vAlign w:val="center"/>
          </w:tcPr>
          <w:p>
            <w:pPr>
              <w:pStyle w:val="TableContents"/>
              <w:bidi w:val="0"/>
              <w:spacing w:before="0" w:after="283"/>
              <w:ind w:left="0" w:right="0" w:firstLine="200"/>
              <w:jc w:val="right"/>
              <w:rPr/>
            </w:pPr>
            <w:r>
              <w:rPr/>
              <w:t> </w:t>
            </w:r>
          </w:p>
        </w:tc>
      </w:tr>
      <w:tr>
        <w:trPr/>
        <w:tc>
          <w:tcPr>
            <w:tcW w:w="32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67"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expenses before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67"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67"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increased to $48.2 million for the three months ended March 31, 2024 compared to $40.0 million for the same period in 2023. This is primarily due to a $3.6 million increase in credit loss expense, $2.3 million in higher wages expense, and overall increases in stock-based compensation expense, marketing and other general expenses compared to prior year. Selling, general and administrative expenses as a percentage of total revenue increased from 20.9% to 23.0% for the three months ended March 31, 2023 and 2024, respectively. 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55"/>
        <w:gridCol w:w="146"/>
        <w:gridCol w:w="211"/>
        <w:gridCol w:w="676"/>
        <w:gridCol w:w="146"/>
        <w:gridCol w:w="146"/>
        <w:gridCol w:w="211"/>
        <w:gridCol w:w="676"/>
        <w:gridCol w:w="146"/>
        <w:gridCol w:w="146"/>
        <w:gridCol w:w="149"/>
        <w:gridCol w:w="477"/>
        <w:gridCol w:w="277"/>
        <w:gridCol w:w="149"/>
        <w:gridCol w:w="149"/>
        <w:gridCol w:w="477"/>
        <w:gridCol w:w="271"/>
        <w:gridCol w:w="146"/>
        <w:gridCol w:w="211"/>
        <w:gridCol w:w="571"/>
        <w:gridCol w:w="166"/>
        <w:gridCol w:w="146"/>
        <w:gridCol w:w="146"/>
        <w:gridCol w:w="571"/>
        <w:gridCol w:w="540"/>
      </w:tblGrid>
      <w:tr>
        <w:trPr/>
        <w:tc>
          <w:tcPr>
            <w:tcW w:w="3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2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6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2024 vs 2023</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5"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6" w:type="dxa"/>
            <w:gridSpan w:val="2"/>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2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540" w:type="dxa"/>
            <w:tcBorders/>
            <w:shd w:fill="CFF0FC" w:val="clear"/>
            <w:vAlign w:val="center"/>
          </w:tcPr>
          <w:p>
            <w:pPr>
              <w:pStyle w:val="TableContents"/>
              <w:bidi w:val="0"/>
              <w:spacing w:before="0" w:after="283"/>
              <w:ind w:left="0" w:right="0" w:firstLine="200"/>
              <w:jc w:val="right"/>
              <w:rPr/>
            </w:pPr>
            <w:r>
              <w:rPr/>
              <w:t> </w:t>
            </w:r>
          </w:p>
        </w:tc>
      </w:tr>
      <w:tr>
        <w:trPr/>
        <w:tc>
          <w:tcPr>
            <w:tcW w:w="325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540"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4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40"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5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 before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54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decreased by approximately $3.3 million to $27.0 million for the three months ended March 31, 2024 from $30.3 million for the same period in 2023. This was mainly due to certain non-compete, trademark and developed technology intangible assets being fully amortized in the three months ended March 31, 2024 as compared to the prior year. This decrease was partially offset by an increase in depreciation expense in the 2024 period.</w:t>
      </w:r>
    </w:p>
    <w:p>
      <w:pPr>
        <w:pStyle w:val="TextBody"/>
        <w:bidi w:val="0"/>
        <w:spacing w:before="24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Interest expense, net decreased by $3.1 million from $22.7 million for the three months ended March 31, 2023 to $19.6 million for the same period in 2024. This was primarily attributable to voluntary principal prepayments made during 2023 which lowered the outstanding debt balance in 2024 coupled with a 50 basis-point reduction in the interest rate from refinancing our debt on February 8, 2024. See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Private Placement Warrants</w:t>
      </w:r>
      <w:r>
        <w:rPr>
          <w:rFonts w:ascii="Times New Roman" w:hAnsi="Times New Roman"/>
          <w:color w:val="000000"/>
          <w:sz w:val="20"/>
        </w:rPr>
        <w:t>. We recorded a loss of $14.6 million for the three months ended March 31, 2023 related to the change in fair value of our Private Placement Warrants which were accounted for as liabilities on our condensed consolidated balance sheets. The change in fair value was the result of re-measurement of the liability at the end of the reporting period.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Gain (Loss) on Interest Rate Swap. </w:t>
      </w:r>
      <w:r>
        <w:rPr>
          <w:rFonts w:ascii="Times New Roman" w:hAnsi="Times New Roman"/>
          <w:color w:val="000000"/>
          <w:sz w:val="20"/>
        </w:rPr>
        <w:t>We recorded a $0.4 million gain during the three months ended March 31, 2024, of which $0.1 million is associated with the derivative instrument re-measured to fair value at the end of the reporting period and $0.3 million related to the monthly cash proceeds on the interest rate swap. We recorded a $2.8 million loss during the three months ended March 31, 2023, of which approximately $1.6 million is associated with the derivative instrument re-measured to fair value at the end of the reporting period and $1.2 million relates to the monthly cash payments made.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We recorded a $0.6 million loss on extinguishment of debt during the three months ended March 31, 2024 related to the write-off of pre-existing deferred financing costs and discounts in connection with the refinancing of the 2021 Term Loan in February 2024. We recorded a $1.3 million loss on extinguishment of debt during the three months ended March 31, 2023 related to the write-off of pre-existing deferred financing costs and discounts in connection with the early repayments of $62.5 million on the 2021 Term Loan.</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approximately $4.5 million for the three months ended March 31, 2024 compared to $3.8 million for the three months ended March 31, 2023. The increase of $0.7 million is primarily attributable to volume rebates earned from total spend on purchasing cards from increased tolling and travel activity.</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Provision.</w:t>
      </w:r>
      <w:r>
        <w:rPr>
          <w:rFonts w:ascii="Times New Roman" w:hAnsi="Times New Roman"/>
          <w:color w:val="000000"/>
          <w:sz w:val="20"/>
        </w:rPr>
        <w:t xml:space="preserve"> Income tax provision was $9.8 million representing an effective tax rate of 25.2% for the three months ended March 31, 2024 compared to a tax provision of $7.8 million, with an effective tax rate of 63.2% for the same period in 2023. The primary driver for the effective tax rate variance is due to the permanent difference related to the mark-to-market adjustments on the Private Placement Warrants that impacted the rate in the prior year without a comparable impact in the current period.</w:t>
      </w:r>
    </w:p>
    <w:p>
      <w:pPr>
        <w:pStyle w:val="TextBody"/>
        <w:bidi w:val="0"/>
        <w:spacing w:before="240" w:after="283"/>
        <w:jc w:val="both"/>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xml:space="preserve"> We had net income of $29.1 million for the three months ended March 31, 2024, as compared to a net income of $4.6 million for the three months ended March 31, 2023. The $24.5 million increase in net income was primarily due to the change in fair value of Private Placement Warrants in the prior year period, decrease in amortization expense and the other statement of operations activity discussed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sources of liquidity are cash flows from operations and the available borrowing under our Revolver (defined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significant long-term debt as a result of acquisitions completed in prior years. Should we pursue strategic acquisitions, we may need to raise additional capital, which may be in the form of additional long-term debt, borrowing on our Revolver, or equity financings, all of which may not be available to us on favorable terms or at 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the ability to borrow under our Revolver to meet obligations as they come due. As of March 31, 2024, we had $74.6 million available for borrowing, net of letters of credit, under our Revolver. Our cash on hand was $149.5 million as of March 31, 2024.</w:t>
      </w:r>
    </w:p>
    <w:p>
      <w:pPr>
        <w:pStyle w:val="TextBody"/>
        <w:bidi w:val="0"/>
        <w:spacing w:before="240" w:after="283"/>
        <w:jc w:val="both"/>
        <w:rPr>
          <w:rFonts w:ascii="Times New Roman" w:hAnsi="Times New Roman"/>
          <w:sz w:val="20"/>
        </w:rPr>
      </w:pPr>
      <w:r>
        <w:rPr>
          <w:rFonts w:ascii="Times New Roman" w:hAnsi="Times New Roman"/>
          <w:color w:val="000000"/>
          <w:sz w:val="20"/>
        </w:rPr>
        <w:t>We made early repayments of $2.3 million and $62.5 million on our 2021 Term Loan during the three months ended March 31, 2024 and 2023, respectively. In addition, we entered into a third amendment to the 2021 Term Loan (the “</w:t>
      </w:r>
      <w:r>
        <w:rPr>
          <w:rFonts w:ascii="Times New Roman" w:hAnsi="Times New Roman"/>
          <w:b/>
          <w:i/>
          <w:color w:val="000000"/>
          <w:sz w:val="20"/>
        </w:rPr>
        <w:t>Third Amendment</w:t>
      </w:r>
      <w:r>
        <w:rPr>
          <w:rFonts w:ascii="Times New Roman" w:hAnsi="Times New Roman"/>
          <w:color w:val="000000"/>
          <w:sz w:val="20"/>
        </w:rPr>
        <w:t xml:space="preserve">”) to refinance the entire outstanding amount under the 2021 Term Loan and reduce the interest rate and eliminate the credit spread adjustment.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March 31, 2024, the tax receivable agreement liability was approximately $53.5 million. We expect to make payments of approximately $5.0 million per year for the next 11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paid $8.1 million to repurchase 449,432 shares of our Class A Common Stock through open market transactions during fiscal year 2023, which we subsequently retired. On September 5, 2023, we used the remaining availability under the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30,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our management may deem relevant. The timing, volume and nature of repurchases are subject to market conditions, applicable securities laws and other factors and may be amended, suspended or discontinued at any time. We have not yet repurchased shares under this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certain captions indicated on our statements of cash flows for the respective periods:</w:t>
      </w:r>
    </w:p>
    <w:p>
      <w:pPr>
        <w:pStyle w:val="TextBody"/>
        <w:bidi w:val="0"/>
        <w:jc w:val="both"/>
        <w:rPr/>
      </w:pPr>
      <w:r>
        <w:rPr/>
        <w:t> </w:t>
      </w:r>
    </w:p>
    <w:tbl>
      <w:tblPr>
        <w:tblW w:w="6221" w:type="dxa"/>
        <w:jc w:val="left"/>
        <w:tblInd w:w="0" w:type="dxa"/>
        <w:tblLayout w:type="fixed"/>
        <w:tblCellMar>
          <w:top w:w="28" w:type="dxa"/>
          <w:left w:w="28" w:type="dxa"/>
          <w:bottom w:w="28" w:type="dxa"/>
          <w:right w:w="28" w:type="dxa"/>
        </w:tblCellMar>
      </w:tblPr>
      <w:tblGrid>
        <w:gridCol w:w="3466"/>
        <w:gridCol w:w="146"/>
        <w:gridCol w:w="229"/>
        <w:gridCol w:w="801"/>
        <w:gridCol w:w="180"/>
        <w:gridCol w:w="158"/>
        <w:gridCol w:w="229"/>
        <w:gridCol w:w="80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34,332</w:t>
            </w:r>
          </w:p>
        </w:tc>
        <w:tc>
          <w:tcPr>
            <w:tcW w:w="180"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45,217</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operating activities decreased by approximately $10.9 million from $45.2 million for the three months ended March 31, 2023 to $34.3 million for the three months ended March 31, 2024. Net income year over year increased by approximately $24.5 million, from $4.6 million in 2023 to $29.1 million in 2024. The aggregate adjustments to reconcile net income to net cash provided by operating activities decreased $11.4 million mainly due to the change in fair value of private placement warrants and lower amortization expense, partially offset by increased credit loss expense and changes in deferred income taxes year over year. The aggregate changes in operating assets and liabilities decreased by $24.1 million in 2024 compared to the prior year primarily due to payments for a legal settlement and other current liabilities that were previously accrued for, offset by a decrease in accounts receivables.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$13.9 million and $19.6 million for the three months ended March 31, 2024 and 2023, respectively. There was a $4.1 million decrease in cash used for purchases of installation and service parts and property and equipment compared to the prior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$6.3 million and $66.6 million for the three months ended March 31, 2024 and 2023, respectively. The cash used in 2024 was mainly due to $4.6 million of payments for employee withholding taxes related to RSUs and PSUs vesting and an early repayment of $2.3 million on our 2021 Term Loan. The cash used in 2023 was mainly due to the early repayments totaling $62.5 million on our 2021 Term Loan and $2.5 million of payments for employee withholding taxes related to RSUs and PSUs vesting.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 xml:space="preserve">2021 Term Loan </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our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we had $4.6 million of offering discount costs and $4.5 million in deferred financing costs, both of which were capitalized and are being amortized over the remaining life of the 2021 Term Loan.</w:t>
      </w:r>
    </w:p>
    <w:p>
      <w:pPr>
        <w:pStyle w:val="TextBody"/>
        <w:bidi w:val="0"/>
        <w:spacing w:before="240" w:after="283"/>
        <w:jc w:val="both"/>
        <w:rPr>
          <w:rFonts w:ascii="Times New Roman" w:hAnsi="Times New Roman"/>
          <w:sz w:val="20"/>
        </w:rPr>
      </w:pPr>
      <w:r>
        <w:rPr>
          <w:rFonts w:ascii="Times New Roman" w:hAnsi="Times New Roman"/>
          <w:color w:val="000000"/>
          <w:sz w:val="20"/>
        </w:rPr>
        <w:t>In February 2024, VM Consolidated entered into the Third Amendment to refinance the 2021 Term Loan (the “</w:t>
      </w:r>
      <w:r>
        <w:rPr>
          <w:rFonts w:ascii="Times New Roman" w:hAnsi="Times New Roman"/>
          <w:b/>
          <w:i/>
          <w:color w:val="000000"/>
          <w:sz w:val="20"/>
        </w:rPr>
        <w:t>Refinancing Transaction</w:t>
      </w:r>
      <w:r>
        <w:rPr>
          <w:rFonts w:ascii="Times New Roman" w:hAnsi="Times New Roman"/>
          <w:color w:val="000000"/>
          <w:sz w:val="20"/>
        </w:rPr>
        <w:t xml:space="preserve">”). Pursuant to the Third Amendment, the interest rate was reduced by 50 basis points to SOFR + 2.75% from SOFR + 3.25% with the SOFR floor unchanged at 0.00%. The credit spread adjustment, ranging from 0.11448% to 0.71513%, was eliminated, which resulted in a total savings of 61.5 basis points. In addition, the 2021 Term Loan no longer contains a provision for principal repayments which were previously required to be paid in quarterly installments.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three months ended March 31, 2024, we made an early repayment of approximately $2.3 million on the 2021 Term Loan and as a result, the total principal outstanding was $702.3 million as of March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evaluated the Refinancing Transaction on a lender-by-lender basis and accounted accordingly for debt extinguishment costs and debt modification costs (for the portion of the transaction that did not meet the accounting criteria for debt extinguishment). We recorded a $0.6 million loss on extinguishment of debt during the three months ended March 31, 2024 related to the write-off of pre-existing deferred financing costs and discounts in connection with the Refinancing Transaction. We recorded a $1.3 million loss on extinguishment of debt during the three months ended March 31, 2023 related to the write-off of pre-existing deferred financing costs and discounts in connection with the early repayments of $62.5 million on the 2021 Term Loan.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2021 Term Loan now bears interest based, at our option, on either (i) Term SOFR plus an applicable margin of 2.75% per annum, or (ii) an alternate base rate plus an applicable margin of 1.75% per annum. As of March 31, 2024, the interest rate on the 2021 Term Loan was 8.1%.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pStyle w:val="TextBody"/>
        <w:bidi w:val="0"/>
        <w:jc w:val="both"/>
        <w:rPr/>
      </w:pPr>
      <w:r>
        <w:rPr/>
        <w:t> </w:t>
      </w:r>
    </w:p>
    <w:tbl>
      <w:tblPr>
        <w:tblW w:w="8008" w:type="dxa"/>
        <w:jc w:val="left"/>
        <w:tblInd w:w="0" w:type="dxa"/>
        <w:tblLayout w:type="fixed"/>
        <w:tblCellMar>
          <w:top w:w="28" w:type="dxa"/>
          <w:left w:w="28" w:type="dxa"/>
          <w:bottom w:w="28" w:type="dxa"/>
          <w:right w:w="28" w:type="dxa"/>
        </w:tblCellMar>
      </w:tblPr>
      <w:tblGrid>
        <w:gridCol w:w="6826"/>
        <w:gridCol w:w="146"/>
        <w:gridCol w:w="1036"/>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by the 2021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6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68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682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xml:space="preserve">”), due on April 15, 2029. In connection with the issuance of the Senior Notes, we incurred $5.7 million in lender and third-party costs, which were capitalized as deferred financing costs and are being amortized over the remaining life of the Senior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1696"/>
        <w:gridCol w:w="146"/>
        <w:gridCol w:w="9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16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102.750%</w:t>
            </w:r>
          </w:p>
        </w:tc>
      </w:tr>
      <w:tr>
        <w:trPr/>
        <w:tc>
          <w:tcPr>
            <w:tcW w:w="16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101.375%</w:t>
            </w:r>
          </w:p>
        </w:tc>
      </w:tr>
      <w:tr>
        <w:trPr/>
        <w:tc>
          <w:tcPr>
            <w:tcW w:w="16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and thereafter</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r>
    </w:tbl>
    <w:p>
      <w:pPr>
        <w:pStyle w:val="TextBody"/>
        <w:bidi w:val="0"/>
        <w:jc w:val="both"/>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240" w:after="283"/>
        <w:jc w:val="both"/>
        <w:rPr>
          <w:rFonts w:ascii="Times New Roman" w:hAnsi="Times New Roman"/>
          <w:sz w:val="20"/>
        </w:rPr>
      </w:pPr>
      <w:r>
        <w:rPr>
          <w:rFonts w:ascii="Times New Roman" w:hAnsi="Times New Roman"/>
          <w:color w:val="000000"/>
          <w:sz w:val="20"/>
        </w:rPr>
        <w:t>We have a Revolving Credit Agreement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March 31, 2024 or December 31, 2023. The availability to borrow was $74.6 million, net of $0.4 million of outstanding letters of credit at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on the unused portion of the Revolver is payable quarterly at 0.375% and we are also required to pay participation and fronting fees at 1.38% on $0.4 million of outstanding letters of credit as of March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March 31, 2024, we were compliant with all debt covenants.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interest expense, including amortization of deferred financing costs and discounts, of $19.6 million and $22.7 million for the three months ended March 31, 2024 and 2023,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Significant Accounting Policies</w:t>
      </w:r>
      <w:r>
        <w:rPr>
          <w:rFonts w:ascii="Times New Roman" w:hAnsi="Times New Roman"/>
          <w:color w:val="000000"/>
          <w:sz w:val="20"/>
        </w:rPr>
        <w:t xml:space="preserve">, in Part I, Item 1, Financial Statements, for additional information on the interest rate swap entered into in December 2022 to hedge our exposure against rising interest rates.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material off-balance sheet financing arrangements as of March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Estimates and Judgments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recent accounting pronouncements, refer to Note 2, </w:t>
      </w:r>
      <w:r>
        <w:rPr>
          <w:rFonts w:ascii="Times New Roman" w:hAnsi="Times New Roman"/>
          <w:i/>
          <w:color w:val="000000"/>
          <w:sz w:val="20"/>
        </w:rPr>
        <w:t>Significant Accounting Policies</w:t>
      </w:r>
      <w:r>
        <w:rPr>
          <w:rFonts w:ascii="Times New Roman" w:hAnsi="Times New Roman"/>
          <w:color w:val="000000"/>
          <w:sz w:val="20"/>
        </w:rPr>
        <w:t>, in Part I, Item 1, Financial Statements.</w:t>
      </w:r>
    </w:p>
    <w:p>
      <w:pPr>
        <w:pStyle w:val="TextBody"/>
        <w:bidi w:val="0"/>
        <w:spacing w:before="36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interest rate risk due to the variable interest rate on the 2021 Term Loan described in Part I, Item 2.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rate risk represents our exposure to fluctuations in interest rates associated with the variable rate debt represented by the 2021 Term Loan, which has an outstanding balance of $702.3 million at March 31, 2024. The 2021 Term Loan now bears interest based, at our option, on either (i) Term SOFR plus an applicable margin of 2.75% per annum, or (ii) an alternate base rate plus an applicable margin of 1.75% per annum. As of March 31, 2024, the interest rate on the 2021 Term Loan was 8.1%.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March 31, 2024 balance outstanding, each 1% movement in interest rates will result in an approximately $7.0 million change in annual interest expense.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of 5.17% and the counterparty pays a variable interest rate which is net settled. The notional amount on the interest rate swap is $675.0 million. We have the option to effectively terminate the interest rate swap agreement as of December 2023, and monthly thereafter until December 2025, in the event interest rates decrease. We recorded a $0.4 million gain and $2.8 million loss for the three months ended March 31, 2024 and 2023, respectively. See Note 2, </w:t>
      </w:r>
      <w:r>
        <w:rPr>
          <w:rFonts w:ascii="Times New Roman" w:hAnsi="Times New Roman"/>
          <w:i/>
          <w:color w:val="000000"/>
          <w:sz w:val="20"/>
        </w:rPr>
        <w:t>Significant Accounting Policies</w:t>
      </w:r>
      <w:r>
        <w:rPr>
          <w:rFonts w:ascii="Times New Roman" w:hAnsi="Times New Roman"/>
          <w:color w:val="000000"/>
          <w:sz w:val="20"/>
        </w:rPr>
        <w:t>, in Part I, Item 1, Financial Statements for additional information on the interest rate swap.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disclosure controls and procedures were not effective as of March 31, 2024 due to a material weakness in internal control over financial reporting described in Part II, Item 9A. “Controls and Procedures” in our Annual Report.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Remediation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noted in our Annual Report, we began implementing a remediation plan to address the material weakness mentioned above. The weakness will not be considered remediated until the applicable controls operate for a sufficient period of time and management has concluded, through testing, that these controls are operating effectively. We expect that the remediation of the material weakness will be completed by the end of our 2024 fiscal year.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or 15d-15(f) of the Exchange Act) that occurred during the quarter ended March 31, 2024 that have materially affected, or are reasonably likely to materially affect, the Company’s internal control over financial reporting.</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aps/>
          <w:color w:val="000000"/>
          <w:sz w:val="20"/>
        </w:rPr>
      </w:pPr>
      <w:bookmarkStart w:id="12" w:name="part_iior_information"/>
      <w:bookmarkEnd w:id="12"/>
      <w:r>
        <w:rPr>
          <w:rFonts w:ascii="Times New Roman" w:hAnsi="Times New Roman"/>
          <w:b/>
          <w:caps/>
          <w:color w:val="000000"/>
          <w:sz w:val="20"/>
        </w:rPr>
        <w:t>Part II—Other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sz w:val="20"/>
        </w:rPr>
      </w:pPr>
      <w:r>
        <w:rPr>
          <w:rFonts w:ascii="Times New Roman" w:hAnsi="Times New Roman"/>
          <w:color w:val="000000"/>
          <w:sz w:val="20"/>
        </w:rPr>
        <w:t>On November 2, 2020, PlusPass, Inc. (“</w:t>
      </w:r>
      <w:r>
        <w:rPr>
          <w:rFonts w:ascii="Times New Roman" w:hAnsi="Times New Roman"/>
          <w:b/>
          <w:i/>
          <w:color w:val="000000"/>
          <w:sz w:val="20"/>
        </w:rPr>
        <w:t>PlusPass</w:t>
      </w:r>
      <w:r>
        <w:rPr>
          <w:rFonts w:ascii="Times New Roman" w:hAnsi="Times New Roman"/>
          <w:color w:val="000000"/>
          <w:sz w:val="20"/>
        </w:rPr>
        <w:t>”) commenced an action in the United States District Court, Central District of California, against Verra Mobility, The Gores Group LLC, Platinum Equity LLC and ATS Processing Services, Inc., alleging civil violations of Section 7 of the Clayton Antitrust Act of 1914 and Sections 1 and 2 of the Sherman Act.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is presented within selling, general and administrative expenses in the consolidated statements of operations for the year ended December 31, 2023, and payment was made during the three months ended March 31, 2024.</w:t>
      </w:r>
    </w:p>
    <w:p>
      <w:pPr>
        <w:pStyle w:val="TextBody"/>
        <w:bidi w:val="0"/>
        <w:spacing w:before="360" w:after="283"/>
        <w:jc w:val="both"/>
        <w:rPr>
          <w:rFonts w:ascii="Times New Roman" w:hAnsi="Times New Roman"/>
          <w:b/>
          <w:color w:val="000000"/>
          <w:sz w:val="20"/>
        </w:rPr>
      </w:pPr>
      <w:bookmarkStart w:id="14" w:name="item_1a_risks_related_to_our_business"/>
      <w:bookmarkEnd w:id="14"/>
      <w:r>
        <w:rPr>
          <w:rFonts w:ascii="Times New Roman" w:hAnsi="Times New Roman"/>
          <w:b/>
          <w:color w:val="000000"/>
          <w:sz w:val="20"/>
        </w:rPr>
        <w:t>Item 1A.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 I, Item 1A. “Risk Factors” in our Annual Report includes a discussion of our risk factors. There have been no material changes from the risk factors described in our Annual Report. We may disclose changes to such risk factors or disclose additional risk factors from time to time in our future SEC filings.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5" w:name="item_2_sales_of_equity_securities"/>
      <w:bookmarkEnd w:id="15"/>
      <w:r>
        <w:rPr>
          <w:rFonts w:ascii="Times New Roman" w:hAnsi="Times New Roman"/>
          <w:b/>
          <w:color w:val="000000"/>
          <w:sz w:val="20"/>
        </w:rPr>
        <w:t>Item 2. Unregistered Sales of Equity Securities, Use of Proceeds, and Issuer Purchases of Equity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paid $8.1 million to repurchase 449,432 shares of our Class A Common Stock through open market transactions during fiscal year 2023, which we subsequently retired. On September 5, 2023, we used the remaining availability under the November 2022 share repurchase program for an ASR and paid approximately $91.9 million to receive an initial delivery of 4,131,551 shares of our Class A Common Stock in accordance with an ASR agreement with a third-party financial institution. The final settlement occurred on January 12, 2024, at which time, we received 534,499 additional shares calculated using a volume-weighted average price over the term of the ASR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30,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our management may deem relevant. The timing, volume and nature of repurchases are subject to market conditions, applicable securities laws and other factors and may be amended, suspended or discontinued at any time. We have not yet repurchased shares under this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details our purchases of our Class A Common Stock during the three months ended March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86"/>
        <w:gridCol w:w="146"/>
        <w:gridCol w:w="228"/>
        <w:gridCol w:w="1086"/>
        <w:gridCol w:w="146"/>
        <w:gridCol w:w="146"/>
        <w:gridCol w:w="308"/>
        <w:gridCol w:w="810"/>
        <w:gridCol w:w="146"/>
        <w:gridCol w:w="146"/>
        <w:gridCol w:w="399"/>
        <w:gridCol w:w="1903"/>
        <w:gridCol w:w="146"/>
        <w:gridCol w:w="146"/>
        <w:gridCol w:w="500"/>
        <w:gridCol w:w="2567"/>
        <w:gridCol w:w="19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Publicly Announced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December 31, 2023</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9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96"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repurchases - ASR</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January 31, 2024</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96"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repurchases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February 29, 2024</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96"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repurchases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of March 31, 2024</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9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100,000,000</w:t>
            </w:r>
          </w:p>
        </w:tc>
        <w:tc>
          <w:tcPr>
            <w:tcW w:w="196"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any sales of unregistered equity securities during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sz w:val="20"/>
        </w:rPr>
      </w:pPr>
      <w:r>
        <w:rPr>
          <w:rFonts w:ascii="Times New Roman" w:hAnsi="Times New Roman"/>
          <w:b/>
          <w:color w:val="000000"/>
          <w:sz w:val="20"/>
        </w:rPr>
        <w:t>Insider Trading Arrangements and Policies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2024, Jonathan Baldwin, Executive Vice President, Government Solutions, adopted a trading arrangement for the sale of shares of our Class A Common Stock in amounts and prices determined in accordance with such plan, as more fully described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2"/>
        <w:gridCol w:w="146"/>
        <w:gridCol w:w="766"/>
        <w:gridCol w:w="146"/>
        <w:gridCol w:w="865"/>
        <w:gridCol w:w="146"/>
        <w:gridCol w:w="794"/>
        <w:gridCol w:w="146"/>
        <w:gridCol w:w="952"/>
        <w:gridCol w:w="146"/>
        <w:gridCol w:w="2744"/>
        <w:gridCol w:w="146"/>
        <w:gridCol w:w="1166"/>
      </w:tblGrid>
      <w:tr>
        <w:trPr/>
        <w:tc>
          <w:tcPr>
            <w:tcW w:w="2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Rule 10b5-1</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 Rule 10b5-1</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 Number of Securities/Total Dollar Value to be Sold</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w:t>
            </w:r>
          </w:p>
        </w:tc>
      </w:tr>
      <w:tr>
        <w:trPr/>
        <w:tc>
          <w:tcPr>
            <w:tcW w:w="20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Jonathan Baldwin</w:t>
              <w:br/>
              <w:t>Executive Vice President, Government Solutions</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Adoption</w:t>
            </w:r>
          </w:p>
        </w:tc>
        <w:tc>
          <w:tcPr>
            <w:tcW w:w="14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14, 2024</w:t>
            </w:r>
          </w:p>
        </w:tc>
        <w:tc>
          <w:tcPr>
            <w:tcW w:w="146"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4"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up to 35,579</w:t>
            </w:r>
            <w:r>
              <w:rPr>
                <w:rFonts w:ascii="Times New Roman" w:hAnsi="Times New Roman"/>
                <w:color w:val="000000"/>
                <w:sz w:val="20"/>
              </w:rPr>
              <w:t> </w:t>
            </w:r>
            <w:r>
              <w:rPr>
                <w:rFonts w:ascii="Times New Roman" w:hAnsi="Times New Roman"/>
                <w:color w:val="000000"/>
                <w:sz w:val="16"/>
              </w:rPr>
              <w:t>shares</w:t>
            </w:r>
          </w:p>
        </w:tc>
        <w:tc>
          <w:tcPr>
            <w:tcW w:w="146"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5, 2025</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Intended to satisfy the affirmative defense conditions of Rule 10b5-1(c). </w:t>
      </w:r>
    </w:p>
    <w:p>
      <w:pPr>
        <w:pStyle w:val="TextBody"/>
        <w:bidi w:val="0"/>
        <w:jc w:val="both"/>
        <w:rPr>
          <w:rFonts w:ascii="Times New Roman" w:hAnsi="Times New Roman"/>
          <w:color w:val="000000"/>
          <w:sz w:val="20"/>
        </w:rPr>
      </w:pPr>
      <w:r>
        <w:rPr>
          <w:rFonts w:ascii="Times New Roman" w:hAnsi="Times New Roman"/>
          <w:color w:val="000000"/>
          <w:sz w:val="20"/>
        </w:rPr>
        <w:t>(2) Not intended to satisfy the affirmative defense conditions of Rule 10b5-1(c).</w:t>
      </w:r>
    </w:p>
    <w:p>
      <w:pPr>
        <w:pStyle w:val="TextBody"/>
        <w:bidi w:val="0"/>
        <w:jc w:val="both"/>
        <w:rPr>
          <w:rFonts w:ascii="Times New Roman" w:hAnsi="Times New Roman"/>
          <w:color w:val="000000"/>
          <w:sz w:val="20"/>
        </w:rPr>
      </w:pPr>
      <w:r>
        <w:rPr>
          <w:rFonts w:ascii="Times New Roman" w:hAnsi="Times New Roman"/>
          <w:color w:val="000000"/>
          <w:sz w:val="20"/>
        </w:rPr>
        <w:t>(3) Represents gross number of vested shares before tax withholding.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5731"/>
        <w:gridCol w:w="526"/>
        <w:gridCol w:w="683"/>
        <w:gridCol w:w="646"/>
        <w:gridCol w:w="1037"/>
        <w:gridCol w:w="843"/>
      </w:tblGrid>
      <w:tr>
        <w:trPr/>
        <w:tc>
          <w:tcPr>
            <w:tcW w:w="739"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39" w:type="dxa"/>
            <w:tcBorders/>
            <w:vAlign w:val="center"/>
          </w:tcPr>
          <w:p>
            <w:pPr>
              <w:pStyle w:val="TableContents"/>
              <w:bidi w:val="0"/>
              <w:spacing w:before="0" w:after="283"/>
              <w:ind w:left="0" w:right="15" w:hanging="0"/>
              <w:jc w:val="center"/>
              <w:rPr/>
            </w:pPr>
            <w:r>
              <w:rPr/>
              <w:t> </w:t>
            </w:r>
          </w:p>
        </w:tc>
        <w:tc>
          <w:tcPr>
            <w:tcW w:w="5731" w:type="dxa"/>
            <w:tcBorders/>
            <w:vAlign w:val="center"/>
          </w:tcPr>
          <w:p>
            <w:pPr>
              <w:pStyle w:val="TableContents"/>
              <w:bidi w:val="0"/>
              <w:spacing w:before="0" w:after="283"/>
              <w:ind w:left="0" w:right="15" w:hanging="0"/>
              <w:jc w:val="center"/>
              <w:rPr/>
            </w:pPr>
            <w:r>
              <w:rPr/>
              <w:t> </w:t>
            </w:r>
          </w:p>
        </w:tc>
        <w:tc>
          <w:tcPr>
            <w:tcW w:w="2892" w:type="dxa"/>
            <w:gridSpan w:val="4"/>
            <w:tcBorders/>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Incorporated by Reference</w:t>
            </w:r>
          </w:p>
        </w:tc>
        <w:tc>
          <w:tcPr>
            <w:tcW w:w="843" w:type="dxa"/>
            <w:tcBorders/>
            <w:vAlign w:val="center"/>
          </w:tcPr>
          <w:p>
            <w:pPr>
              <w:pStyle w:val="TableContents"/>
              <w:bidi w:val="0"/>
              <w:spacing w:before="0" w:after="283"/>
              <w:ind w:left="0" w:right="15" w:hanging="0"/>
              <w:jc w:val="center"/>
              <w:rPr/>
            </w:pPr>
            <w:r>
              <w:rPr/>
              <w:t> </w:t>
            </w:r>
          </w:p>
        </w:tc>
      </w:tr>
      <w:tr>
        <w:trPr/>
        <w:tc>
          <w:tcPr>
            <w:tcW w:w="739"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Number</w:t>
            </w:r>
          </w:p>
        </w:tc>
        <w:tc>
          <w:tcPr>
            <w:tcW w:w="5731"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Description</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Form</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File No.</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Exhibit</w:t>
            </w:r>
          </w:p>
        </w:tc>
        <w:tc>
          <w:tcPr>
            <w:tcW w:w="1037" w:type="dxa"/>
            <w:tcBorders>
              <w:bottom w:val="single" w:sz="4" w:space="0" w:color="000000"/>
            </w:tcBorders>
            <w:tcMar>
              <w:top w:w="0" w:type="dxa"/>
              <w:left w:w="0" w:type="dxa"/>
              <w:right w:w="0" w:type="dxa"/>
            </w:tcMar>
            <w:vAlign w:val="center"/>
          </w:tcPr>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Filing Date</w:t>
            </w:r>
          </w:p>
        </w:tc>
        <w:tc>
          <w:tcPr>
            <w:tcW w:w="843" w:type="dxa"/>
            <w:tcBorders>
              <w:bottom w:val="single" w:sz="4" w:space="0" w:color="000000"/>
            </w:tcBorders>
            <w:tcMar>
              <w:top w:w="0" w:type="dxa"/>
              <w:left w:w="0" w:type="dxa"/>
              <w:right w:w="0" w:type="dxa"/>
            </w:tcMar>
            <w:vAlign w:val="center"/>
          </w:tcPr>
          <w:p>
            <w:pPr>
              <w:pStyle w:val="TableContents"/>
              <w:bidi w:val="0"/>
              <w:ind w:left="0" w:right="15" w:hanging="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15" w:hanging="0"/>
              <w:jc w:val="center"/>
              <w:rPr>
                <w:rFonts w:ascii="Times New Roman" w:hAnsi="Times New Roman"/>
                <w:b/>
                <w:color w:val="000000"/>
                <w:sz w:val="16"/>
              </w:rPr>
            </w:pPr>
            <w:r>
              <w:rPr>
                <w:rFonts w:ascii="Times New Roman" w:hAnsi="Times New Roman"/>
                <w:b/>
                <w:color w:val="000000"/>
                <w:sz w:val="16"/>
              </w:rPr>
              <w:t>Herewith</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w:t>
            </w:r>
          </w:p>
        </w:tc>
        <w:tc>
          <w:tcPr>
            <w:tcW w:w="5731" w:type="dxa"/>
            <w:tcBorders/>
            <w:vAlign w:val="center"/>
          </w:tcPr>
          <w:p>
            <w:pPr>
              <w:pStyle w:val="TableContents"/>
              <w:bidi w:val="0"/>
              <w:spacing w:before="0" w:after="100"/>
              <w:jc w:val="both"/>
              <w:rPr/>
            </w:pPr>
            <w:hyperlink r:id="rId2">
              <w:r>
                <w:rPr>
                  <w:rStyle w:val="InternetLink"/>
                  <w:rFonts w:ascii="Times New Roman" w:hAnsi="Times New Roman"/>
                  <w:color w:val="0000FF"/>
                  <w:sz w:val="20"/>
                  <w:u w:val="single"/>
                </w:rPr>
                <w:t>Second Amended and Restated Certificate of Incorporation of Verra Mobility Corporation.</w:t>
              </w:r>
            </w:hyperlink>
          </w:p>
        </w:tc>
        <w:tc>
          <w:tcPr>
            <w:tcW w:w="52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68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4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037"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October 22, 2018</w:t>
            </w:r>
          </w:p>
        </w:tc>
        <w:tc>
          <w:tcPr>
            <w:tcW w:w="843" w:type="dxa"/>
            <w:tcBorders/>
            <w:vAlign w:val="center"/>
          </w:tcPr>
          <w:p>
            <w:pPr>
              <w:pStyle w:val="TableContents"/>
              <w:bidi w:val="0"/>
              <w:spacing w:before="0" w:after="100"/>
              <w:jc w:val="center"/>
              <w:rPr/>
            </w:pPr>
            <w:r>
              <w:rPr/>
              <w:t> </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w:t>
            </w:r>
          </w:p>
        </w:tc>
        <w:tc>
          <w:tcPr>
            <w:tcW w:w="5731" w:type="dxa"/>
            <w:tcBorders/>
            <w:vAlign w:val="center"/>
          </w:tcPr>
          <w:p>
            <w:pPr>
              <w:pStyle w:val="TableContents"/>
              <w:bidi w:val="0"/>
              <w:spacing w:before="0" w:after="100"/>
              <w:jc w:val="both"/>
              <w:rPr/>
            </w:pPr>
            <w:hyperlink r:id="rId3">
              <w:r>
                <w:rPr>
                  <w:rStyle w:val="InternetLink"/>
                  <w:rFonts w:ascii="Times New Roman" w:hAnsi="Times New Roman"/>
                  <w:color w:val="0000FF"/>
                  <w:sz w:val="20"/>
                  <w:u w:val="single"/>
                </w:rPr>
                <w:t>Amended and Restated Bylaws of Verra Mobility Corporation.</w:t>
              </w:r>
            </w:hyperlink>
          </w:p>
        </w:tc>
        <w:tc>
          <w:tcPr>
            <w:tcW w:w="52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68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4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037"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November 9, 2023</w:t>
            </w:r>
          </w:p>
        </w:tc>
        <w:tc>
          <w:tcPr>
            <w:tcW w:w="843" w:type="dxa"/>
            <w:tcBorders/>
            <w:vAlign w:val="center"/>
          </w:tcPr>
          <w:p>
            <w:pPr>
              <w:pStyle w:val="TableContents"/>
              <w:bidi w:val="0"/>
              <w:spacing w:before="0" w:after="100"/>
              <w:jc w:val="center"/>
              <w:rPr/>
            </w:pPr>
            <w:r>
              <w:rPr/>
              <w:t> </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w:t>
            </w:r>
          </w:p>
        </w:tc>
        <w:tc>
          <w:tcPr>
            <w:tcW w:w="5731" w:type="dxa"/>
            <w:tcBorders/>
            <w:vAlign w:val="center"/>
          </w:tcPr>
          <w:p>
            <w:pPr>
              <w:pStyle w:val="TableContents"/>
              <w:bidi w:val="0"/>
              <w:spacing w:before="0" w:after="100"/>
              <w:jc w:val="both"/>
              <w:rPr/>
            </w:pPr>
            <w:hyperlink r:id="rId4">
              <w:r>
                <w:rPr>
                  <w:rStyle w:val="InternetLink"/>
                  <w:rFonts w:ascii="Times New Roman" w:hAnsi="Times New Roman"/>
                  <w:color w:val="0000FF"/>
                  <w:sz w:val="20"/>
                  <w:u w:val="single"/>
                </w:rPr>
                <w:t>Amendment No. 3 to Amendment and Restatement Agreement No. 1 to First Lien Term Loan Credit Agreement, dated as of March 26, 2021, by and among Greenlight Acquisition Corporation, VM Consolidated, Inc., American Traffic Solutions, Inc., Lasercraft, Inc. the subsidiary guarantors party thereto, the lenders party thereto and Bank of America, N.A., as Administrative Agent and Collateral Agent.</w:t>
              </w:r>
            </w:hyperlink>
          </w:p>
        </w:tc>
        <w:tc>
          <w:tcPr>
            <w:tcW w:w="52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68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46"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w:t>
            </w:r>
          </w:p>
        </w:tc>
        <w:tc>
          <w:tcPr>
            <w:tcW w:w="1037"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February 8, 2024</w:t>
            </w:r>
          </w:p>
        </w:tc>
        <w:tc>
          <w:tcPr>
            <w:tcW w:w="843" w:type="dxa"/>
            <w:tcBorders/>
            <w:vAlign w:val="center"/>
          </w:tcPr>
          <w:p>
            <w:pPr>
              <w:pStyle w:val="TableContents"/>
              <w:bidi w:val="0"/>
              <w:spacing w:before="0" w:after="100"/>
              <w:jc w:val="center"/>
              <w:rPr/>
            </w:pPr>
            <w:r>
              <w:rPr/>
              <w:t> </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31.1</w:t>
            </w:r>
          </w:p>
        </w:tc>
        <w:tc>
          <w:tcPr>
            <w:tcW w:w="5731" w:type="dxa"/>
            <w:tcBorders/>
            <w:vAlign w:val="center"/>
          </w:tcPr>
          <w:p>
            <w:pPr>
              <w:pStyle w:val="TableContents"/>
              <w:bidi w:val="0"/>
              <w:spacing w:before="0" w:after="100"/>
              <w:jc w:val="both"/>
              <w:rPr/>
            </w:pPr>
            <w:hyperlink w:anchor="vrrm-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31.2</w:t>
            </w:r>
          </w:p>
        </w:tc>
        <w:tc>
          <w:tcPr>
            <w:tcW w:w="5731" w:type="dxa"/>
            <w:tcBorders/>
            <w:vAlign w:val="center"/>
          </w:tcPr>
          <w:p>
            <w:pPr>
              <w:pStyle w:val="TableContents"/>
              <w:bidi w:val="0"/>
              <w:spacing w:before="0" w:after="100"/>
              <w:jc w:val="both"/>
              <w:rPr/>
            </w:pPr>
            <w:hyperlink w:anchor="vrrm-ex31_2.htm">
              <w:r>
                <w:rPr>
                  <w:rStyle w:val="InternetLink"/>
                  <w:rFonts w:ascii="Times New Roman" w:hAnsi="Times New Roman"/>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32.1*</w:t>
            </w:r>
          </w:p>
        </w:tc>
        <w:tc>
          <w:tcPr>
            <w:tcW w:w="5731" w:type="dxa"/>
            <w:tcBorders/>
            <w:vAlign w:val="center"/>
          </w:tcPr>
          <w:p>
            <w:pPr>
              <w:pStyle w:val="TableContents"/>
              <w:bidi w:val="0"/>
              <w:spacing w:before="0" w:after="100"/>
              <w:jc w:val="both"/>
              <w:rPr/>
            </w:pPr>
            <w:hyperlink w:anchor="vrr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32.2*</w:t>
            </w:r>
          </w:p>
        </w:tc>
        <w:tc>
          <w:tcPr>
            <w:tcW w:w="5731" w:type="dxa"/>
            <w:tcBorders/>
            <w:vAlign w:val="center"/>
          </w:tcPr>
          <w:p>
            <w:pPr>
              <w:pStyle w:val="TableContents"/>
              <w:bidi w:val="0"/>
              <w:spacing w:before="0" w:after="100"/>
              <w:jc w:val="both"/>
              <w:rPr/>
            </w:pPr>
            <w:hyperlink w:anchor="vrr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101.INS</w:t>
            </w:r>
          </w:p>
        </w:tc>
        <w:tc>
          <w:tcPr>
            <w:tcW w:w="5731" w:type="dxa"/>
            <w:tcBorders/>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Inline XBRL Instance Document (the instance does not appear in the Interactive Data File because its XBRL tags are embedded within the Inline XBRL document).</w:t>
            </w:r>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101.SCH</w:t>
            </w:r>
          </w:p>
        </w:tc>
        <w:tc>
          <w:tcPr>
            <w:tcW w:w="57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39" w:type="dxa"/>
            <w:tcBorders/>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104</w:t>
            </w:r>
          </w:p>
        </w:tc>
        <w:tc>
          <w:tcPr>
            <w:tcW w:w="5731" w:type="dxa"/>
            <w:tcBorders/>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6" w:type="dxa"/>
            <w:tcBorders/>
            <w:vAlign w:val="center"/>
          </w:tcPr>
          <w:p>
            <w:pPr>
              <w:pStyle w:val="TableContents"/>
              <w:bidi w:val="0"/>
              <w:spacing w:before="0" w:after="100"/>
              <w:jc w:val="center"/>
              <w:rPr/>
            </w:pPr>
            <w:r>
              <w:rPr/>
              <w:t> </w:t>
            </w:r>
          </w:p>
        </w:tc>
        <w:tc>
          <w:tcPr>
            <w:tcW w:w="683" w:type="dxa"/>
            <w:tcBorders/>
            <w:vAlign w:val="center"/>
          </w:tcPr>
          <w:p>
            <w:pPr>
              <w:pStyle w:val="TableContents"/>
              <w:bidi w:val="0"/>
              <w:spacing w:before="0" w:after="100"/>
              <w:jc w:val="center"/>
              <w:rPr/>
            </w:pPr>
            <w:r>
              <w:rPr/>
              <w:t> </w:t>
            </w:r>
          </w:p>
        </w:tc>
        <w:tc>
          <w:tcPr>
            <w:tcW w:w="646" w:type="dxa"/>
            <w:tcBorders/>
            <w:vAlign w:val="center"/>
          </w:tcPr>
          <w:p>
            <w:pPr>
              <w:pStyle w:val="TableContents"/>
              <w:bidi w:val="0"/>
              <w:spacing w:before="0" w:after="100"/>
              <w:jc w:val="center"/>
              <w:rPr/>
            </w:pPr>
            <w:r>
              <w:rPr/>
              <w:t> </w:t>
            </w:r>
          </w:p>
        </w:tc>
        <w:tc>
          <w:tcPr>
            <w:tcW w:w="1037" w:type="dxa"/>
            <w:tcBorders/>
            <w:vAlign w:val="center"/>
          </w:tcPr>
          <w:p>
            <w:pPr>
              <w:pStyle w:val="TableContents"/>
              <w:bidi w:val="0"/>
              <w:spacing w:before="0" w:after="100"/>
              <w:jc w:val="center"/>
              <w:rPr/>
            </w:pPr>
            <w:r>
              <w:rPr/>
              <w:t> </w:t>
            </w:r>
          </w:p>
        </w:tc>
        <w:tc>
          <w:tcPr>
            <w:tcW w:w="843" w:type="dxa"/>
            <w:tcBorders/>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10205" w:type="dxa"/>
            <w:gridSpan w:val="7"/>
            <w:tcBorders/>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0" w:name="signatures"/>
      <w:bookmarkEnd w:id="20"/>
      <w:r>
        <w:rPr>
          <w:rFonts w:ascii="Times New Roman" w:hAnsi="Times New Roman"/>
          <w:b/>
          <w:caps/>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846" w:type="dxa"/>
        <w:jc w:val="left"/>
        <w:tblInd w:w="0" w:type="dxa"/>
        <w:tblLayout w:type="fixed"/>
        <w:tblCellMar>
          <w:top w:w="28" w:type="dxa"/>
          <w:left w:w="28" w:type="dxa"/>
          <w:bottom w:w="28" w:type="dxa"/>
          <w:right w:w="28" w:type="dxa"/>
        </w:tblCellMar>
      </w:tblPr>
      <w:tblGrid>
        <w:gridCol w:w="1636"/>
        <w:gridCol w:w="461"/>
        <w:gridCol w:w="2749"/>
      </w:tblGrid>
      <w:tr>
        <w:trPr/>
        <w:tc>
          <w:tcPr>
            <w:tcW w:w="163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210" w:type="dxa"/>
            <w:gridSpan w:val="2"/>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2024</w:t>
            </w:r>
          </w:p>
        </w:tc>
        <w:tc>
          <w:tcPr>
            <w:tcW w:w="4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9" w:type="dxa"/>
            <w:tcBorders/>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/s/ Craig Conti</w:t>
            </w:r>
          </w:p>
        </w:tc>
      </w:tr>
      <w:tr>
        <w:trPr/>
        <w:tc>
          <w:tcPr>
            <w:tcW w:w="1636"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Craig Conti</w:t>
            </w:r>
          </w:p>
        </w:tc>
      </w:tr>
      <w:tr>
        <w:trPr/>
        <w:tc>
          <w:tcPr>
            <w:tcW w:w="1636" w:type="dxa"/>
            <w:tcBorders/>
            <w:vAlign w:val="center"/>
          </w:tcPr>
          <w:p>
            <w:pPr>
              <w:pStyle w:val="TableContents"/>
              <w:bidi w:val="0"/>
              <w:spacing w:before="0" w:after="283"/>
              <w:ind w:left="0" w:right="0" w:firstLine="144"/>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36"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2749"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1" w:name="vrrm-ex31_1.htm"/>
      <w:bookmarkStart w:id="22" w:name="ksvrrm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David Roberts,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pPr>
      <w:r>
        <w:rPr>
          <w:rFonts w:ascii="Times New Roman" w:hAnsi="Times New Roman"/>
          <w:color w:val="000000"/>
          <w:sz w:val="20"/>
        </w:rPr>
        <w:t>I have reviewed this Quarterly Report on Form 10-Q (“</w:t>
      </w:r>
      <w:r>
        <w:rPr>
          <w:rFonts w:ascii="Times New Roman" w:hAnsi="Times New Roman"/>
          <w:b/>
          <w:i/>
          <w:color w:val="000000"/>
          <w:sz w:val="20"/>
        </w:rPr>
        <w:t>Quarterly Report</w:t>
      </w:r>
      <w:r>
        <w:rPr>
          <w:color w:val="000000"/>
        </w:rPr>
        <w:t>”</w:t>
      </w:r>
      <w:r>
        <w:rPr>
          <w:rFonts w:ascii="Times New Roman" w:hAnsi="Times New Roman"/>
          <w:color w:val="000000"/>
          <w:sz w:val="20"/>
        </w:rPr>
        <w:t>)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1741"/>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vrrm-ex31_2.htm"/>
      <w:bookmarkStart w:id="24" w:name="ksvrrm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Craig Conti,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pPr>
      <w:r>
        <w:rPr>
          <w:rFonts w:ascii="Times New Roman" w:hAnsi="Times New Roman"/>
          <w:color w:val="000000"/>
          <w:sz w:val="20"/>
        </w:rPr>
        <w:t>I have reviewed this Quarterly Report on Form 10-Q (“</w:t>
      </w:r>
      <w:r>
        <w:rPr>
          <w:rFonts w:ascii="Times New Roman" w:hAnsi="Times New Roman"/>
          <w:b/>
          <w:i/>
          <w:color w:val="000000"/>
          <w:sz w:val="20"/>
        </w:rPr>
        <w:t>Quarterly Report</w:t>
      </w:r>
      <w:r>
        <w:rPr>
          <w:color w:val="000000"/>
        </w:rPr>
        <w:t>”</w:t>
      </w:r>
      <w:r>
        <w:rPr>
          <w:rFonts w:ascii="Times New Roman" w:hAnsi="Times New Roman"/>
          <w:color w:val="000000"/>
          <w:sz w:val="20"/>
        </w:rPr>
        <w:t>)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4" w:type="dxa"/>
        <w:jc w:val="left"/>
        <w:tblInd w:w="0" w:type="dxa"/>
        <w:tblLayout w:type="fixed"/>
        <w:tblCellMar>
          <w:top w:w="28" w:type="dxa"/>
          <w:left w:w="28" w:type="dxa"/>
          <w:bottom w:w="28" w:type="dxa"/>
          <w:right w:w="28" w:type="dxa"/>
        </w:tblCellMar>
      </w:tblPr>
      <w:tblGrid>
        <w:gridCol w:w="1741"/>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vrrm-ex32_1.htm"/>
      <w:bookmarkStart w:id="26" w:name="ksvrrm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periodic report of Verra Mobility Corporation (the “</w:t>
      </w:r>
      <w:r>
        <w:rPr>
          <w:rFonts w:ascii="Times New Roman" w:hAnsi="Times New Roman"/>
          <w:b/>
          <w:i/>
          <w:color w:val="000000"/>
          <w:sz w:val="20"/>
        </w:rPr>
        <w:t>Company</w:t>
      </w:r>
      <w:r>
        <w:rPr>
          <w:rFonts w:ascii="Times New Roman" w:hAnsi="Times New Roman"/>
          <w:color w:val="000000"/>
          <w:sz w:val="20"/>
        </w:rPr>
        <w:t>”) on Form 10-Q for the period ended March 31, 2024 as filed with the Securities and Exchange Commission (the “</w:t>
      </w:r>
      <w:r>
        <w:rPr>
          <w:rFonts w:ascii="Times New Roman" w:hAnsi="Times New Roman"/>
          <w:b/>
          <w:i/>
          <w:color w:val="000000"/>
          <w:sz w:val="20"/>
        </w:rPr>
        <w:t>Report</w:t>
      </w:r>
      <w:r>
        <w:rPr>
          <w:rFonts w:ascii="Times New Roman" w:hAnsi="Times New Roman"/>
          <w:color w:val="000000"/>
          <w:sz w:val="20"/>
        </w:rPr>
        <w:t>”), I, David Roberts, President and Chief Executive Officer of the Company, hereby certify as of the date hereof, solely for purposes of Title 18, Chapter 63, Section 1350 of the United States Code,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Certification has not been, and shall not be deemed, “filed” with the Securities and Exchange Commission.</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1741"/>
        <w:gridCol w:w="406"/>
        <w:gridCol w:w="14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Roberts</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Roberts</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vrrm-ex32_2.htm"/>
      <w:bookmarkStart w:id="28" w:name="ksvrrm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periodic report of Verra Mobility Corporation (the “</w:t>
      </w:r>
      <w:r>
        <w:rPr>
          <w:rFonts w:ascii="Times New Roman" w:hAnsi="Times New Roman"/>
          <w:b/>
          <w:i/>
          <w:color w:val="000000"/>
          <w:sz w:val="20"/>
        </w:rPr>
        <w:t>Company</w:t>
      </w:r>
      <w:r>
        <w:rPr>
          <w:rFonts w:ascii="Times New Roman" w:hAnsi="Times New Roman"/>
          <w:color w:val="000000"/>
          <w:sz w:val="20"/>
        </w:rPr>
        <w:t>”) on Form 10-Q for the period ended March 31, 2024 as filed with the Securities and Exchange Commission (the “</w:t>
      </w:r>
      <w:r>
        <w:rPr>
          <w:rFonts w:ascii="Times New Roman" w:hAnsi="Times New Roman"/>
          <w:b/>
          <w:i/>
          <w:color w:val="000000"/>
          <w:sz w:val="20"/>
        </w:rPr>
        <w:t>Report</w:t>
      </w:r>
      <w:r>
        <w:rPr>
          <w:rFonts w:ascii="Times New Roman" w:hAnsi="Times New Roman"/>
          <w:color w:val="000000"/>
          <w:sz w:val="20"/>
        </w:rPr>
        <w:t>”), I, Craig Conti, Chief Financial Officer of the Company, hereby certify as of the date hereof, solely for purposes of Title 18, Chapter 63, Section 1350 of the United States Code,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at the dates and for the periods indicated.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Certification has not been, and shall not be deemed, “filed” with the Securities and Exchange Commission.</w:t>
      </w:r>
    </w:p>
    <w:p>
      <w:pPr>
        <w:pStyle w:val="TextBody"/>
        <w:bidi w:val="0"/>
        <w:jc w:val="left"/>
        <w:rPr/>
      </w:pPr>
      <w:r>
        <w:rPr/>
        <w:t> </w:t>
      </w:r>
    </w:p>
    <w:tbl>
      <w:tblPr>
        <w:tblW w:w="4304" w:type="dxa"/>
        <w:jc w:val="left"/>
        <w:tblInd w:w="0" w:type="dxa"/>
        <w:tblLayout w:type="fixed"/>
        <w:tblCellMar>
          <w:top w:w="28" w:type="dxa"/>
          <w:left w:w="28" w:type="dxa"/>
          <w:bottom w:w="28" w:type="dxa"/>
          <w:right w:w="28" w:type="dxa"/>
        </w:tblCellMar>
      </w:tblPr>
      <w:tblGrid>
        <w:gridCol w:w="1741"/>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2,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74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2745/000156459018024644/vrrm-ex31_941.htm" TargetMode="External"/><Relationship Id="rId3" Type="http://schemas.openxmlformats.org/officeDocument/2006/relationships/hyperlink" Target="https://www.sec.gov/ix?doc=/Archives/edgar/data/1682745/000095017024023271/vrrm-20231231.htm" TargetMode="External"/><Relationship Id="rId4" Type="http://schemas.openxmlformats.org/officeDocument/2006/relationships/hyperlink" Target="https://www.sec.gov/ix?doc=/Archives/edgar/data/1682745/000095017024012765/vrrm-20240208.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17816</Words>
  <Characters>97715</Characters>
  <CharactersWithSpaces>116720</CharactersWithSpaces>
  <Paragraphs>6159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