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Patel Hiten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2046 RIVERVIEW AUTO DRIVE, SUITE 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MESA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VERRA MOBILITY Corp</w:t>
              </w:r>
            </w:hyperlink>
            <w:r>
              <w:rPr/>
              <w:t xml:space="preserve"> [ </w:t>
            </w:r>
            <w:r>
              <w:rPr>
                <w:rFonts w:ascii="Times;serif" w:hAnsi="Times;serif"/>
                <w:color w:val="0000FF"/>
                <w:sz w:val="24"/>
                <w:shd w:fill="FFFFFF" w:val="clear"/>
              </w:rPr>
              <w:t>VRRM</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08/09/2026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3,184</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6,666</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08/09/2026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1,347</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5,319</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08/09/2026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6,325</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Verra Mobility Corporation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9, 2024, the Reporting Person was granted restricted stock units, vesting in two (2) equal annual installments beginning on August 9, 2025, subject to the Reporting Person's continued service with the Issuer through each such vesting date. Vested shares will be delivered to the Reporting Person on each settlement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9, 2024, the Reporting Person was granted restricted stock units, vesting in four (4) equal annual installments beginning on August 9, 2025, subject to the Reporting Person's continued service with the Issuer through each such vesting date. Vested shares will be delivered to the Reporting Person on each settlement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Hiten M. Patel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4498" TargetMode="External"/><Relationship Id="rId5" Type="http://schemas.openxmlformats.org/officeDocument/2006/relationships/hyperlink" Target="http://www.sec.gov/cgi-bin/browse-edgar?action=getcompany&amp;CIK=00016827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4019</Characters>
  <CharactersWithSpaces>4663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