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60805.htm"/>
      <w:bookmarkStart w:id="1" w:name="ksvrrm20260805"/>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5223" w:type="dxa"/>
        <w:jc w:val="left"/>
        <w:tblInd w:w="0" w:type="dxa"/>
        <w:tblLayout w:type="fixed"/>
        <w:tblCellMar>
          <w:top w:w="28" w:type="dxa"/>
          <w:left w:w="28" w:type="dxa"/>
          <w:bottom w:w="28" w:type="dxa"/>
          <w:right w:w="28" w:type="dxa"/>
        </w:tblCellMar>
      </w:tblPr>
      <w:tblGrid>
        <w:gridCol w:w="2356"/>
        <w:gridCol w:w="1201"/>
        <w:gridCol w:w="1666"/>
      </w:tblGrid>
      <w:tr>
        <w:trPr/>
        <w:tc>
          <w:tcPr>
            <w:tcW w:w="235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1-37979</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81-3563824</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 xml:space="preserve">State or other jurisdiction </w:t>
              <w:br/>
              <w:t>of incorporation</w:t>
            </w:r>
            <w:r>
              <w:rPr>
                <w:rFonts w:ascii="Times New Roman" w:hAnsi="Times New Roman"/>
                <w:color w:val="000000"/>
                <w:sz w:val="20"/>
              </w:rPr>
              <w:t xml:space="preserve">)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 xml:space="preserve">Commission </w:t>
              <w:br/>
              <w:t>File Number</w:t>
            </w:r>
            <w:r>
              <w:rPr>
                <w:rFonts w:ascii="Times New Roman" w:hAnsi="Times New Roman"/>
                <w:color w:val="000000"/>
                <w:sz w:val="20"/>
              </w:rPr>
              <w:t>)</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 xml:space="preserve">IRS Employer </w:t>
              <w:br/>
              <w:t>Identification No.</w:t>
            </w:r>
            <w:r>
              <w:rPr>
                <w:rFonts w:ascii="Times New Roman" w:hAnsi="Times New Roman"/>
                <w:color w:val="000000"/>
                <w:sz w:val="20"/>
              </w:rPr>
              <w:t>)</w:t>
            </w:r>
          </w:p>
        </w:tc>
      </w:tr>
    </w:tbl>
    <w:p>
      <w:pPr>
        <w:pStyle w:val="TextBody"/>
        <w:bidi w:val="0"/>
        <w:jc w:val="left"/>
        <w:rPr/>
      </w:pPr>
      <w:r>
        <w:rPr/>
        <w:t> </w:t>
      </w:r>
    </w:p>
    <w:tbl>
      <w:tblPr>
        <w:tblW w:w="4322" w:type="dxa"/>
        <w:jc w:val="left"/>
        <w:tblInd w:w="0" w:type="dxa"/>
        <w:tblLayout w:type="fixed"/>
        <w:tblCellMar>
          <w:top w:w="28" w:type="dxa"/>
          <w:left w:w="28" w:type="dxa"/>
          <w:bottom w:w="28" w:type="dxa"/>
          <w:right w:w="28" w:type="dxa"/>
        </w:tblCellMar>
      </w:tblPr>
      <w:tblGrid>
        <w:gridCol w:w="3301"/>
        <w:gridCol w:w="1021"/>
      </w:tblGrid>
      <w:tr>
        <w:trPr/>
        <w:tc>
          <w:tcPr>
            <w:tcW w:w="330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2046 Riverview Auto Drive, Suite 300</w:t>
              <w:br/>
              <w:t>Mesa, Arizona</w:t>
              <w:br/>
            </w:r>
            <w:r>
              <w:rPr>
                <w:rFonts w:ascii="Times New Roman" w:hAnsi="Times New Roman"/>
                <w:color w:val="000000"/>
                <w:sz w:val="20"/>
              </w:rPr>
              <w:t>(</w:t>
            </w:r>
            <w:r>
              <w:rPr>
                <w:rFonts w:ascii="Times New Roman" w:hAnsi="Times New Roman"/>
                <w:i/>
                <w:color w:val="000000"/>
                <w:sz w:val="20"/>
              </w:rPr>
              <w:t>Address of principal executive offices</w:t>
            </w:r>
            <w:r>
              <w:rPr>
                <w:rFonts w:ascii="Times New Roman" w:hAnsi="Times New Roman"/>
                <w:color w:val="000000"/>
                <w:sz w:val="20"/>
              </w:rPr>
              <w:t>)</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85201</w:t>
              <w:br/>
            </w:r>
            <w:r>
              <w:rPr>
                <w:rFonts w:ascii="Times New Roman" w:hAnsi="Times New Roman"/>
                <w:color w:val="000000"/>
                <w:sz w:val="20"/>
              </w:rPr>
              <w:t>(</w:t>
            </w:r>
            <w:r>
              <w:rPr>
                <w:rFonts w:ascii="Times New Roman" w:hAnsi="Times New Roman"/>
                <w:i/>
                <w:color w:val="000000"/>
                <w:sz w:val="20"/>
              </w:rPr>
              <w:t>Zip Code</w:t>
            </w:r>
            <w:r>
              <w:rPr>
                <w:rFonts w:ascii="Times New Roman" w:hAnsi="Times New Roman"/>
                <w:color w:val="000000"/>
                <w:sz w:val="20"/>
              </w:rPr>
              <w:t>)</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(480) 443-7000</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Registrant’s telephone number, including area code</w:t>
      </w:r>
      <w:r>
        <w:rPr>
          <w:rFonts w:ascii="Times New Roman" w:hAnsi="Times New Roman"/>
          <w:color w:val="000000"/>
          <w:sz w:val="20"/>
        </w:rPr>
        <w:t>)</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Former name or former address, if changed since last report</w:t>
      </w:r>
      <w:r>
        <w:rPr>
          <w:rFonts w:ascii="Times New Roman" w:hAnsi="Times New Roman"/>
          <w:color w:val="000000"/>
          <w:sz w:val="20"/>
        </w:rPr>
        <w:t>)</w:t>
      </w:r>
    </w:p>
    <w:p>
      <w:pPr>
        <w:pStyle w:val="TextBody"/>
        <w:pBdr>
          <w:bottom w:val="single" w:sz="4" w:space="1" w:color="000000"/>
        </w:pBdr>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Check the appropriate box below if the Form 8-K is intended to simultaneously satisfy the filing obligation of the registrant under any of the following provisions:</w:t>
      </w:r>
    </w:p>
    <w:p>
      <w:pPr>
        <w:pStyle w:val="TextBody"/>
        <w:bidi w:val="0"/>
        <w:spacing w:before="20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145" w:type="dxa"/>
        <w:jc w:val="left"/>
        <w:tblInd w:w="0" w:type="dxa"/>
        <w:tblLayout w:type="fixed"/>
        <w:tblCellMar>
          <w:top w:w="28" w:type="dxa"/>
          <w:left w:w="28" w:type="dxa"/>
          <w:bottom w:w="28" w:type="dxa"/>
          <w:right w:w="28" w:type="dxa"/>
        </w:tblCellMar>
      </w:tblPr>
      <w:tblGrid>
        <w:gridCol w:w="4081"/>
        <w:gridCol w:w="146"/>
        <w:gridCol w:w="1366"/>
        <w:gridCol w:w="146"/>
        <w:gridCol w:w="340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40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i/>
                <w:color w:val="000000"/>
                <w:sz w:val="18"/>
              </w:rPr>
            </w:pPr>
            <w:r>
              <w:rPr>
                <w:rFonts w:ascii="Times New Roman" w:hAnsi="Times New Roman"/>
                <w:i/>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i/>
                <w:color w:val="000000"/>
                <w:sz w:val="18"/>
              </w:rPr>
            </w:pPr>
            <w:r>
              <w:rPr>
                <w:rFonts w:ascii="Times New Roman" w:hAnsi="Times New Roman"/>
                <w:i/>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0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i/>
                <w:color w:val="000000"/>
                <w:sz w:val="18"/>
              </w:rPr>
            </w:pPr>
            <w:r>
              <w:rPr>
                <w:rFonts w:ascii="Times New Roman" w:hAnsi="Times New Roman"/>
                <w:i/>
                <w:color w:val="000000"/>
                <w:sz w:val="18"/>
              </w:rPr>
              <w:t>(Name of each exchange on which registered)</w:t>
            </w:r>
          </w:p>
        </w:tc>
      </w:tr>
      <w:tr>
        <w:trPr/>
        <w:tc>
          <w:tcPr>
            <w:tcW w:w="40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VRRM</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0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Nasdaq Capital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pPr>
      <w:r>
        <w:rPr>
          <w:color w:val="000000"/>
        </w:rPr>
        <w:t xml:space="preserve">☐ </w:t>
      </w:r>
      <w:r>
        <w:rPr>
          <w:rFonts w:ascii="Times New Roman" w:hAnsi="Times New Roman"/>
          <w:color w:val="000000"/>
          <w:sz w:val="20"/>
        </w:rPr>
        <w:t xml:space="preserve">Emerging growth company </w:t>
      </w:r>
    </w:p>
    <w:p>
      <w:pPr>
        <w:pStyle w:val="TextBody"/>
        <w:bidi w:val="0"/>
        <w:jc w:val="both"/>
        <w:rPr>
          <w:color w:val="000000"/>
        </w:rPr>
      </w:pPr>
      <w:r>
        <w:rPr>
          <w:color w:val="000000"/>
        </w:rPr>
        <w:t xml:space="preserve">☐ </w:t>
      </w: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jc w:val="both"/>
        <w:rPr/>
      </w:pPr>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both"/>
        <w:rPr>
          <w:rFonts w:ascii="Times New Roman" w:hAnsi="Times New Roman"/>
          <w:sz w:val="20"/>
        </w:rPr>
      </w:pPr>
      <w:r>
        <w:rPr>
          <w:rFonts w:ascii="Times New Roman" w:hAnsi="Times New Roman"/>
          <w:color w:val="000000"/>
          <w:sz w:val="20"/>
        </w:rPr>
        <w:t>On August 5, 2026, Verra Mobility Corporation (the “</w:t>
      </w:r>
      <w:r>
        <w:rPr>
          <w:rFonts w:ascii="Times New Roman" w:hAnsi="Times New Roman"/>
          <w:b/>
          <w:i/>
          <w:color w:val="000000"/>
          <w:sz w:val="20"/>
        </w:rPr>
        <w:t>Company</w:t>
      </w:r>
      <w:r>
        <w:rPr>
          <w:rFonts w:ascii="Times New Roman" w:hAnsi="Times New Roman"/>
          <w:color w:val="000000"/>
          <w:sz w:val="20"/>
        </w:rPr>
        <w:t xml:space="preserve">”) issued a press release announcing its financial results for the quarter ended June 30, 2026. A copy of the press release is furnished as Exhibit 99.1 to this Current Report on Form 8-K.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will host a conference call and live webcast to discuss its second quarter 2026 financial results on August 5, 2026, at 5:00 p.m. Eastern time. Live and archived webcasts of the presentation will also be available on the Company’s investor relations website at ir.verramobility.com, although the Company reserves the right to discontinue that availability at any time.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5, 2026, the Company posted supplemental investor materials on its investor relations website. The Company uses its investor relations website as a means of disclosing material non-public information, announcing upcoming investor conferences, and for complying with its disclosure obligations under Regulation FD. Accordingly, investors should monitor the Company’s investor relations website in addition to following its press releases, filings with the Securities and Exchange Commission, and public conference calls and webcasts. </w:t>
      </w:r>
    </w:p>
    <w:p>
      <w:pPr>
        <w:pStyle w:val="TextBody"/>
        <w:bidi w:val="0"/>
        <w:spacing w:before="200" w:after="283"/>
        <w:jc w:val="both"/>
        <w:rPr>
          <w:rFonts w:ascii="Times New Roman" w:hAnsi="Times New Roman"/>
          <w:sz w:val="20"/>
        </w:rPr>
      </w:pPr>
      <w:r>
        <w:rPr>
          <w:rFonts w:ascii="Times New Roman" w:hAnsi="Times New Roman"/>
          <w:color w:val="000000"/>
          <w:sz w:val="20"/>
        </w:rPr>
        <w:t>The information being furnished pursuant to Item 2.02, including Exhibit 99.1, and Item 7.01 of this Current Report on Form 8-K shall not be deemed “filed” for purposes of Section 18 of the Securities Exchange Act of 1934, as amended (the “</w:t>
      </w:r>
      <w:r>
        <w:rPr>
          <w:rFonts w:ascii="Times New Roman" w:hAnsi="Times New Roman"/>
          <w:b/>
          <w:i/>
          <w:color w:val="000000"/>
          <w:sz w:val="20"/>
        </w:rPr>
        <w:t>Exchange Act</w:t>
      </w:r>
      <w:r>
        <w:rPr>
          <w:rFonts w:ascii="Times New Roman" w:hAnsi="Times New Roman"/>
          <w:color w:val="000000"/>
          <w:sz w:val="20"/>
        </w:rPr>
        <w:t>”), or otherwise subject to the liabilities of that section, and shall not be incorporated by reference into any other document filed under the Securities Act of 1933, as amended, or the Exchange Act, except as expressly set forth by specific reference in such filing.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00" w:after="283"/>
        <w:jc w:val="left"/>
        <w:rPr>
          <w:rFonts w:ascii="Times New Roman" w:hAnsi="Times New Roman"/>
          <w:color w:val="000000"/>
          <w:sz w:val="20"/>
        </w:rPr>
      </w:pPr>
      <w:bookmarkStart w:id="2" w:name="s169399809"/>
      <w:bookmarkEnd w:id="2"/>
      <w:r>
        <w:rPr>
          <w:rFonts w:ascii="Times New Roman" w:hAnsi="Times New Roman"/>
          <w:color w:val="000000"/>
          <w:sz w:val="20"/>
        </w:rPr>
        <w:t>(d) Exhibits.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1486"/>
        <w:gridCol w:w="146"/>
        <w:gridCol w:w="6556"/>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55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6" w:type="dxa"/>
            <w:tcBorders/>
            <w:tcMar>
              <w:top w:w="0" w:type="dxa"/>
              <w:left w:w="0" w:type="dxa"/>
              <w:bottom w:w="0" w:type="dxa"/>
              <w:right w:w="0" w:type="dxa"/>
            </w:tcMar>
            <w:vAlign w:val="center"/>
          </w:tcPr>
          <w:p>
            <w:pPr>
              <w:pStyle w:val="TableContents"/>
              <w:bidi w:val="0"/>
              <w:spacing w:before="0" w:after="283"/>
              <w:jc w:val="left"/>
              <w:rPr/>
            </w:pPr>
            <w:hyperlink w:anchor="vrrm-ex99_1.htm">
              <w:r>
                <w:rPr>
                  <w:rStyle w:val="InternetLink"/>
                  <w:rFonts w:ascii="Times New Roman" w:hAnsi="Times New Roman"/>
                  <w:color w:val="0000FF"/>
                  <w:sz w:val="20"/>
                  <w:u w:val="single"/>
                </w:rPr>
                <w:t>Press Release, dated August 5, 2026, issued by Verra Mobility Corporation.</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both"/>
        <w:rPr/>
      </w:pPr>
      <w:r>
        <w:rPr/>
        <w:t> </w:t>
      </w:r>
    </w:p>
    <w:tbl>
      <w:tblPr>
        <w:tblW w:w="4593" w:type="dxa"/>
        <w:jc w:val="left"/>
        <w:tblInd w:w="0" w:type="dxa"/>
        <w:tblLayout w:type="fixed"/>
        <w:tblCellMar>
          <w:top w:w="28" w:type="dxa"/>
          <w:left w:w="28" w:type="dxa"/>
          <w:bottom w:w="28" w:type="dxa"/>
          <w:right w:w="28" w:type="dxa"/>
        </w:tblCellMar>
      </w:tblPr>
      <w:tblGrid>
        <w:gridCol w:w="1951"/>
        <w:gridCol w:w="631"/>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Verra Mobility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 w:name="vrrm-ex99_1.htm"/>
      <w:bookmarkStart w:id="4" w:name="ksvrrmex99_1"/>
      <w:bookmarkEnd w:id="3"/>
      <w:bookmarkEnd w:id="4"/>
      <w:r>
        <w:rPr>
          <w:rFonts w:ascii="Times New Roman" w:hAnsi="Times New Roman"/>
          <w:color w:val="000000"/>
          <w:sz w:val="24"/>
        </w:rPr>
        <w:t>Exhibit 99.1</w:t>
      </w:r>
      <w:r>
        <w:br w:type="page"/>
      </w:r>
    </w:p>
    <w:p>
      <w:pPr>
        <w:pStyle w:val="TextBody"/>
        <w:bidi w:val="0"/>
        <w:jc w:val="left"/>
        <w:rPr/>
      </w:pPr>
      <w:r>
        <w:rPr/>
        <w:t> </w:t>
      </w:r>
    </w:p>
    <w:p>
      <w:pPr>
        <w:pStyle w:val="TextBody"/>
        <w:bidi w:val="0"/>
        <w:jc w:val="right"/>
        <w:rPr/>
      </w:pPr>
      <w:r>
        <w:rPr/>
        <w:t> </w:t>
      </w:r>
    </w:p>
    <w:p>
      <w:pPr>
        <w:pStyle w:val="TextBody"/>
        <w:bidi w:val="0"/>
        <w:jc w:val="right"/>
        <w:rPr/>
      </w:pPr>
      <w:r>
        <w:rPr/>
        <w:t> </w:t>
      </w:r>
    </w:p>
    <w:p>
      <w:pPr>
        <w:pStyle w:val="TextBody"/>
        <w:bidi w:val="0"/>
        <w:jc w:val="left"/>
        <w:rPr/>
      </w:pPr>
      <w:r>
        <w:rPr/>
        <w:drawing>
          <wp:inline distT="0" distB="0" distL="0" distR="0">
            <wp:extent cx="222885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82867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Verra Mobility Announces Second Quarter 2026 Financial Results</w:t>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Total revenue of $263.6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Net loss of $(48.2)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Net cash provided from operations of $56.4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Entered into a seven-year contract extension with Avis Budget Group, Inc.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Entered into a five-year contract extension with Hertz</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Revising fiscal year 2026 guidance</w:t>
      </w:r>
    </w:p>
    <w:p>
      <w:pPr>
        <w:pStyle w:val="TextBody"/>
        <w:bidi w:val="0"/>
        <w:spacing w:before="0" w:after="120"/>
        <w:jc w:val="left"/>
        <w:rPr/>
      </w:pPr>
      <w:r>
        <w:rPr/>
        <w:t> </w:t>
      </w:r>
    </w:p>
    <w:p>
      <w:pPr>
        <w:pStyle w:val="TextBody"/>
        <w:bidi w:val="0"/>
        <w:jc w:val="both"/>
        <w:rPr>
          <w:rFonts w:ascii="Times New Roman" w:hAnsi="Times New Roman"/>
          <w:sz w:val="20"/>
        </w:rPr>
      </w:pPr>
      <w:r>
        <w:rPr>
          <w:rFonts w:ascii="Times New Roman" w:hAnsi="Times New Roman"/>
          <w:b/>
          <w:color w:val="000000"/>
          <w:sz w:val="22"/>
        </w:rPr>
        <w:t>MESA, Ariz., August 5, 2026 /PRNewswire/ –</w:t>
      </w:r>
      <w:r>
        <w:rPr>
          <w:rFonts w:ascii="Times New Roman" w:hAnsi="Times New Roman"/>
          <w:color w:val="000000"/>
          <w:sz w:val="20"/>
        </w:rPr>
        <w:t xml:space="preserve"> </w:t>
      </w:r>
      <w:r>
        <w:rPr>
          <w:rFonts w:ascii="Times New Roman" w:hAnsi="Times New Roman"/>
          <w:color w:val="000000"/>
          <w:sz w:val="22"/>
        </w:rPr>
        <w:t>Verra Mobility Corporation (NASDAQ: VRRM), a leading provider of smart mobility technology solutions, announced today the financial results for the second quarter ended June 30,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am proud of what our team accomplished during the second quarter, delivering revenue and profitability above our internal expectations while continuing to execute well across the business," said Jon Keyser, Interim Chief Executive Officer of Verra Mobility. "During the quarter, we also retained two of our most important customer relationships by extending our long-standing agreements with Avis Budget Group and Hertz. These agreements, together with our selection by the City of Los Angeles to implement California's largest speed safety program, reflect the strength of our technology, our operational capabilities and the trust our customers place in Verra Mobility."</w:t>
      </w:r>
    </w:p>
    <w:p>
      <w:pPr>
        <w:pStyle w:val="TextBody"/>
        <w:bidi w:val="0"/>
        <w:jc w:val="both"/>
        <w:rPr>
          <w:rFonts w:ascii="Times New Roman" w:hAnsi="Times New Roman"/>
          <w:color w:val="000000"/>
          <w:sz w:val="22"/>
        </w:rPr>
      </w:pPr>
      <w:r>
        <w:rPr>
          <w:rFonts w:ascii="Times New Roman" w:hAnsi="Times New Roman"/>
          <w:color w:val="000000"/>
          <w:sz w:val="22"/>
        </w:rPr>
        <w:t>"This has been a transformative quarter for our company. On behalf of our leadership team, I want to sincerely thank our employees for embracing change, acting with urgency and re-centering our focus on customer success. Their commitment is helping build a more agile, customer-centric Verra Mobility and positions us for long-term value creation."</w:t>
      </w:r>
    </w:p>
    <w:p>
      <w:pPr>
        <w:pStyle w:val="TextBody"/>
        <w:bidi w:val="0"/>
        <w:spacing w:before="240" w:after="120"/>
        <w:jc w:val="left"/>
        <w:rPr>
          <w:rFonts w:ascii="Times New Roman" w:hAnsi="Times New Roman"/>
          <w:b/>
          <w:color w:val="000000"/>
          <w:sz w:val="22"/>
        </w:rPr>
      </w:pPr>
      <w:r>
        <w:rPr>
          <w:rFonts w:ascii="Times New Roman" w:hAnsi="Times New Roman"/>
          <w:b/>
          <w:color w:val="000000"/>
          <w:sz w:val="22"/>
        </w:rPr>
        <w:t>Second Quarter 2026 Financial Highlights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Revenue</w:t>
      </w:r>
      <w:r>
        <w:rPr>
          <w:rFonts w:ascii="Times New Roman" w:hAnsi="Times New Roman"/>
          <w:color w:val="000000"/>
          <w:sz w:val="22"/>
        </w:rPr>
        <w:t>: Total revenue for the second quarter of 2026 was $263.6 million, an increase of 12% compared to $236.0 million for the second quarter of 2025. Service revenue growth was 10%, driven by 17% growth in our Government Solutions segment and 6% growth in our Commercial Services segment. Government Solutions service revenue growth was driven primarily by a $12.0 million increase in New York City revenues associated with new camera installations, net of pricing changes under the new contract. The remaining $5.1 million in growth is attributable to expansion in bus lane, speed and other services. The increase in Commercial Services revenue was due to increased product adoption and tolling activity compared to the prior year which contributed to a $4.1 million growth in rental car companies (“</w:t>
      </w:r>
      <w:r>
        <w:rPr>
          <w:rFonts w:ascii="Times New Roman" w:hAnsi="Times New Roman"/>
          <w:b/>
          <w:i/>
          <w:color w:val="000000"/>
          <w:sz w:val="22"/>
        </w:rPr>
        <w:t>RACs</w:t>
      </w:r>
      <w:r>
        <w:rPr>
          <w:color w:val="000000"/>
        </w:rPr>
        <w:t>”</w:t>
      </w:r>
      <w:r>
        <w:rPr>
          <w:rFonts w:ascii="Times New Roman" w:hAnsi="Times New Roman"/>
          <w:color w:val="000000"/>
          <w:sz w:val="22"/>
        </w:rPr>
        <w:t>) tolling revenue, with the remainder primarily driven by higher violations processing. Parking Solutions service revenue increased by $0.2 million compared to the second quarter of 2025, as increased revenue from our software as a service (“</w:t>
      </w:r>
      <w:r>
        <w:rPr>
          <w:rFonts w:ascii="Times New Roman" w:hAnsi="Times New Roman"/>
          <w:b/>
          <w:i/>
          <w:color w:val="000000"/>
          <w:sz w:val="22"/>
        </w:rPr>
        <w:t>SaaS</w:t>
      </w:r>
      <w:r>
        <w:rPr>
          <w:color w:val="000000"/>
        </w:rPr>
        <w:t>”</w:t>
      </w:r>
      <w:r>
        <w:rPr>
          <w:rFonts w:ascii="Times New Roman" w:hAnsi="Times New Roman"/>
          <w:color w:val="000000"/>
          <w:sz w:val="22"/>
        </w:rPr>
        <w:t>) product offerings was partially offset by decreases in subscription services and professional services revenue related to parking management solutions.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Net (loss) income and Diluted Earnings Per Share (“EPS”)</w:t>
      </w:r>
      <w:r>
        <w:rPr>
          <w:rFonts w:ascii="Times New Roman" w:hAnsi="Times New Roman"/>
          <w:color w:val="000000"/>
          <w:sz w:val="22"/>
        </w:rPr>
        <w:t xml:space="preserve">: Net loss for the second quarter of 2026 was $(48.2) million, or $(0.32) per share, based on 151.9 million diluted weighted average shares outstanding.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Net income for the comparable 2025 period was $38.6 million, or $0.24 per share, based on 161.5 million diluted weighted average shares outstanding. The decrease in net income for the second quarter of 2026 was primarily due to impairments on goodwill and intangible assets recorded for the three months ended June 30, 2026 and an increase in operating expenses, partially offset by margins on product sales and installation services and a decrease in selling, general and administrative expenses.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Adjusted EPS*</w:t>
      </w:r>
      <w:r>
        <w:rPr>
          <w:rFonts w:ascii="Times New Roman" w:hAnsi="Times New Roman"/>
          <w:color w:val="000000"/>
          <w:sz w:val="22"/>
        </w:rPr>
        <w:t>: Adjusted EPS for the second quarter of 2026 was $0.38 per share compared to $0.34 per share for the second quarter of 2025.</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Adjusted EBITDA*</w:t>
      </w:r>
      <w:r>
        <w:rPr>
          <w:rFonts w:ascii="Times New Roman" w:hAnsi="Times New Roman"/>
          <w:color w:val="000000"/>
          <w:sz w:val="22"/>
        </w:rPr>
        <w:t>: Adjusted EBITDA was $110.7 million for the second quarter of 2026 compared to $105.3 million for the same period in 2025. Adjusted EBITDA Margin* was 42% and 45% of total revenue for the 2026 and 2025 periods, respectively.</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Net Cash Provided from Operations</w:t>
      </w:r>
      <w:r>
        <w:rPr>
          <w:rFonts w:ascii="Times New Roman" w:hAnsi="Times New Roman"/>
          <w:color w:val="000000"/>
          <w:sz w:val="22"/>
        </w:rPr>
        <w:t>: Cash provided by operating activities decreased by $18.7 million from $75.1 million for the three months ended June 30, 2025 to $56.4 million for the three months ended June 30, 2026. Net (loss) income quarter-over-quarter decreased by $86.8 million, from $38.6 million in 2025 to $(48.2) million in 2026. The aggregate adjustments to reconcile net (loss) income to net cash provided by operating activities increased $94.3 million mainly due to the impairments on goodwill and intangible assets recorded for the current period, a prior period uncertain tax position reserve release and the mark-to-market adjustment on the share-based proceeds, partially offset by decreases in stock-based compensation, deferred income taxes and credit loss expense. The aggregate changes in operating assets and liabilities decreased by $26.3 million in 2026 compared to the prior year period and were primarily due to an increase in the net use of working capital, of which the majority was attributable to an increase in accounts receivable, unbilled receivables and inventory, partially offset by an increase in accounts payable.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Free Cash Flow*</w:t>
      </w:r>
      <w:r>
        <w:rPr>
          <w:rFonts w:ascii="Times New Roman" w:hAnsi="Times New Roman"/>
          <w:color w:val="000000"/>
          <w:sz w:val="22"/>
        </w:rPr>
        <w:t>: Free Cash Flow was $32.6 million for the second quarter of 2026 compared to $40.3 million for the prior year period. The decline in Free Cash Flow is attributable to the items impacting cash provided by operating activities (as discussed above), partially offset by a reduction in capital expenditures.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*Non-GAAP measure; refer to “Non-GAAP Financial Measures” further below for explanatory notes and a reconciliation to the most directly comparable GAAP measure.</w:t>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We report our results of operations based on three operating segments: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Commercial Services</w:t>
      </w:r>
      <w:r>
        <w:rPr>
          <w:color w:val="000000"/>
        </w:rPr>
        <w:t xml:space="preserve"> </w:t>
      </w:r>
      <w:r>
        <w:rPr>
          <w:rFonts w:ascii="Times New Roman" w:hAnsi="Times New Roman"/>
          <w:color w:val="000000"/>
          <w:sz w:val="22"/>
        </w:rPr>
        <w:t xml:space="preserve">offers automated toll and violations management and title and registration solutions to rental car companies, fleet management companies and other large fleet owners.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Government Solutions</w:t>
      </w:r>
      <w:r>
        <w:rPr>
          <w:color w:val="000000"/>
        </w:rPr>
        <w:t xml:space="preserve"> </w:t>
      </w:r>
      <w:r>
        <w:rPr>
          <w:rFonts w:ascii="Times New Roman" w:hAnsi="Times New Roman"/>
          <w:color w:val="000000"/>
          <w:sz w:val="22"/>
        </w:rPr>
        <w:t>delivers automated safety solutions to municipalities, school districts and government agencies, including services and technology that enable photo enforcement cameras to detect and process traffic violations related to speed, red-light, school bus and city bus lane management.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Parking Solutions</w:t>
      </w:r>
      <w:r>
        <w:rPr>
          <w:color w:val="000000"/>
        </w:rPr>
        <w:t xml:space="preserve"> </w:t>
      </w:r>
      <w:r>
        <w:rPr>
          <w:rFonts w:ascii="Times New Roman" w:hAnsi="Times New Roman"/>
          <w:color w:val="000000"/>
          <w:sz w:val="22"/>
        </w:rPr>
        <w:t>provides an integrated suite of parking software, transaction processing and hardware solutions to universities, municipalities, parking operators, healthcare facilities and transportation hubs in the United States and Canada.</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Second Quarter 2026 Segment Detail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The Commercial Services segment generated total revenue of $115.1 million, a 6% increase compared to $109.1 million in the same period in 2025. Segment profit was $77.2 million, a 7% increase from $72.0 million in the prior year period. The increases in revenue and segment profit compared to the prior year period resulted from increased product adoption and tolling activity compared to the prior year which contributed to a $4.1 million growth in RAC tolling revenue, with the remainder primarily driven by higher violations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processing. The segment profit margin was 67% for the second quarter of 2026 and 66% for the second quarter of 2025. Second quarter 2026 segment profit margins benefitted from lower credit loss expense.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Government Solutions segment generated total revenue of $128.5 million, a 20% increase compared to $107.1 million in the same period in 2025. The increase was due to a 17% increase in service revenue over the prior year period, primarily driven by a $12.0 million increase in New York City revenues associated with new camera installations, net of pricing changes under the new contract. The remaining $5.1 million in growth was attributable to an expansion in bus lane and speed camera-related revenue and other services. In addition, product revenue increased approximately $4.3 million from the prior year period. The segment profit was $31.2 million in 2026 compared to $30.1 million in the prior year period with segment profit margins of 24% for 2026 and 28% for 2025. The decline in segment profit margins compared to the prior year period was primarily driven by increased costs to support project implementations and the pricing change under the New York City contract.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The Parking Solutions segment generated total revenue of $20.0 million, a 1% increase compared to $19.9 million in the same period in 2025, which was due primarily to an increase in SaaS product offerings, partially offset by decreases in subscription services and professional services revenue related to parking management solutions compared to the prior year period. The segment profit was $2.3 million compared to $3.2 million in the prior year period with segment profit margins of 11% for 2026 and 16% for 2025. </w:t>
      </w:r>
    </w:p>
    <w:p>
      <w:pPr>
        <w:pStyle w:val="TextBody"/>
        <w:bidi w:val="0"/>
        <w:spacing w:before="120" w:after="120"/>
        <w:jc w:val="both"/>
        <w:rPr>
          <w:rFonts w:ascii="Times New Roman" w:hAnsi="Times New Roman"/>
          <w:sz w:val="20"/>
        </w:rPr>
      </w:pPr>
      <w:r>
        <w:rPr>
          <w:rFonts w:ascii="Times New Roman" w:hAnsi="Times New Roman"/>
          <w:b/>
          <w:color w:val="000000"/>
          <w:sz w:val="22"/>
        </w:rPr>
        <w:t>Liquidity and Debt</w:t>
      </w:r>
      <w:r>
        <w:rPr>
          <w:rFonts w:ascii="Times New Roman" w:hAnsi="Times New Roman"/>
          <w:color w:val="000000"/>
          <w:sz w:val="22"/>
        </w:rPr>
        <w:t>: As of June 30, 2026, cash and cash equivalents were $49.6 million and total debt, net was $1,035 million. Net cash provided by operating activities was $56.4 million for the three months ended June 30, 2026, and $97.2 million for the six months ended June 30, 2026.</w:t>
      </w:r>
    </w:p>
    <w:p>
      <w:pPr>
        <w:pStyle w:val="TextBody"/>
        <w:bidi w:val="0"/>
        <w:spacing w:before="120" w:after="120"/>
        <w:jc w:val="both"/>
        <w:rPr>
          <w:rFonts w:ascii="Times New Roman" w:hAnsi="Times New Roman"/>
          <w:sz w:val="20"/>
        </w:rPr>
      </w:pPr>
      <w:r>
        <w:rPr>
          <w:rFonts w:ascii="Times New Roman" w:hAnsi="Times New Roman"/>
          <w:b/>
          <w:color w:val="000000"/>
          <w:sz w:val="22"/>
        </w:rPr>
        <w:t>Net Debt and Net Leverage*</w:t>
      </w:r>
      <w:r>
        <w:rPr>
          <w:rFonts w:ascii="Times New Roman" w:hAnsi="Times New Roman"/>
          <w:color w:val="000000"/>
          <w:sz w:val="22"/>
        </w:rPr>
        <w:t>: As of June 30, 2026, Net Debt was $993.2 million and Net Leverage was 2.4x, as compared to $971.8 million and 2.3x as of December 31, 2025.</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*Non-GAAP measure; refer to “Non-GAAP Financial Measures” further below for explanatory notes and a reconciliation to the most directly comparable GAAP measure.</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Change in Executive Leadership and Organizational Realignment</w:t>
      </w:r>
    </w:p>
    <w:p>
      <w:pPr>
        <w:pStyle w:val="TextBody"/>
        <w:bidi w:val="0"/>
        <w:jc w:val="left"/>
        <w:rPr>
          <w:rFonts w:ascii="Times New Roman" w:hAnsi="Times New Roman"/>
          <w:color w:val="000000"/>
          <w:sz w:val="22"/>
        </w:rPr>
      </w:pPr>
      <w:r>
        <w:rPr>
          <w:rFonts w:ascii="Times New Roman" w:hAnsi="Times New Roman"/>
          <w:color w:val="000000"/>
          <w:sz w:val="22"/>
        </w:rPr>
        <w:t>On June 1, 2026, we announced that David Roberts had departed as our President and Chief Executive Officer and as a member of our Board of Directors. The Board appointed Jon Keyser, previously our Chief Transformation Officer and Executive Vice President and Chief Legal Officer, as Interim President and Chief Executive Officer and retained an executive search firm to assist with a comprehensive search for a permanent successor.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On June 17, 2026, we announced organizational changes intended to accelerate our transformation initiatives, strengthen customer focus and create a more agile and efficient operating model. These changes are intended to build upon a hybrid operating model that centralizes key functions, including Human Resources, Finance, Legal, Government Relations, Engineering and Product Management. Stacey Moser was appointed Chief Customer Officer with responsibility for sales, account management and marketing across our Commercial Services and Government Solutions businesses. We are evaluating the effect of these organizational and internal management reporting changes on our operating and reportable segments.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Commercial Services Customer Contracts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announced that one of our three significant Commercial Services customers had issued a notice terminating its contract with us; that customer subsequently withdrew and rescinded the notice and instead entered into a seven-year contract extension on terms materially less favorable to us than the prior agreement, including an option for the customer to modulate its fleet volume. A second significant Commercial Services customer entered into a five-year extension, with options to extend, also on materially less favorable terms and with fleet volume modulation rights.</w:t>
      </w:r>
    </w:p>
    <w:p>
      <w:pPr>
        <w:pStyle w:val="TextBody"/>
        <w:bidi w:val="0"/>
        <w:spacing w:before="120" w:after="283"/>
        <w:jc w:val="left"/>
        <w:rPr>
          <w:rFonts w:ascii="Times New Roman" w:hAnsi="Times New Roman"/>
          <w:sz w:val="20"/>
        </w:rPr>
      </w:pPr>
      <w:r>
        <w:rPr>
          <w:rFonts w:ascii="Times New Roman" w:hAnsi="Times New Roman"/>
          <w:color w:val="000000"/>
          <w:sz w:val="22"/>
        </w:rPr>
        <w:t>Fluctuations in fleet volume under these arrangements could cause our revenue, results of operations, and cash flows to vary from period to period and could have a material adverse effect on our business, financial condition,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and results of operations. Additionally, any future termination of either extended contract could have a material adverse effect on our business, financial condition, and results of operations.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Goodwill and Intangible Assets Impairments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We recorded a $64.0 million impairment to goodwill in our Parking Solutions segment during the six months ended June 30, 2026, which is presented in a separate line item on the consolidated statements of operations. This was in connection with our 2026 assessment of goodwill impairment which determined that the Parking Solutions reporting unit carrying value exceeded the estimated fair value. As part of this assessment, we determined that the carrying value of certain intangibles within the Parking Solutions segment were not recoverable and recorded a $40.4 million impairment to intangibles in our Parking Solutions segment during the six months ended June 30, 2026, which is presented in a separate line item on the consolidated statements of operations.</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2026 Full Year Guidance</w:t>
      </w:r>
    </w:p>
    <w:p>
      <w:pPr>
        <w:pStyle w:val="TextBody"/>
        <w:bidi w:val="0"/>
        <w:jc w:val="left"/>
        <w:rPr>
          <w:rFonts w:ascii="Times New Roman" w:hAnsi="Times New Roman"/>
          <w:color w:val="000000"/>
          <w:sz w:val="22"/>
        </w:rPr>
      </w:pPr>
      <w:r>
        <w:rPr>
          <w:rFonts w:ascii="Times New Roman" w:hAnsi="Times New Roman"/>
          <w:color w:val="000000"/>
          <w:sz w:val="22"/>
        </w:rPr>
        <w:t>Any guidance that we provide is subject to change as a variety of factors can affect actual operating results. Certain of the factors that may impact our actual operating results are identified below in the safe harbor language included within Forward-Looking Statements of this press release.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are providing the following forward-looking guidance, which includes Adjusted EBITDA, Adjusted EPS, and Free Cash Flow, all of which are non-GAAP financial measures (defined below).</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Based on our first half 2026 results and our outlook for the remainder of the year, we are revising our 2026 full year financial outlook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Total Revenue of $945 million to $965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EBITDA of $360 million to $370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Adjusted EPS of $1.11 to $1.17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Free Cash Flow of $105 million to $115 million</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Underlying Assumptions for 2026 Full Year Guidance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Weighted average fully diluted share count expected to be approximately 153 million shares for the full year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Effective tax rate (including state taxes) is expected to be 28.0% to 29.0%, with approximately $35 million in total cash taxes expected to be paid in 2026. The effective tax rate for non-GAAP adjustments is provided in the Reconciliation of Net Income to Adjusted Net Income and Calculation of Adjusted EPS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Depreciation and amortization expense expected to be approximately $120 million for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Total interest expense, net expected to be approximately $62 million, of which approximately $60 million is expected to be net cash interest paid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Change in working capital (change in operating assets and liabilities) is expected to result in a use of cash of approximately $30 million for 2026 primarily related to both our recent RAC contract renewals and the timing of expenditures and collections of our ongoing installation work in New York 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Capital expenditures (purchases of installation and service parts and property and equipment) are expected to be approximately $135 million for 2026 relating primarily to camera installations and MOSAIC implementation</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Conference Call Details</w:t>
      </w:r>
    </w:p>
    <w:p>
      <w:pPr>
        <w:pStyle w:val="TextBody"/>
        <w:bidi w:val="0"/>
        <w:jc w:val="left"/>
        <w:rPr>
          <w:rFonts w:ascii="Times New Roman" w:hAnsi="Times New Roman"/>
          <w:sz w:val="20"/>
        </w:rPr>
      </w:pPr>
      <w:r>
        <w:rPr>
          <w:rFonts w:ascii="Times New Roman" w:hAnsi="Times New Roman"/>
          <w:b/>
          <w:color w:val="000000"/>
          <w:sz w:val="22"/>
        </w:rPr>
        <w:t>Date:</w:t>
      </w:r>
      <w:r>
        <w:rPr>
          <w:rFonts w:ascii="Times New Roman" w:hAnsi="Times New Roman"/>
          <w:color w:val="000000"/>
          <w:sz w:val="20"/>
        </w:rPr>
        <w:t xml:space="preserve"> </w:t>
      </w:r>
      <w:r>
        <w:rPr>
          <w:rFonts w:ascii="Times New Roman" w:hAnsi="Times New Roman"/>
          <w:color w:val="000000"/>
          <w:sz w:val="22"/>
        </w:rPr>
        <w:t>August 5, 2026</w:t>
      </w:r>
    </w:p>
    <w:p>
      <w:pPr>
        <w:pStyle w:val="TextBody"/>
        <w:bidi w:val="0"/>
        <w:jc w:val="left"/>
        <w:rPr>
          <w:rFonts w:ascii="Times New Roman" w:hAnsi="Times New Roman"/>
          <w:sz w:val="20"/>
        </w:rPr>
      </w:pPr>
      <w:r>
        <w:rPr>
          <w:rFonts w:ascii="Times New Roman" w:hAnsi="Times New Roman"/>
          <w:b/>
          <w:color w:val="000000"/>
          <w:sz w:val="22"/>
        </w:rPr>
        <w:t>Time:</w:t>
      </w:r>
      <w:r>
        <w:rPr>
          <w:rFonts w:ascii="Times New Roman" w:hAnsi="Times New Roman"/>
          <w:color w:val="000000"/>
          <w:sz w:val="20"/>
        </w:rPr>
        <w:t xml:space="preserve"> </w:t>
      </w:r>
      <w:r>
        <w:rPr>
          <w:rFonts w:ascii="Times New Roman" w:hAnsi="Times New Roman"/>
          <w:color w:val="000000"/>
          <w:sz w:val="22"/>
        </w:rPr>
        <w:t>5:00 p.m. Eastern Time</w:t>
      </w:r>
    </w:p>
    <w:p>
      <w:pPr>
        <w:pStyle w:val="TextBody"/>
        <w:bidi w:val="0"/>
        <w:jc w:val="left"/>
        <w:rPr>
          <w:rFonts w:ascii="Times New Roman" w:hAnsi="Times New Roman"/>
          <w:sz w:val="20"/>
        </w:rPr>
      </w:pPr>
      <w:r>
        <w:rPr>
          <w:rFonts w:ascii="Times New Roman" w:hAnsi="Times New Roman"/>
          <w:b/>
          <w:color w:val="000000"/>
          <w:sz w:val="22"/>
        </w:rPr>
        <w:t xml:space="preserve">To access this conference call by telephone, register </w:t>
      </w:r>
      <w:r>
        <w:rPr>
          <w:rFonts w:ascii="Times New Roman" w:hAnsi="Times New Roman"/>
          <w:b/>
          <w:sz w:val="22"/>
        </w:rPr>
        <w:t>here</w:t>
      </w:r>
      <w:r>
        <w:rPr>
          <w:rFonts w:ascii="Times New Roman" w:hAnsi="Times New Roman"/>
          <w:color w:val="000000"/>
          <w:sz w:val="20"/>
        </w:rPr>
        <w:t xml:space="preserve"> </w:t>
      </w:r>
      <w:r>
        <w:rPr>
          <w:rFonts w:ascii="Times New Roman" w:hAnsi="Times New Roman"/>
          <w:b/>
          <w:color w:val="000000"/>
          <w:sz w:val="22"/>
        </w:rPr>
        <w:t>to receive dial-in numbers and a unique PIN to join the call.</w:t>
      </w:r>
    </w:p>
    <w:p>
      <w:pPr>
        <w:pStyle w:val="TextBody"/>
        <w:bidi w:val="0"/>
        <w:jc w:val="left"/>
        <w:rPr>
          <w:rFonts w:ascii="Times New Roman" w:hAnsi="Times New Roman"/>
          <w:sz w:val="20"/>
        </w:rPr>
      </w:pPr>
      <w:r>
        <w:rPr>
          <w:rFonts w:ascii="Times New Roman" w:hAnsi="Times New Roman"/>
          <w:b/>
          <w:color w:val="000000"/>
          <w:sz w:val="22"/>
        </w:rPr>
        <w:t>Webcast Information:</w:t>
      </w:r>
      <w:r>
        <w:rPr>
          <w:rFonts w:ascii="Times New Roman" w:hAnsi="Times New Roman"/>
          <w:color w:val="000000"/>
          <w:sz w:val="20"/>
        </w:rPr>
        <w:t xml:space="preserve"> </w:t>
      </w:r>
      <w:r>
        <w:rPr>
          <w:rFonts w:ascii="Times New Roman" w:hAnsi="Times New Roman"/>
          <w:color w:val="000000"/>
          <w:sz w:val="22"/>
        </w:rPr>
        <w:t xml:space="preserve">Available live in the “Investor Relations” section of our website at </w:t>
      </w:r>
      <w:r>
        <w:rPr>
          <w:rFonts w:ascii="Times New Roman" w:hAnsi="Times New Roman"/>
          <w:color w:val="70AD47"/>
          <w:sz w:val="22"/>
          <w:u w:val="single"/>
        </w:rPr>
        <w:t>http://ir.verramobility.com.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replay of the call will also be made available on the Investor Relations website. A copy of the earnings call presentation will be available on the Investor Relations section of our website.</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About Verra Mobility</w:t>
      </w:r>
    </w:p>
    <w:p>
      <w:pPr>
        <w:pStyle w:val="TextBody"/>
        <w:bidi w:val="0"/>
        <w:jc w:val="both"/>
        <w:rPr>
          <w:rFonts w:ascii="Times New Roman" w:hAnsi="Times New Roman"/>
          <w:color w:val="000000"/>
          <w:sz w:val="22"/>
        </w:rPr>
      </w:pPr>
      <w:r>
        <w:rPr>
          <w:rFonts w:ascii="Times New Roman" w:hAnsi="Times New Roman"/>
          <w:color w:val="000000"/>
          <w:sz w:val="22"/>
        </w:rPr>
        <w:t>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the United States, Australia, Europe, and Canada. For more information, please visit www.verramobility.com.</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spacing w:before="120" w:after="120"/>
        <w:jc w:val="both"/>
        <w:rPr>
          <w:rFonts w:ascii="Times New Roman" w:hAnsi="Times New Roman"/>
          <w:sz w:val="20"/>
        </w:rPr>
      </w:pPr>
      <w:r>
        <w:rPr>
          <w:rFonts w:ascii="Times New Roman" w:hAnsi="Times New Roman"/>
          <w:color w:val="000000"/>
          <w:sz w:val="22"/>
        </w:rPr>
        <w:t>This press release contains forward-looking statements which address our expected future business and financial performance, and may contain words such as “goal,” “target,” “future,” “estimate,” “expect,” “anticipate,” “intend,” “plan,” “believe,” “seek,” “project,” “may,” “should,” “will” or similar expressions. Forward-looking statements include statements regarding changes and trends in the market for our products and services, including expected operating results and metrics, such as revenue growth and expected margins; expansion plans and opportunities; expectations regarding the fluctuations in fleet volume under our arrangements with two of our significant Commercial Services customers; expectations relating to our selection by the City of Los Angeles to implement California’s largest speed safety program and the contract with the New York City Department of Transportation (“</w:t>
      </w:r>
      <w:r>
        <w:rPr>
          <w:rFonts w:ascii="Times New Roman" w:hAnsi="Times New Roman"/>
          <w:b/>
          <w:i/>
          <w:color w:val="000000"/>
          <w:sz w:val="22"/>
        </w:rPr>
        <w:t>NYCDOT”)</w:t>
      </w:r>
      <w:r>
        <w:rPr>
          <w:rFonts w:ascii="Times New Roman" w:hAnsi="Times New Roman"/>
          <w:color w:val="000000"/>
          <w:sz w:val="22"/>
        </w:rPr>
        <w:t>; expectations regarding the prospect for long-term renewal with our other significant Commercial Services customer; our ability to improve operational efficiencies, generate cost savings and improve customer centricity; our ability to achieve expected benefits from transformation and strategic initiatives; full year guidance for 2026, including expected total revenue, Adjusted EBITDA, Adjusted EPS, and Free Cash Flow, and the underlying assumptions for the 2026 full-year guidance, including expected weighted average fully diluted share count, effective tax rate and cash taxes, expected depreciation and amortization expenses, expected interest expense, net and total net cash interest, expected change in working capital, expected capital expenditures, and expected operating expenditures; expectations relating to momentum across key growth areas and our pipeline; our ability to meet our long-term outlook; the expected benefits of our smart mobility platform, including margin expansion impact; and expectations concerning our share repurchase program.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inflation and higher interest rates, the impact of government actions and regulations, such as tariffs, trade protection measures, and military conflicts, on our customers or Verra Mobility; customer concentration in our Commercial Services and Government Solutions segments, including risks impacting these segments such as travel demand and legislation, and the risk of losing a customer; risks related to our contract with NYCDOT, which comprises a material portion of our revenue, including the timing of payments; risks associated with fluctuations in fleet volume under our arrangements with two of our significant Commercial Services customers; risks associated with the renewal of Commercial Services customer agreements or any future termination of any such contracts; risks related to the contractual renewal discussions with our third significant Commercial Services customer; risks and uncertainties related to our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color w:val="000000"/>
          <w:sz w:val="22"/>
        </w:rPr>
        <w:t>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manage our substantial level of indebtedness; our ability to maintain effective internal controls over financial reporting; risks related to our goodwill and intangible assets, which have been subject to impairment and may be subject to further impairment in the future; our ability to properly perform under our contracts and otherwise satisfy our customers; risks associated with the use of artificial intelligence (“</w:t>
      </w:r>
      <w:r>
        <w:rPr>
          <w:rFonts w:ascii="Times New Roman" w:hAnsi="Times New Roman"/>
          <w:b/>
          <w:i/>
          <w:color w:val="000000"/>
          <w:sz w:val="22"/>
        </w:rPr>
        <w:t>AI</w:t>
      </w:r>
      <w:r>
        <w:rPr>
          <w:rFonts w:ascii="Times New Roman" w:hAnsi="Times New Roman"/>
          <w:color w:val="000000"/>
          <w:sz w:val="20"/>
        </w:rPr>
        <w:t>”</w:t>
      </w:r>
      <w:r>
        <w:rPr>
          <w:rFonts w:ascii="Times New Roman" w:hAnsi="Times New Roman"/>
          <w:color w:val="000000"/>
          <w:sz w:val="22"/>
        </w:rPr>
        <w:t>) and related tools and our ability to achieve expected benefits from AI; our ability to incorporate AI into our business and transform our data into valuable insights, deliver more intelligent software and hardware, improve our efficiency of our operations and create a new generation of AI-enabled transportation solutions that strengthens customer outcomes, improves roadway safety and increases the long-term value of our technology platform;;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w:t>
      </w:r>
      <w:r>
        <w:rPr>
          <w:rFonts w:ascii="Times New Roman" w:hAnsi="Times New Roman"/>
          <w:color w:val="000000"/>
          <w:sz w:val="20"/>
        </w:rPr>
        <w:t xml:space="preserve"> </w:t>
      </w:r>
      <w:r>
        <w:rPr>
          <w:rFonts w:ascii="Times New Roman" w:hAnsi="Times New Roman"/>
          <w:color w:val="000000"/>
          <w:sz w:val="22"/>
        </w:rPr>
        <w:t>including pending securities litigation, and other disputes and regulatory investigations; our reliance on specialized third-party providers; and other risks and uncertainties indicated from time to time in documents we filed or will file with the Securities and Exchange Commission (the “SEC”).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and first quarter 2026 Quarterly Report on Form 10-Q.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Additional Information</w:t>
      </w:r>
    </w:p>
    <w:p>
      <w:pPr>
        <w:pStyle w:val="TextBody"/>
        <w:bidi w:val="0"/>
        <w:jc w:val="both"/>
        <w:rPr>
          <w:rFonts w:ascii="Times New Roman" w:hAnsi="Times New Roman"/>
          <w:sz w:val="20"/>
        </w:rPr>
      </w:pPr>
      <w:r>
        <w:rPr>
          <w:rFonts w:ascii="Times New Roman" w:hAnsi="Times New Roman"/>
          <w:color w:val="000000"/>
          <w:sz w:val="22"/>
        </w:rPr>
        <w:t xml:space="preserve">We periodically provide information for investors on our corporate website, </w:t>
      </w:r>
      <w:r>
        <w:rPr>
          <w:rFonts w:ascii="Times New Roman" w:hAnsi="Times New Roman"/>
          <w:color w:val="0000FF"/>
          <w:sz w:val="22"/>
          <w:u w:val="single"/>
        </w:rPr>
        <w:t>www.verramobility.com</w:t>
      </w:r>
      <w:r>
        <w:rPr>
          <w:rFonts w:ascii="Times New Roman" w:hAnsi="Times New Roman"/>
          <w:color w:val="000000"/>
          <w:sz w:val="22"/>
        </w:rPr>
        <w:t xml:space="preserve">, and our investor relations website, </w:t>
      </w:r>
      <w:r>
        <w:rPr>
          <w:rFonts w:ascii="Times New Roman" w:hAnsi="Times New Roman"/>
          <w:color w:val="0000FF"/>
          <w:sz w:val="22"/>
          <w:u w:val="single"/>
        </w:rPr>
        <w:t>ir.verramobility.com</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intend to use our website including our quarterly earnings presentation as a means of disclosing material non-public information, additional financial and operating metrics and for complying with disclosure obligations under Regulation FD. Accordingly, investors should monitor our website, in addition to following our press releases, SEC filings, public conference calls, webcasts, and social media. In addition, you may enroll to automatically receive e-mail alerts and other information about our company by visiting “Email Alerts” under the “Investor Resources” section of the “Investors” portion of our website.</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Non-GAAP Financial Measures</w:t>
      </w:r>
    </w:p>
    <w:p>
      <w:pPr>
        <w:pStyle w:val="TextBody"/>
        <w:bidi w:val="0"/>
        <w:jc w:val="both"/>
        <w:rPr>
          <w:rFonts w:ascii="Times New Roman" w:hAnsi="Times New Roman"/>
          <w:sz w:val="20"/>
        </w:rPr>
      </w:pPr>
      <w:r>
        <w:rPr>
          <w:rFonts w:ascii="Times New Roman" w:hAnsi="Times New Roman"/>
          <w:color w:val="000000"/>
          <w:sz w:val="22"/>
        </w:rPr>
        <w:t>In addition to disclosing financial results that are determined in accordance with U.S. generally accepted accounting principles (“</w:t>
      </w:r>
      <w:r>
        <w:rPr>
          <w:rFonts w:ascii="Times New Roman" w:hAnsi="Times New Roman"/>
          <w:b/>
          <w:i/>
          <w:color w:val="000000"/>
          <w:sz w:val="22"/>
        </w:rPr>
        <w:t>GAAP</w:t>
      </w:r>
      <w:r>
        <w:rPr>
          <w:rFonts w:ascii="Times New Roman" w:hAnsi="Times New Roman"/>
          <w:color w:val="000000"/>
          <w:sz w:val="20"/>
        </w:rPr>
        <w:t>”</w:t>
      </w:r>
      <w:r>
        <w:rPr>
          <w:rFonts w:ascii="Times New Roman" w:hAnsi="Times New Roman"/>
          <w:color w:val="000000"/>
          <w:sz w:val="22"/>
        </w:rPr>
        <w:t>), we also disclose certain non-GAAP financial information in this press release. These financial measures are not recognized measures under GAAP and are not intended to be, and should not be, considered in isolation or as a substitute for, or superior to, the financial information prepared and presented in accordance with GAAP. EBITDA, Adjusted EBITDA, Free Cash Flow, Adjusted Net Income, Adjusted EPS, Adjusted EBITDA Margin, Net Debt, and Net Leverage are non-GAAP financial measures as defined by SEC rules. These non-GAAP financial measures may be determined or calculated differently by other companies. As a result, they may not be comparable to similarly titled performance measures presented by other companies. Reconciliations of these non-GAAP measurements to the most directly comparable GAAP financial measurements have been provided in the financial statement tables included in this press release, and investors are encouraged to review the reconciliations.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are not providing a quantitative reconciliation of Adjusted EBITDA, Adjusted EPS, or Free Cash Flow which are included in our 2026 financial guidance above, in reliance on the “unreasonable efforts” exception for forward-looking non-GAAP measures set forth in SEC rules because certain financial information, the probable significance of which cannot be determined, is not available and cannot be reasonably estimated without unreasonable effort and expense. In this regard, we are unable to provide a reconciliation of forward-looking Adjusted EBITDA to GAAP net income, Adjusted EPS to net income per share and Free Cash Flow to net cash provided by operating activities, due to the inherent difficulty in forecasting and quantifying certain amounts that are necessary for such reconciliation. Due to the uncertainty of estimates and assumptions used in preparing forward-looking non-GAAP measures, we caution investors that actual results could differ materially from these non-GAAP financial projections.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We use the non-GAAP metrics EBITDA, Adjusted EBITDA, Free Cash Flow, Adjusted Net Income, Adjusted EPS, and Adjusted EBITDA Margin to measure our performance from period to period, to evaluate and fund incentive compensation programs and to compare our results to those of our competitors. We use the non-GAAP metrics Free Cash Flow in connection with managing the business and we use the non-GAAP metrics “Net Debt” and “Net Leverage” to understand our overall leverage position and to evaluate capital allocation decisions. In addition, we also believe that these non-GAAP measures provide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 liquidity, and leverage relative to other periods. These non-GAAP measures have certain limitations as analytical tools and should not be used as substitutes for net income, cash flows from operations, earnings per share, other consolidated income, cash flow, or debt data prepared in accordance with GAAP.</w:t>
      </w:r>
    </w:p>
    <w:p>
      <w:pPr>
        <w:pStyle w:val="TextBody"/>
        <w:bidi w:val="0"/>
        <w:spacing w:before="240" w:after="120"/>
        <w:jc w:val="both"/>
        <w:rPr>
          <w:rFonts w:ascii="Times New Roman" w:hAnsi="Times New Roman"/>
          <w:sz w:val="20"/>
        </w:rPr>
      </w:pPr>
      <w:r>
        <w:rPr>
          <w:rFonts w:ascii="Times New Roman" w:hAnsi="Times New Roman"/>
          <w:b/>
          <w:color w:val="000000"/>
          <w:sz w:val="22"/>
        </w:rPr>
        <w:t>EBITDA and Adjusted EBITDA</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We define “EBITDA” as net (loss) income adjusted to exclude interest expense, net, income taxes, depreciation and amortization. “Adjusted EBITDA” further excludes certain non-cash expenses and non-recurring items.</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Free Cash Flow</w:t>
      </w:r>
    </w:p>
    <w:p>
      <w:pPr>
        <w:pStyle w:val="TextBody"/>
        <w:bidi w:val="0"/>
        <w:jc w:val="both"/>
        <w:rPr>
          <w:rFonts w:ascii="Times New Roman" w:hAnsi="Times New Roman"/>
          <w:color w:val="000000"/>
          <w:sz w:val="22"/>
        </w:rPr>
      </w:pPr>
      <w:r>
        <w:rPr>
          <w:rFonts w:ascii="Times New Roman" w:hAnsi="Times New Roman"/>
          <w:color w:val="000000"/>
          <w:sz w:val="22"/>
        </w:rPr>
        <w:t>We define “Free Cash Flow” as net cash flow provided by operating activities less purchases of installation and service parts and property and equipment.</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Adjusted Net Income</w:t>
      </w:r>
    </w:p>
    <w:p>
      <w:pPr>
        <w:pStyle w:val="TextBody"/>
        <w:bidi w:val="0"/>
        <w:jc w:val="both"/>
        <w:rPr>
          <w:rFonts w:ascii="Times New Roman" w:hAnsi="Times New Roman"/>
          <w:color w:val="000000"/>
          <w:sz w:val="22"/>
        </w:rPr>
      </w:pPr>
      <w:r>
        <w:rPr>
          <w:rFonts w:ascii="Times New Roman" w:hAnsi="Times New Roman"/>
          <w:color w:val="000000"/>
          <w:sz w:val="22"/>
        </w:rPr>
        <w:t>We define “Adjusted Net Income” as net (loss) income adjusted to exclude amortization of intangibles and certain non-cash or non-recurring expenses such as loss on extinguishment of debt, among other items.</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Adjusted EPS</w:t>
      </w:r>
    </w:p>
    <w:p>
      <w:pPr>
        <w:pStyle w:val="TextBody"/>
        <w:bidi w:val="0"/>
        <w:jc w:val="both"/>
        <w:rPr>
          <w:rFonts w:ascii="Times New Roman" w:hAnsi="Times New Roman"/>
          <w:color w:val="000000"/>
          <w:sz w:val="22"/>
        </w:rPr>
      </w:pPr>
      <w:r>
        <w:rPr>
          <w:rFonts w:ascii="Times New Roman" w:hAnsi="Times New Roman"/>
          <w:color w:val="000000"/>
          <w:sz w:val="22"/>
        </w:rPr>
        <w:t>We define “Adjusted EPS” as Adjusted Net Income divided by the diluted weighted average shares for the period.</w:t>
      </w:r>
    </w:p>
    <w:p>
      <w:pPr>
        <w:pStyle w:val="TextBody"/>
        <w:bidi w:val="0"/>
        <w:spacing w:before="24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Adjusted EBITDA Margin</w:t>
      </w:r>
    </w:p>
    <w:p>
      <w:pPr>
        <w:pStyle w:val="TextBody"/>
        <w:bidi w:val="0"/>
        <w:jc w:val="both"/>
        <w:rPr>
          <w:rFonts w:ascii="Times New Roman" w:hAnsi="Times New Roman"/>
          <w:color w:val="000000"/>
          <w:sz w:val="22"/>
        </w:rPr>
      </w:pPr>
      <w:r>
        <w:rPr>
          <w:rFonts w:ascii="Times New Roman" w:hAnsi="Times New Roman"/>
          <w:color w:val="000000"/>
          <w:sz w:val="22"/>
        </w:rPr>
        <w:t>We define “Adjusted EBITDA Margin” as Adjusted EBITDA as a percentage of total revenue.</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Net Debt</w:t>
      </w:r>
    </w:p>
    <w:p>
      <w:pPr>
        <w:pStyle w:val="TextBody"/>
        <w:bidi w:val="0"/>
        <w:jc w:val="both"/>
        <w:rPr>
          <w:rFonts w:ascii="Times New Roman" w:hAnsi="Times New Roman"/>
          <w:color w:val="000000"/>
          <w:sz w:val="22"/>
        </w:rPr>
      </w:pPr>
      <w:r>
        <w:rPr>
          <w:rFonts w:ascii="Times New Roman" w:hAnsi="Times New Roman"/>
          <w:color w:val="000000"/>
          <w:sz w:val="22"/>
        </w:rPr>
        <w:t>We define “Net Debt” as total debt, net excluding original issue discounts and unamortized deferred financing costs, less cash and cash equivalents.</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Net Leverage</w:t>
      </w:r>
    </w:p>
    <w:p>
      <w:pPr>
        <w:pStyle w:val="TextBody"/>
        <w:bidi w:val="0"/>
        <w:jc w:val="both"/>
        <w:rPr>
          <w:rFonts w:ascii="Times New Roman" w:hAnsi="Times New Roman"/>
          <w:color w:val="000000"/>
          <w:sz w:val="22"/>
        </w:rPr>
      </w:pPr>
      <w:r>
        <w:rPr>
          <w:rFonts w:ascii="Times New Roman" w:hAnsi="Times New Roman"/>
          <w:color w:val="000000"/>
          <w:sz w:val="22"/>
        </w:rPr>
        <w:t>We define “Net Leverage” as Net Debt divided by the trailing twelve months Adjusted EBITDA as of the current quarter-end.</w:t>
      </w:r>
    </w:p>
    <w:p>
      <w:pPr>
        <w:pStyle w:val="TextBody"/>
        <w:bidi w:val="0"/>
        <w:spacing w:before="240" w:after="120"/>
        <w:jc w:val="both"/>
        <w:rPr>
          <w:rFonts w:ascii="Times New Roman" w:hAnsi="Times New Roman"/>
          <w:b/>
          <w:color w:val="000000"/>
          <w:sz w:val="22"/>
        </w:rPr>
      </w:pPr>
      <w:r>
        <w:rPr>
          <w:rFonts w:ascii="Times New Roman" w:hAnsi="Times New Roman"/>
          <w:b/>
          <w:color w:val="000000"/>
          <w:sz w:val="22"/>
        </w:rPr>
        <w:t>Additional Metrics</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Recurring Revenue or Recurring Service Revenue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We define “Recurring Revenue” or “Recurring Service Revenue” as all revenue other than product sales for each of our segments, as we typically generate revenue on a recurring monthly basis under long-term contracts with our customers. This includes our Commercial Services segment where we generate service revenue through processing of tolls, violations, and titles and registrations.</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VERRA MOBILITY CORPORATION</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9559" w:type="dxa"/>
        <w:jc w:val="left"/>
        <w:tblInd w:w="0" w:type="dxa"/>
        <w:tblLayout w:type="fixed"/>
        <w:tblCellMar>
          <w:top w:w="28" w:type="dxa"/>
          <w:left w:w="28" w:type="dxa"/>
          <w:bottom w:w="28" w:type="dxa"/>
          <w:right w:w="28" w:type="dxa"/>
        </w:tblCellMar>
      </w:tblPr>
      <w:tblGrid>
        <w:gridCol w:w="6426"/>
        <w:gridCol w:w="146"/>
        <w:gridCol w:w="211"/>
        <w:gridCol w:w="931"/>
        <w:gridCol w:w="166"/>
        <w:gridCol w:w="146"/>
        <w:gridCol w:w="211"/>
        <w:gridCol w:w="931"/>
        <w:gridCol w:w="391"/>
      </w:tblGrid>
      <w:tr>
        <w:trPr/>
        <w:tc>
          <w:tcPr>
            <w:tcW w:w="6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$20.4 million and</w:t>
              <w:br/>
              <w:t>$23.0 million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Installation and service parts,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common stock, $0.0001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VERRA MOBILITY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AND COMPREHENSIVE (LOSS) INCOME</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44"/>
        <w:gridCol w:w="146"/>
        <w:gridCol w:w="211"/>
        <w:gridCol w:w="781"/>
        <w:gridCol w:w="166"/>
        <w:gridCol w:w="146"/>
        <w:gridCol w:w="211"/>
        <w:gridCol w:w="781"/>
        <w:gridCol w:w="166"/>
        <w:gridCol w:w="146"/>
        <w:gridCol w:w="211"/>
        <w:gridCol w:w="781"/>
        <w:gridCol w:w="166"/>
        <w:gridCol w:w="146"/>
        <w:gridCol w:w="211"/>
        <w:gridCol w:w="781"/>
        <w:gridCol w:w="31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435,379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459,279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155,056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99,967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338,700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120,579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33,208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97,435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Total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(48,348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79,427</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159,511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161,804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VERRA MOBILITY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021" w:type="dxa"/>
        <w:jc w:val="left"/>
        <w:tblInd w:w="0" w:type="dxa"/>
        <w:tblLayout w:type="fixed"/>
        <w:tblCellMar>
          <w:top w:w="28" w:type="dxa"/>
          <w:left w:w="28" w:type="dxa"/>
          <w:bottom w:w="28" w:type="dxa"/>
          <w:right w:w="28" w:type="dxa"/>
        </w:tblCellMar>
      </w:tblPr>
      <w:tblGrid>
        <w:gridCol w:w="7201"/>
        <w:gridCol w:w="146"/>
        <w:gridCol w:w="212"/>
        <w:gridCol w:w="740"/>
        <w:gridCol w:w="167"/>
        <w:gridCol w:w="146"/>
        <w:gridCol w:w="212"/>
        <w:gridCol w:w="786"/>
        <w:gridCol w:w="411"/>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proceeds from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remeasurement of share-based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Uncertain tax position reserve release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proceeds from the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Amended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on Amended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financing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equipment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VERRA MOBILITY 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114" w:type="dxa"/>
        <w:jc w:val="left"/>
        <w:tblInd w:w="0" w:type="dxa"/>
        <w:tblLayout w:type="fixed"/>
        <w:tblCellMar>
          <w:top w:w="28" w:type="dxa"/>
          <w:left w:w="28" w:type="dxa"/>
          <w:bottom w:w="28" w:type="dxa"/>
          <w:right w:w="28" w:type="dxa"/>
        </w:tblCellMar>
      </w:tblPr>
      <w:tblGrid>
        <w:gridCol w:w="7201"/>
        <w:gridCol w:w="146"/>
        <w:gridCol w:w="211"/>
        <w:gridCol w:w="841"/>
        <w:gridCol w:w="166"/>
        <w:gridCol w:w="146"/>
        <w:gridCol w:w="211"/>
        <w:gridCol w:w="781"/>
        <w:gridCol w:w="411"/>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proceeds from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remeasurement of share-based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Uncertain tax position reserve release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proceeds from the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Amended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on Amended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financing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equipment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VERRA MOBILITY CORPORATION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RECONCILIATION OF NET (LOSS) INCOME TO ADJUSTED EBITDA </w:t>
      </w:r>
      <w:r>
        <w:rPr>
          <w:rFonts w:ascii="Times New Roman" w:hAnsi="Times New Roman"/>
          <w:color w:val="000000"/>
          <w:sz w:val="22"/>
        </w:rPr>
        <w:t>(Unaudited)</w:t>
      </w:r>
    </w:p>
    <w:p>
      <w:pPr>
        <w:pStyle w:val="TextBody"/>
        <w:bidi w:val="0"/>
        <w:jc w:val="center"/>
        <w:rPr/>
      </w:pPr>
      <w:r>
        <w:rPr/>
        <w:t> </w:t>
      </w:r>
    </w:p>
    <w:tbl>
      <w:tblPr>
        <w:tblW w:w="9352" w:type="dxa"/>
        <w:jc w:val="left"/>
        <w:tblInd w:w="0" w:type="dxa"/>
        <w:tblLayout w:type="fixed"/>
        <w:tblCellMar>
          <w:top w:w="28" w:type="dxa"/>
          <w:left w:w="28" w:type="dxa"/>
          <w:bottom w:w="28" w:type="dxa"/>
          <w:right w:w="28" w:type="dxa"/>
        </w:tblCellMar>
      </w:tblPr>
      <w:tblGrid>
        <w:gridCol w:w="3451"/>
        <w:gridCol w:w="146"/>
        <w:gridCol w:w="211"/>
        <w:gridCol w:w="781"/>
        <w:gridCol w:w="331"/>
        <w:gridCol w:w="146"/>
        <w:gridCol w:w="211"/>
        <w:gridCol w:w="781"/>
        <w:gridCol w:w="271"/>
        <w:gridCol w:w="146"/>
        <w:gridCol w:w="211"/>
        <w:gridCol w:w="781"/>
        <w:gridCol w:w="331"/>
        <w:gridCol w:w="146"/>
        <w:gridCol w:w="211"/>
        <w:gridCol w:w="781"/>
        <w:gridCol w:w="41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Transaction and other related expenses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Transformation expenses </w:t>
            </w:r>
            <w:r>
              <w:rPr>
                <w:rFonts w:ascii="Times New Roman" w:hAnsi="Times New Roman"/>
                <w:color w:val="000000"/>
                <w:sz w:val="13"/>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accrual/settlement </w:t>
            </w:r>
            <w:r>
              <w:rPr>
                <w:rFonts w:ascii="Times New Roman" w:hAnsi="Times New Roman"/>
                <w:color w:val="000000"/>
                <w:sz w:val="13"/>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impairment </w:t>
            </w:r>
            <w:r>
              <w:rPr>
                <w:rFonts w:ascii="Times New Roman" w:hAnsi="Times New Roman"/>
                <w:color w:val="000000"/>
                <w:sz w:val="13"/>
              </w:rPr>
              <w:t>(iv)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Impairment of intangible assets </w:t>
            </w:r>
            <w:r>
              <w:rPr>
                <w:rFonts w:ascii="Times New Roman" w:hAnsi="Times New Roman"/>
                <w:color w:val="000000"/>
                <w:sz w:val="13"/>
              </w:rPr>
              <w:t>(v)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pricing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Stock-based compensation </w:t>
            </w:r>
            <w:r>
              <w:rPr>
                <w:rFonts w:ascii="Times New Roman" w:hAnsi="Times New Roman"/>
                <w:color w:val="000000"/>
                <w:sz w:val="13"/>
              </w:rPr>
              <w:t>(vi)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200,761</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(Loss)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459,279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Transaction and other related expenses for the periods presented primarily related to deal costs incurred for potential acquisitions.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Transformation expenses for the 2026 periods consist of severance and other employee separation costs. Transformation expenses for the 2025 periods represent a non-cash benefit in relation to a building lease.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six months ended June 30, 2026 this relates to a legal settlement finalized in the first quarter of 2026 in the form of cash and equity securities, an adjustment relating to the equity securities to remeasure to fair value at the end of the reporting period, and directly associated legal costs incurred during the quarter. For the three months ended June 30, 2026 this consists of the quarterly adjustment relating to the equity securities to remeasure to fair value at the end of the reporting period.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relates to the non-cash impairment of goodwill in our Parking Solutions segment further discussed above.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relates to the non-cash impairment of intangible assets in our Parking Solutions segment further discussed above.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Stock-based compensation represents the non-cash charge related to the issuance of awards under the Verra Mobility Corporation Amended and Restated 2018 Equity Incentive Plan.</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RECONCILIATION OF NET CASH PROVIDED BY OPERATING ACTIVITIES TO FREE CASH FLOW </w:t>
      </w: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32"/>
        <w:gridCol w:w="146"/>
        <w:gridCol w:w="215"/>
        <w:gridCol w:w="752"/>
        <w:gridCol w:w="169"/>
        <w:gridCol w:w="148"/>
        <w:gridCol w:w="215"/>
        <w:gridCol w:w="752"/>
        <w:gridCol w:w="166"/>
        <w:gridCol w:w="146"/>
        <w:gridCol w:w="211"/>
        <w:gridCol w:w="736"/>
        <w:gridCol w:w="166"/>
        <w:gridCol w:w="146"/>
        <w:gridCol w:w="211"/>
        <w:gridCol w:w="781"/>
        <w:gridCol w:w="313"/>
      </w:tblGrid>
      <w:tr>
        <w:trPr/>
        <w:tc>
          <w:tcPr>
            <w:tcW w:w="4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installation and service parts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RECONCILIATION OF NET (LOSS) INCOME TO ADJUSTED NET INCOME AND CALCULATION OF ADJUSTED EPS </w:t>
      </w:r>
      <w:r>
        <w:rPr>
          <w:rFonts w:ascii="Times New Roman" w:hAnsi="Times New Roman"/>
          <w:color w:val="000000"/>
          <w:sz w:val="22"/>
        </w:rPr>
        <w:t>(Unaudited)</w:t>
      </w:r>
    </w:p>
    <w:p>
      <w:pPr>
        <w:pStyle w:val="TextBody"/>
        <w:bidi w:val="0"/>
        <w:jc w:val="center"/>
        <w:rPr/>
      </w:pPr>
      <w:r>
        <w:rPr/>
        <w:t> </w:t>
      </w:r>
    </w:p>
    <w:tbl>
      <w:tblPr>
        <w:tblW w:w="9842" w:type="dxa"/>
        <w:jc w:val="left"/>
        <w:tblInd w:w="0" w:type="dxa"/>
        <w:tblLayout w:type="fixed"/>
        <w:tblCellMar>
          <w:top w:w="28" w:type="dxa"/>
          <w:left w:w="28" w:type="dxa"/>
          <w:bottom w:w="28" w:type="dxa"/>
          <w:right w:w="28" w:type="dxa"/>
        </w:tblCellMar>
      </w:tblPr>
      <w:tblGrid>
        <w:gridCol w:w="4066"/>
        <w:gridCol w:w="146"/>
        <w:gridCol w:w="211"/>
        <w:gridCol w:w="781"/>
        <w:gridCol w:w="271"/>
        <w:gridCol w:w="146"/>
        <w:gridCol w:w="211"/>
        <w:gridCol w:w="781"/>
        <w:gridCol w:w="271"/>
        <w:gridCol w:w="146"/>
        <w:gridCol w:w="211"/>
        <w:gridCol w:w="781"/>
        <w:gridCol w:w="271"/>
        <w:gridCol w:w="146"/>
        <w:gridCol w:w="211"/>
        <w:gridCol w:w="781"/>
        <w:gridCol w:w="4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Transaction and other related expenses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Transformation expenses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Legal accrual/settlement </w:t>
            </w:r>
            <w:r>
              <w:rPr>
                <w:rFonts w:ascii="Times New Roman" w:hAnsi="Times New Roman"/>
                <w:color w:val="000000"/>
                <w:sz w:val="13"/>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Goodwill impairment </w:t>
            </w:r>
            <w:r>
              <w:rPr>
                <w:rFonts w:ascii="Times New Roman" w:hAnsi="Times New Roman"/>
                <w:color w:val="000000"/>
                <w:sz w:val="13"/>
              </w:rPr>
              <w: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Impairment of intangible assets </w:t>
            </w:r>
            <w:r>
              <w:rPr>
                <w:rFonts w:ascii="Times New Roman" w:hAnsi="Times New Roman"/>
                <w:color w:val="000000"/>
                <w:sz w:val="13"/>
              </w:rPr>
              <w:t>(v)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credit on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Stock-based compensation </w:t>
            </w:r>
            <w:r>
              <w:rPr>
                <w:rFonts w:ascii="Times New Roman" w:hAnsi="Times New Roman"/>
                <w:color w:val="000000"/>
                <w:sz w:val="13"/>
              </w:rPr>
              <w:t>(vi)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adjustments before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effect 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adjustments after income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97,115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Diluted weighted average shares outstanding </w:t>
            </w:r>
            <w:r>
              <w:rPr>
                <w:rFonts w:ascii="Times New Roman" w:hAnsi="Times New Roman"/>
                <w:color w:val="000000"/>
                <w:sz w:val="13"/>
              </w:rPr>
              <w:t>(vii)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 estimated effective income tax rate </w:t>
            </w:r>
            <w:r>
              <w:rPr>
                <w:rFonts w:ascii="Times New Roman" w:hAnsi="Times New Roman"/>
                <w:color w:val="000000"/>
                <w:sz w:val="13"/>
              </w:rPr>
              <w:t>(viii)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Transaction and other related expenses for the periods presented primarily related to deal costs incurred for potential acquisitions.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Transformation expenses for the 2026 periods consist of severance and other employee separation costs. Transformation expenses for the 2025 periods represent a non-cash benefit in relation to a building lease.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the six months ended June 30, 2026 this relates to a legal settlement finalized in the first quarter of 2026 in the form of cash and equity securities, an adjustment relating to the equity securities to remeasure to fair value at the end of the reporting period, and directly associated legal costs incurred during the quarter. For the three months ended June 30, 2026 this consists of the quarterly adjustment relating to the equity securities to remeasure to fair value at the end of the reporting period.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relates to the non-cash impairment of goodwill in our Parking Solutions segment further discussed above.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This relates to the non-cash impairment of intangible assets in our Parking Solutions segment further discussed above.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Stock-based compensation represents the non-cash charge related to the issuance of awards under the Verra Mobility Corporation Amended and Restated 2018 Equity Incentive Plan.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diluted weighted average shares outstanding used above includes the dilutive effect of common stock equivalents outstanding for the 2026 periods. This differs from the weighted average shares outstanding used for net loss per share on our condensed consolidated statement of operations which have an anti-dilutive effect for the 2026 periods.</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annual estimated effective tax rate used above excludes discrete items as they do not impact taxable income. This rate differs from the period-to-date effective tax rate used on our condensed consolidated statements of operations which includes the discrete items.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RECONCILIATION OF TOTAL DEBT, NET TO NET DEBT AND NET LEVERAGE </w:t>
      </w:r>
      <w:r>
        <w:rPr>
          <w:rFonts w:ascii="Times New Roman" w:hAnsi="Times New Roman"/>
          <w:color w:val="000000"/>
          <w:sz w:val="22"/>
        </w:rPr>
        <w:t>(Unaudited)</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931"/>
        <w:gridCol w:w="166"/>
        <w:gridCol w:w="146"/>
        <w:gridCol w:w="211"/>
        <w:gridCol w:w="931"/>
        <w:gridCol w:w="3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1,028,045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excluding original issue discounts and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1,037,082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971,810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Leverage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2.4x</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2.3x</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Trailing twelve months adjusted EBITDA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415,905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Trailing Twelve Months or “TTM” refers to the trailing four quarters and is calculated by adding the sum of the current quarter’s and the prior three quarters’ being measured.</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QUARTERLY RESULTS AND RECONCILIATION OF NET INCOME (LOSS) TO ADJUSTED EBITDA</w:t>
      </w:r>
    </w:p>
    <w:p>
      <w:pPr>
        <w:pStyle w:val="TextBody"/>
        <w:bidi w:val="0"/>
        <w:jc w:val="center"/>
        <w:rPr>
          <w:rFonts w:ascii="Times New Roman" w:hAnsi="Times New Roman"/>
          <w:color w:val="000000"/>
          <w:sz w:val="22"/>
        </w:rPr>
      </w:pPr>
      <w:r>
        <w:rPr>
          <w:rFonts w:ascii="Times New Roman" w:hAnsi="Times New Roman"/>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573"/>
        <w:gridCol w:w="219"/>
        <w:gridCol w:w="485"/>
        <w:gridCol w:w="146"/>
        <w:gridCol w:w="211"/>
        <w:gridCol w:w="571"/>
        <w:gridCol w:w="166"/>
        <w:gridCol w:w="211"/>
        <w:gridCol w:w="571"/>
        <w:gridCol w:w="166"/>
        <w:gridCol w:w="211"/>
        <w:gridCol w:w="571"/>
        <w:gridCol w:w="146"/>
        <w:gridCol w:w="222"/>
        <w:gridCol w:w="601"/>
        <w:gridCol w:w="166"/>
        <w:gridCol w:w="211"/>
        <w:gridCol w:w="526"/>
        <w:gridCol w:w="166"/>
        <w:gridCol w:w="211"/>
        <w:gridCol w:w="571"/>
        <w:gridCol w:w="166"/>
        <w:gridCol w:w="222"/>
        <w:gridCol w:w="601"/>
        <w:gridCol w:w="295"/>
      </w:tblGrid>
      <w:tr>
        <w:trPr/>
        <w:tc>
          <w:tcPr>
            <w:tcW w:w="25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millions)</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TTM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TTM 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EBITDA</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Transaction and other related expenses </w:t>
            </w:r>
            <w:r>
              <w:rPr>
                <w:rFonts w:ascii="Times New Roman" w:hAnsi="Times New Roman"/>
                <w:color w:val="000000"/>
                <w:sz w:val="13"/>
              </w:rPr>
              <w:t>(i)</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Transformation expenses </w:t>
            </w:r>
            <w:r>
              <w:rPr>
                <w:rFonts w:ascii="Times New Roman" w:hAnsi="Times New Roman"/>
                <w:color w:val="000000"/>
                <w:sz w:val="13"/>
              </w:rPr>
              <w:t>(ii)</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Legal accrual/settlement </w:t>
            </w:r>
            <w:r>
              <w:rPr>
                <w:rFonts w:ascii="Times New Roman" w:hAnsi="Times New Roman"/>
                <w:color w:val="000000"/>
                <w:sz w:val="13"/>
              </w:rPr>
              <w:t>(iii)</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impairment </w:t>
            </w:r>
            <w:r>
              <w:rPr>
                <w:rFonts w:ascii="Times New Roman" w:hAnsi="Times New Roman"/>
                <w:color w:val="000000"/>
                <w:sz w:val="13"/>
              </w:rPr>
              <w:t>(iv)</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Impairment of intangible assets </w:t>
            </w:r>
            <w:r>
              <w:rPr>
                <w:rFonts w:ascii="Times New Roman" w:hAnsi="Times New Roman"/>
                <w:color w:val="000000"/>
                <w:sz w:val="13"/>
              </w:rPr>
              <w:t>(v)</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receivable agreement liability adjustment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Stock-based compensation </w:t>
            </w:r>
            <w:r>
              <w:rPr>
                <w:rFonts w:ascii="Times New Roman" w:hAnsi="Times New Roman"/>
                <w:color w:val="000000"/>
                <w:sz w:val="13"/>
              </w:rPr>
              <w:t>(vi)</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Transaction and other related expenses for the periods presented primarily related to deal costs incurred for potential acquisitions and debt modification costs related to the 2025 refinancing on our first lien term loan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99.1</w:t>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Transformation expenses for the 2026 periods consist of severance and other employee separation costs. Transformation expenses for the periods in 2025 primarily consist of expenses related to exit activities initiated during the fourth quarter in addition to a non-cash benefit in relation to a building lease for the full year.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relates to a legal settlement finalized in the first quarter of 2026 in the form of cash and equity securities, adjustments related to the equity securities to remeasure to fair value at the end of the reporting periods, and directly associated legal costs incurred. For the periods in 2025 this item relates to adjustments to loss contingencies.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(iv)</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relates to the non-cash impairment of goodwill in our Parking Solutions segment further discussed above.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(v)</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relates to the non-cash impairment of intangible assets in our Parking Solutions segment further discussed above.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(vi)</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Stock-based compensation represents the non-cash charge related to the issuance of awards under the Verra Mobility Corporation Amended and Restated 2018 Equity Incentive Plan.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Investor Relations Contact</w:t>
      </w:r>
    </w:p>
    <w:p>
      <w:pPr>
        <w:pStyle w:val="TextBody"/>
        <w:bidi w:val="0"/>
        <w:jc w:val="left"/>
        <w:rPr>
          <w:rFonts w:ascii="Times New Roman" w:hAnsi="Times New Roman"/>
          <w:color w:val="000000"/>
          <w:sz w:val="22"/>
        </w:rPr>
      </w:pPr>
      <w:r>
        <w:rPr>
          <w:rFonts w:ascii="Times New Roman" w:hAnsi="Times New Roman"/>
          <w:color w:val="000000"/>
          <w:sz w:val="22"/>
        </w:rPr>
        <w:t>Mark Zindler</w:t>
      </w:r>
    </w:p>
    <w:p>
      <w:pPr>
        <w:pStyle w:val="TextBody"/>
        <w:bidi w:val="0"/>
        <w:jc w:val="left"/>
        <w:rPr>
          <w:rFonts w:ascii="Times New Roman" w:hAnsi="Times New Roman"/>
          <w:color w:val="A9C23F"/>
          <w:sz w:val="22"/>
          <w:u w:val="single"/>
        </w:rPr>
      </w:pPr>
      <w:r>
        <w:rPr>
          <w:rFonts w:ascii="Times New Roman" w:hAnsi="Times New Roman"/>
          <w:color w:val="A9C23F"/>
          <w:sz w:val="22"/>
          <w:u w:val="single"/>
        </w:rPr>
        <w:t>mark.zindler@verramobility.com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12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7498</Words>
  <Characters>42257</Characters>
  <CharactersWithSpaces>50356</CharactersWithSpaces>
  <Paragraphs>3172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