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013d8k.htm"/>
      <w:bookmarkStart w:id="1" w:name="ksd11601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VERRA MOBILITY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1-37979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81-3563824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2046 Riverview Auto Drive, Suite 300</w:t>
            </w:r>
          </w:p>
          <w:p>
            <w:pPr>
              <w:pStyle w:val="TableContents"/>
              <w:bidi w:val="0"/>
              <w:spacing w:before="0" w:after="20"/>
              <w:jc w:val="center"/>
              <w:rPr>
                <w:rFonts w:ascii="Times New Roman" w:hAnsi="Times New Roman"/>
                <w:b/>
                <w:sz w:val="20"/>
              </w:rPr>
            </w:pPr>
            <w:r>
              <w:rPr>
                <w:rFonts w:ascii="Times New Roman" w:hAnsi="Times New Roman"/>
                <w:b/>
                <w:sz w:val="20"/>
              </w:rPr>
              <w:t>Mesa,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(480) 443-7000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4970"/>
        <w:gridCol w:w="60"/>
        <w:gridCol w:w="740"/>
        <w:gridCol w:w="60"/>
        <w:gridCol w:w="228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VRRM</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30, 2026, the Board of Directors (the “Board”) of Verra Mobility Corporation (the “Company”) appointed Jon Newhard as President and Chief Executive Officer of the Company, effective November 1, 2026 (the “Commencement Date”) and as a member of the Board, effective as of the same date. In connection with the Board appointment, the Board approved an increase in the size of the Board from six directors to seven directors, effective as of the Commencement Date. Mr. Newhard’s appointment as President and Chief Executive Officer of the Company and as a member of the Board are contingent upon the completion of a customary background check. </w:t>
      </w:r>
    </w:p>
    <w:p>
      <w:pPr>
        <w:pStyle w:val="TextBody"/>
        <w:bidi w:val="0"/>
        <w:spacing w:before="240" w:after="0"/>
        <w:jc w:val="left"/>
        <w:rPr>
          <w:rFonts w:ascii="Times New Roman" w:hAnsi="Times New Roman"/>
          <w:sz w:val="20"/>
        </w:rPr>
      </w:pPr>
      <w:r>
        <w:rPr>
          <w:rFonts w:ascii="Times New Roman" w:hAnsi="Times New Roman"/>
          <w:sz w:val="20"/>
        </w:rPr>
        <w:t xml:space="preserve">Mr. Newhard, age 57, served as Chief Executive Officer of Yunex Traffic GmbH from March 2024 until September 2026. Previously, he served as Chief Executive Officer of Clinc, Inc. from July 2020 until January 2024. Mr. Newhard also served as Chief Executive Officer of Advanced Traffic Solutions Inc. (Trafficware) from 2013 to 2018 and following its acquisition by Cubic Corporation, he led Cubic’s ITS division until 2020. Mr. Newhard earned a Bachelor of Science in Engineering and Economics from the United States Military Academy at West Point and a Master’s in Business Administration from Harvard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VM Consolidated, Inc., a wholly-owned subsidiary of the Company, entered into an employment agreement with Mr. Newhard (the “Employment Agreement”), dated as of October 1, 2026, pursuant to which Mr. Newhard will serve as President and Chief Executive Officer. Under the Employment Agreement, Mr. Newhard’s principal office will be at the Company’s headquarters in Mesa, Arizona.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Agreement, Mr. Newhard will receive an annual base salary of $725,000. Commencing with fiscal year 2027, Mr. Newhard will be eligible to receive an annual discretionary cash bonus with a target opportunity of 100% of his base salary under the Verra Mobility Amended and Restated Short-Term Incentive Plan (the “Short-Term Incentive Plan”), subject to the terms determined by the Compensation Committee (the “Compensation Committee”) of the Board. In addition, Mr. Newhard will be eligible for a pro-rata cash bonus under the Short-Term Incentive Plan for fiscal year 2026 based on the number of days actually worked beginning on the Commencement Date with a target opportunity of 100% of his base salary paid during the applicable plan year. Mr. Newhard will also be eligible to participate in the Company’s employee retirement and welfare benefit plans made available to its senior level executives, which include medical, dental, and vision coverage, employer-paid life and disability insurance, 401(k), and paid time off. </w:t>
      </w:r>
    </w:p>
    <w:p>
      <w:pPr>
        <w:pStyle w:val="TextBody"/>
        <w:bidi w:val="0"/>
        <w:spacing w:before="240" w:after="0"/>
        <w:jc w:val="left"/>
        <w:rPr>
          <w:rFonts w:ascii="Times New Roman" w:hAnsi="Times New Roman"/>
          <w:sz w:val="20"/>
        </w:rPr>
      </w:pPr>
      <w:r>
        <w:rPr>
          <w:rFonts w:ascii="Times New Roman" w:hAnsi="Times New Roman"/>
          <w:sz w:val="20"/>
        </w:rPr>
        <w:t xml:space="preserve">Commencing in fiscal year 2027, Mr. Newhard will be eligible for annual equity incentive awards under the Company’s Amended and Restated 2018 Equity Incentive Plan with an estimated target grant date fair value of $4,000,000, subject to the Compensation Committee’s final determination. The terms, vehicle mix, design terms, vesting conditions and grant timing of such awards will be determined by the Compensation Committee based on the Company’s go-forward strategy and context.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 provides that if Mr. Newhard’s employment is terminated by the Company without “Cause” or by Mr. Newhard for “Good Reason” (each as defined in the Employment Agreement), subject to his execution and non-revocation of a general release of claims and compliance with the restrictive covenants contained in the Employment Agreement, Mr. Newhard will be entitled to receive: (i) cash severance equal to 18 months of his then-current base salary; (ii) a cash amount equal to 1.5 times his Short-Term Incentive Plan bonus target; and (iii) a cash amount representing the total cost of group healthcare premiums for COBRA continuation coverage for a period of 18 months.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termination of Mr. Newhard’s employment by the Company without Cause or by Mr. Newhard for Good Reason within 12 months following a “Change in Control” (as defined in the Employment Agreement), subject to the same release and compliance requirements, Mr. Newhard will be entitled to receive: (i) cash severance equal to 24 months of his then-current base salary; (ii) a cash amount equal to 2.0 times his Short-Term Incentive Plan bonus target; (iii) a cash amount representing the total cost of group healthcare premiums for COBRA continuation coverage for a period of 24 months; and (iv) full accelerated vesting of all outstanding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commencement of employment, the Company will pay Mr. Newhard a one-time cash sign-on bonus of $25,000, subject to applicable taxes and withholdings, payable on the Company’s first payroll processing date following the Commencement Date. If Mr. Newhard voluntarily terminates employment with the Company without Good Reason within 12 months of the Commencement Date, he will be required to repay the full amount of the sign-on bonus to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provide relocation assistance to Mr. Newhard in connection with his relocation to the Company’s principal headquarters, including a monthly temporary living allowance for up to three months, reimbursement for reasonable and documented permanent relocation costs (including transportation, destination services, shipping of household goods and other customary relocation expenses) and a tax gross-up payment to cover the incremental U.S. income tax liability arising from the relocation benefits. If Mr. Newhard voluntarily terminates employment without Good Reason or is terminated for Cause within 12 months of the Commencement Date, he will be required to repay 100% of the relocation assistance received, and if such termination occurs after 12 months but within 24 months of the Commencement Date, he will be required to repay 50% of the relocation assistance received.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Agreement, if Mr. Newhard is required to pay his former employer in connection with the termination of his employment, the Company will reimburse Mr. Newhard up to a total gross payment of $660,000, subject to applicable taxes and withholdings. If Mr. Newhard voluntarily terminates employment with the Company within 12 months of the Commencement Date, he will be required to repay the full reimbursement amount actually received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soon as practicable after the Commencement Date, and subject to Board approval, the Company will grant Mr. Newhard restricted stock units with a grant date fair value of $4,750,000 (the “Inducement RSU Award”). The Inducement RSU Award will be granted subject to such approvals applicable to a new hire inducement award in accordance with NASDAQ Listing Rule 5635(c)(4) and applicable requirements, and not pursuant to the Company’s Amended and Restated 2018 Equity Incentive Plan or any other shareholder approved equity compensation plan of the Company. Subject to such approval, the Inducement RSU Award will vest in three equal annual installments beginning on the first anniversary of the Commencement Date, contingent on Mr. Newhard’s continued employment through each applicable vesting date. The number of restricted stock units to be granted pursuant to the Inducement RSU Award will be determined using the greater of the fair market value of the Company’s Class A common stock on the date of grant or $3.00.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 contains customary restrictive covenants, including non-competition and non-solicitation provisions for a period of 18 months following termination of employment, as well as confidentiality, non-disparagement, and cooperation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enter into an indemnity agreement with Mr. Newhard (the “Indemnity Agreement”) on the Commencement Date. Subject to certain terms and conditions, the Indemnity Agreement provides for indemnification and advancements of certain expenses and costs relating to claims, suits or proceedings arising from Mr. Newhard’s service to the Company or, at the Company’s request, service to other entities, as officers or directors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are qualified in their entirety by the reference to the full text and terms of the Employment Agreement and the form of Indemnity Agreement, respectively, which are filed as Exhibits 10.1 and 10.2 to this Current Report on Form 8-K, respectively, and are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Newhard and any other person pursuant to which Mr. Newhard was appointed as President and Chief Executive Officer and a director of the Company. There are no family relationships, as defined in Item 401 of Regulation S-K, between Mr. Newhard and any director or executive officer of the Company, and he has not engaged in any transaction with the Company during the last fiscal year, and does not propose to engage in any transaction that would be reportable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Effective immediately prior to the Commencement Date, Jon Keyser, the Company’s current Interim President and Chief Executive Officer, will no longer serve as the Company’s Interim President and Chief Executive Officer. Mr. Keyser will serve in an advisory role until December 31, 2026, unless earlier terminated. The Company is currently negotiating severance arrangements with Mr. Keyser. The material terms of the severance agreement, if any, will be disclosed in an amendment to this Form 8-K, if and when such agreement is finalized. </w:t>
      </w:r>
    </w:p>
    <w:p>
      <w:pPr>
        <w:pStyle w:val="TextBody"/>
        <w:bidi w:val="0"/>
        <w:spacing w:before="0" w:after="0"/>
        <w:jc w:val="left"/>
        <w:rPr/>
      </w:pPr>
      <w:r>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 2026, the Company issued a press release announcing the appointment of Mr. Newhard as President and Chief Executive Officer and related matters. A copy of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Item 7.01, including Exhibit 99.1, of this Current Report on Form 8-K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75"/>
        <w:gridCol w:w="290"/>
        <w:gridCol w:w="8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b/>
              </w:rPr>
            </w:pPr>
            <w:r>
              <w:rPr>
                <w:b/>
              </w:rPr>
              <w:t>Description of Exhibits</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6013dex101.htm">
              <w:r>
                <w:rPr>
                  <w:rStyle w:val="InternetLink"/>
                </w:rPr>
                <w:t xml:space="preserve">Executive Employment Agreement, dated as of October 1, 2026, by and between VM Consolidated, Inc. and Jon Newhard.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6013dex102.htm">
              <w:r>
                <w:rPr>
                  <w:rStyle w:val="InternetLink"/>
                </w:rPr>
                <w:t xml:space="preserve">Form of Indemnity Agreement.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6013dex991.htm">
              <w:r>
                <w:rPr>
                  <w:rStyle w:val="InternetLink"/>
                </w:rPr>
                <w:t xml:space="preserve">Press Release, dated as of October 2, 2026, issued by Verra Mobility Corporation.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264" w:type="dxa"/>
        <w:jc w:val="left"/>
        <w:tblInd w:w="0" w:type="dxa"/>
        <w:tblLayout w:type="fixed"/>
        <w:tblCellMar>
          <w:top w:w="0" w:type="dxa"/>
          <w:left w:w="0" w:type="dxa"/>
          <w:bottom w:w="0" w:type="dxa"/>
          <w:right w:w="0" w:type="dxa"/>
        </w:tblCellMar>
      </w:tblPr>
      <w:tblGrid>
        <w:gridCol w:w="710"/>
        <w:gridCol w:w="1123"/>
        <w:gridCol w:w="436"/>
        <w:gridCol w:w="60"/>
        <w:gridCol w:w="650"/>
        <w:gridCol w:w="60"/>
        <w:gridCol w:w="2225"/>
      </w:tblGrid>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pPr>
            <w:r>
              <w:rPr/>
              <w:t>Dated: October 2, 2026</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Verra Mobility Corporation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55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Conti</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Craig Conti</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sz w:val="20"/>
        </w:rPr>
      </w:pPr>
      <w:bookmarkStart w:id="2" w:name="d116013dex101.htm"/>
      <w:bookmarkStart w:id="3" w:name="ksd116013dex101"/>
      <w:bookmarkEnd w:id="2"/>
      <w:bookmarkEnd w:id="3"/>
      <w:r>
        <w:rPr>
          <w:rFonts w:ascii="Times New Roman" w:hAnsi="Times New Roman"/>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EXECUTIVE EMPLOYMENT AGREEMENT </w:t>
      </w:r>
    </w:p>
    <w:p>
      <w:pPr>
        <w:pStyle w:val="TextBody"/>
        <w:bidi w:val="0"/>
        <w:spacing w:before="240" w:after="0"/>
        <w:jc w:val="left"/>
        <w:rPr>
          <w:rFonts w:ascii="Times New Roman" w:hAnsi="Times New Roman"/>
          <w:sz w:val="20"/>
        </w:rPr>
      </w:pPr>
      <w:r>
        <w:rPr>
          <w:rFonts w:ascii="Times New Roman" w:hAnsi="Times New Roman"/>
          <w:sz w:val="20"/>
        </w:rPr>
        <w:t>THIS EXECUTIVE EMPLOYMENT AGREEMENT (this “</w:t>
      </w:r>
      <w:r>
        <w:rPr>
          <w:rFonts w:ascii="Times New Roman" w:hAnsi="Times New Roman"/>
          <w:b/>
          <w:i/>
          <w:sz w:val="20"/>
        </w:rPr>
        <w:t>Agreement</w:t>
      </w:r>
      <w:r>
        <w:rPr>
          <w:rFonts w:ascii="Times New Roman" w:hAnsi="Times New Roman"/>
          <w:sz w:val="20"/>
        </w:rPr>
        <w:t>”) dated as of the last signature date hereto (the “</w:t>
      </w:r>
      <w:r>
        <w:rPr>
          <w:rFonts w:ascii="Times New Roman" w:hAnsi="Times New Roman"/>
          <w:b/>
          <w:i/>
          <w:sz w:val="20"/>
        </w:rPr>
        <w:t>Effective Date</w:t>
      </w:r>
      <w:r>
        <w:rPr>
          <w:rFonts w:ascii="Times New Roman" w:hAnsi="Times New Roman"/>
          <w:sz w:val="20"/>
        </w:rPr>
        <w:t>”), is entered into by and between VM Consolidated, Inc., a Delaware corporation having its principal offices in Mesa, Arizona and a wholly owned subsidiary of Verra Mobility Corporation (Verra Mobility Corporation and VM Consolidated, Inc. together the “</w:t>
      </w:r>
      <w:r>
        <w:rPr>
          <w:rFonts w:ascii="Times New Roman" w:hAnsi="Times New Roman"/>
          <w:b/>
          <w:i/>
          <w:sz w:val="20"/>
        </w:rPr>
        <w:t>Company</w:t>
      </w:r>
      <w:r>
        <w:rPr>
          <w:rFonts w:ascii="Times New Roman" w:hAnsi="Times New Roman"/>
          <w:sz w:val="20"/>
        </w:rPr>
        <w:t>”), and Jon Newhard (the “</w:t>
      </w:r>
      <w:r>
        <w:rPr>
          <w:rFonts w:ascii="Times New Roman" w:hAnsi="Times New Roman"/>
          <w:b/>
          <w:i/>
          <w:sz w:val="20"/>
        </w:rPr>
        <w:t>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employ Executive as its President and Chief Executive Officer, and Executive desires to accept such employment, in each case on the terms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Executive acknowledges that Executive has had an opportunity to consider this Agreement and to consult with an independent legal advisor of his choosing with regard to the terms of this Agreement and enters into this Agreement voluntarily and with a full understanding of its terms.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intending to be legally bound, hereby agree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1. Employment.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Employment Period</w:t>
      </w:r>
      <w:r>
        <w:rPr>
          <w:rFonts w:ascii="Times New Roman" w:hAnsi="Times New Roman"/>
          <w:sz w:val="20"/>
        </w:rPr>
        <w:t>. Executive shall be employed by the Company (or a Company subsidiary or affiliate) on an “at will” basis, meaning either the Company or Executive may terminate Executive’s employment at any time, with or without cause or advance notice (such period of employment under this Agreement, the “</w:t>
      </w:r>
      <w:r>
        <w:rPr>
          <w:rFonts w:ascii="Times New Roman" w:hAnsi="Times New Roman"/>
          <w:b/>
          <w:i/>
          <w:sz w:val="20"/>
        </w:rPr>
        <w:t>Employment Period</w:t>
      </w:r>
      <w:r>
        <w:rPr>
          <w:rFonts w:ascii="Times New Roman" w:hAnsi="Times New Roman"/>
          <w:sz w:val="20"/>
        </w:rPr>
        <w:t xml:space="preserve">”).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the Chairman of the Company’s Board of Directors. Executive’s rights to any compensation following a termination shall be only as set forth in Section 3 herein.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Duties and Responsibilities</w:t>
      </w:r>
      <w:r>
        <w:rPr>
          <w:rFonts w:ascii="Times New Roman" w:hAnsi="Times New Roman"/>
          <w:sz w:val="20"/>
        </w:rPr>
        <w:t>. Executive shall serve as the President and Chief Executive Officer of the Company, reporting to the Company’s Board of Directors (the “</w:t>
      </w:r>
      <w:r>
        <w:rPr>
          <w:rFonts w:ascii="Times New Roman" w:hAnsi="Times New Roman"/>
          <w:b/>
          <w:i/>
          <w:sz w:val="20"/>
        </w:rPr>
        <w:t>Board</w:t>
      </w:r>
      <w:r>
        <w:rPr>
          <w:rFonts w:ascii="Times New Roman" w:hAnsi="Times New Roman"/>
          <w:sz w:val="20"/>
        </w:rPr>
        <w:t xml:space="preserve">”), and shall perform all duties and accept all responsibilities incident to such position and such other duties consistent with Executive’s position as President and Chief Executive Officer as may, from time to time, be reasonably assigned to Executive by the Board.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Extent of Services</w:t>
      </w:r>
      <w:r>
        <w:rPr>
          <w:rFonts w:ascii="Times New Roman" w:hAnsi="Times New Roman"/>
          <w:sz w:val="20"/>
        </w:rPr>
        <w:t xml:space="preserve">. Executive shall use his reasonable best efforts to carry out Executive’s duties and responsibilities under Section 1.2 hereof and, consistent with the other provisions of this Agreement, shall devote substantially all of Executive’s business time, attention and energy thereto. In the performance of his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(i) not interfering,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individually or in the aggregate, with Executive’s responsibilities and performance of Executive’s duties hereunder and (ii) not creating any actual or potential business conflict or fiduciary conflict with the Company. During the Employment Period, Executive shall not serve on the board of directors or advisory board of any other entity or engage in any other outside business activity (including consulting or advisory roles), without providing advance notice to and receiving the prior written approval of the Board. The Board may withhold, condition, or revoke such approval in its sole discretion. The foregoing shall not be construed as preventing Executive from owning less than one percent (1%) of the total outstanding shares of a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Principal Location of Services</w:t>
      </w:r>
      <w:r>
        <w:rPr>
          <w:rFonts w:ascii="Times New Roman" w:hAnsi="Times New Roman"/>
          <w:sz w:val="20"/>
        </w:rPr>
        <w:t xml:space="preserve">. Beginning on the Commencement Date (as defined below), Executive shall perform his duties hereunder principally out of the Company’s corporate headquarters (presently located in Mesa, Arizona) and shall undertake such travel within or outside of the United States as is necessary or advisable for the efficient operations of the Company and the performance of Executive’s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Commencement Date</w:t>
      </w:r>
      <w:r>
        <w:rPr>
          <w:rFonts w:ascii="Times New Roman" w:hAnsi="Times New Roman"/>
          <w:sz w:val="20"/>
        </w:rPr>
        <w:t>. Executive shall commence employment with the Company on a date to be mutually agreed between the Company and Executive but in no event later than November 1, 2026 (the “</w:t>
      </w:r>
      <w:r>
        <w:rPr>
          <w:rFonts w:ascii="Times New Roman" w:hAnsi="Times New Roman"/>
          <w:b/>
          <w:i/>
          <w:sz w:val="20"/>
        </w:rPr>
        <w:t>Commencement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Relocation</w:t>
      </w:r>
      <w:r>
        <w:rPr>
          <w:rFonts w:ascii="Times New Roman" w:hAnsi="Times New Roman"/>
          <w:sz w:val="20"/>
        </w:rPr>
        <w:t>. The Company will provide relocation assistance to Executive in establishing a residence located within reasonable proximity to the Company’s principal office as follows (collectively the “</w:t>
      </w:r>
      <w:r>
        <w:rPr>
          <w:rFonts w:ascii="Times New Roman" w:hAnsi="Times New Roman"/>
          <w:b/>
          <w:i/>
          <w:sz w:val="20"/>
        </w:rPr>
        <w:t>Relocation Assistance</w:t>
      </w:r>
      <w:r>
        <w:rPr>
          <w:rFonts w:ascii="Times New Roman" w:hAnsi="Times New Roman"/>
          <w:sz w:val="20"/>
        </w:rPr>
        <w:t xml:space="preserve">”): (a) a monthly allowance of up to $15,000 per month, less applicable taxes and withholdings, for up to three (3) months commencing on the Commencement Date to cover temporary living and transportation costs incurred by Executive in connection with his relocation from Germany to the Phoenix/Mesa, Arizona area; and (b) reimbursement for the reasonable and documented costs of Executive’s permanent relocation from Germany to the Phoenix/Mesa, Arizona area, including (i) one-way transportation costs for Executive and his immediate family members (via economy or premium economy class airfare), (ii) destination services (e.g., home-finding assistance), (iii) packing, shipping (via standard ocean freight, unless the Company approves air shipment in writing), and unpacking of household goods, up to a maximum gross weight to be agreed upon by Executive and the Company prior to shipment, (iv) other customary relocation expenses as determined by the Company in its reasonable discretion, and (v) a tax gross-up payment reasonably calculated to approximate the incremental federal, state, and local income tax liability incurred by Executive in the United States only as a result of the benefits set forth in clauses (i)-(iv), such that after payment of all federal, state and local income tax liability, including such taxes payable on the tax gross-up payment, Executive retains an amount substantially equal to the amounts reimbursed in clauses (i) through (iv). Executive acknowledges that the gross-up payment shall be intended as a reasonable approximation of Executive’s incremental tax liability, not an exact reimbursement or off-set. Executive shall cooperate with the Company and any Company-designated relocation management company to coordinate the relocation in a timely and cost-effective manner and shall obtain the Company’s prior written approval of any vendor quotes or estimates in excess of $5,000 before incurring such expenses. All payments or reimbursements under this Section 1.6 shall be subject to any and all applicable Company policies and shall be made only upon submission by Executive of reasonable documentation supporting such expenses. Executive and his family shall relocate to the Phoenix/Mesa, Arizona area within six (6) months following the Commencement Date; provided that Executive shall report to work in person at the Company’s headquarters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Mesa, Arizona beginning on the Commencement Date. Should Executive voluntarily terminate employment with the Company without Good Reason or be terminated by the Company for Cause (y) within twelve (12) months of the Commencement Date, Executive shall be required to repay one hundred percent (100%) of the aggregate Relocation Assistance received to the Company or (z) after twelve (12) months but within twenty-four (24) months of the Commencement Date, Executive shall be required to repay fifty percent (50%) of the aggregate Relocation Assistance received to the Company, in each case within thirty (30) days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Background Screening</w:t>
      </w:r>
      <w:r>
        <w:rPr>
          <w:rFonts w:ascii="Times New Roman" w:hAnsi="Times New Roman"/>
          <w:sz w:val="20"/>
        </w:rPr>
        <w:t>. Executive’s employment is contingent upon completion of the Company’s Director &amp; Officer Questionnaire to the Company’s satisfaction, verification of Executive’s eligibility to work in the United States, and the Company obtaining satisfactory results of a background investigation (the “</w:t>
      </w:r>
      <w:r>
        <w:rPr>
          <w:rFonts w:ascii="Times New Roman" w:hAnsi="Times New Roman"/>
          <w:b/>
          <w:i/>
          <w:sz w:val="20"/>
        </w:rPr>
        <w:t>Background Check</w:t>
      </w:r>
      <w:r>
        <w:rPr>
          <w:rFonts w:ascii="Times New Roman" w:hAnsi="Times New Roman"/>
          <w:sz w:val="20"/>
        </w:rPr>
        <w:t xml:space="preserve">”), which will be conducted at the Company’s expense and in compliance with applicable law. If the results of Executive’s Background Check do not meet the Company’s satisfaction, the Agreement shall be null and void (even if executed by the Parties). </w:t>
      </w:r>
    </w:p>
    <w:p>
      <w:pPr>
        <w:pStyle w:val="TextBody"/>
        <w:bidi w:val="0"/>
        <w:spacing w:before="240" w:after="0"/>
        <w:jc w:val="left"/>
        <w:rPr>
          <w:rFonts w:ascii="Times New Roman" w:hAnsi="Times New Roman"/>
          <w:b/>
          <w:sz w:val="20"/>
        </w:rPr>
      </w:pPr>
      <w:r>
        <w:rPr>
          <w:rFonts w:ascii="Times New Roman" w:hAnsi="Times New Roman"/>
          <w:b/>
          <w:sz w:val="20"/>
        </w:rPr>
        <w:t xml:space="preserve">2. Compensation and Benefits.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Base Salary</w:t>
      </w:r>
      <w:r>
        <w:rPr>
          <w:rFonts w:ascii="Times New Roman" w:hAnsi="Times New Roman"/>
          <w:sz w:val="20"/>
        </w:rPr>
        <w:t>. Commencing on the Commencement Date and continuing throughout the Employment Period, for all the services rendered by Executive hereunder, the Company shall pay or cause to be paid to Executive a base salary (“</w:t>
      </w:r>
      <w:r>
        <w:rPr>
          <w:rFonts w:ascii="Times New Roman" w:hAnsi="Times New Roman"/>
          <w:b/>
          <w:i/>
          <w:sz w:val="20"/>
        </w:rPr>
        <w:t>Base Salary</w:t>
      </w:r>
      <w:r>
        <w:rPr>
          <w:rFonts w:ascii="Times New Roman" w:hAnsi="Times New Roman"/>
          <w:sz w:val="20"/>
        </w:rPr>
        <w:t>”) at the annualized rate of seven hundred and twenty-five thousand dollars ($725,000.00), subject to all required withholdings and authorized deductions and payable in installments at such times as the Company customarily pays its other employees. Executive’s Base Salary is subject to annual review by the Compensation Committee (the “</w:t>
      </w:r>
      <w:r>
        <w:rPr>
          <w:rFonts w:ascii="Times New Roman" w:hAnsi="Times New Roman"/>
          <w:b/>
          <w:i/>
          <w:sz w:val="20"/>
        </w:rPr>
        <w:t>Compensation Committee</w:t>
      </w:r>
      <w:r>
        <w:rPr>
          <w:rFonts w:ascii="Times New Roman" w:hAnsi="Times New Roman"/>
          <w:sz w:val="20"/>
        </w:rPr>
        <w:t xml:space="preserve">”) of the Board consistent with other members of the Company’s executive team.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New Hire Cash Bonus</w:t>
      </w:r>
      <w:r>
        <w:rPr>
          <w:rFonts w:ascii="Times New Roman" w:hAnsi="Times New Roman"/>
          <w:sz w:val="20"/>
        </w:rPr>
        <w:t>. To assist with additional transition expenses, Executive shall be granted a one-time cash bonus of $25,000 (the “</w:t>
      </w:r>
      <w:r>
        <w:rPr>
          <w:rFonts w:ascii="Times New Roman" w:hAnsi="Times New Roman"/>
          <w:b/>
          <w:i/>
          <w:sz w:val="20"/>
        </w:rPr>
        <w:t>New Hire Cash Bonus</w:t>
      </w:r>
      <w:r>
        <w:rPr>
          <w:rFonts w:ascii="Times New Roman" w:hAnsi="Times New Roman"/>
          <w:sz w:val="20"/>
        </w:rPr>
        <w:t xml:space="preserve">”), which shall be subject to applicable taxes and withholdings and payable on the Company’s first (1st) payroll processing date following the Commencement Date. Should Executive voluntarily terminate employment with the Company without Good Reason within twelve (12) months of the Commencement Date, Executive shall be required to repay the full New Hire Cash Bonus to the Company within thirty (30) days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Short-Term Discretionary Cash Bonus</w:t>
      </w:r>
      <w:r>
        <w:rPr>
          <w:rFonts w:ascii="Times New Roman" w:hAnsi="Times New Roman"/>
          <w:sz w:val="20"/>
        </w:rPr>
        <w:t>. Beginning in fiscal year 2027, for each fiscal year during the Employment Period, Executive shall be eligible to receive an annual discretionary cash bonus (the “</w:t>
      </w:r>
      <w:r>
        <w:rPr>
          <w:rFonts w:ascii="Times New Roman" w:hAnsi="Times New Roman"/>
          <w:b/>
          <w:i/>
          <w:sz w:val="20"/>
        </w:rPr>
        <w:t>STIP</w:t>
      </w:r>
      <w:r>
        <w:rPr>
          <w:rFonts w:ascii="Times New Roman" w:hAnsi="Times New Roman"/>
          <w:sz w:val="20"/>
        </w:rPr>
        <w:t xml:space="preserve"> </w:t>
      </w:r>
      <w:r>
        <w:rPr>
          <w:rFonts w:ascii="Times New Roman" w:hAnsi="Times New Roman"/>
          <w:b/>
          <w:i/>
          <w:sz w:val="20"/>
        </w:rPr>
        <w:t>Bonus</w:t>
      </w:r>
      <w:r>
        <w:rPr>
          <w:rFonts w:ascii="Times New Roman" w:hAnsi="Times New Roman"/>
          <w:sz w:val="20"/>
        </w:rPr>
        <w:t>”) for the services rendered by Executive under this Agreement, subject to the terms and conditions as set forth in the Verra Mobility Amended and Restated Short-Term Incentive Plan (or any successor plan) (the “</w:t>
      </w:r>
      <w:r>
        <w:rPr>
          <w:rFonts w:ascii="Times New Roman" w:hAnsi="Times New Roman"/>
          <w:b/>
          <w:i/>
          <w:sz w:val="20"/>
        </w:rPr>
        <w:t>STIP Plan</w:t>
      </w:r>
      <w:r>
        <w:rPr>
          <w:rFonts w:ascii="Times New Roman" w:hAnsi="Times New Roman"/>
          <w:sz w:val="20"/>
        </w:rPr>
        <w:t>”). Executive’s STIP Bonus target (the “</w:t>
      </w:r>
      <w:r>
        <w:rPr>
          <w:rFonts w:ascii="Times New Roman" w:hAnsi="Times New Roman"/>
          <w:b/>
          <w:i/>
          <w:sz w:val="20"/>
        </w:rPr>
        <w:t>STIP Bonus Target</w:t>
      </w:r>
      <w:r>
        <w:rPr>
          <w:rFonts w:ascii="Times New Roman" w:hAnsi="Times New Roman"/>
          <w:sz w:val="20"/>
        </w:rPr>
        <w:t xml:space="preserve">”) shall be one hundred percent (100%) of Executive’s Base Salary paid during the applicable plan year. The payment and amount of the STIP Bonus, if any, will be determined by the Compensation Committee based on Executive’s performance and Company financial performance, in each case measured against performance goals and financial targets established by the Compensation Committee. In addition, Executive will be eligible for a pro-rata STIP Bonus based on the number of days actually worked beginning on the Commencement Date for fiscal year 2026 with a target of one hundred percent (100%) of Executive’s Base Salary paid during the applicable plan year. Nothing in this Agreement shall prevent the Compensation Committee from adopting, amending or terminating the STIP Plan as the Compensation Committee deems appropriate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New Hire Equity Grant</w:t>
      </w:r>
      <w:r>
        <w:rPr>
          <w:rFonts w:ascii="Times New Roman" w:hAnsi="Times New Roman"/>
          <w:sz w:val="20"/>
        </w:rPr>
        <w:t xml:space="preserve">. As soon as practicable after the Commencement Date, and subject to approval by the Board, Executive shall be granted a new hire inducement award under NASDAQ Listing Rule 5635(c)(4) and applicable requirements, with a target grant date fair value of $4,750,000, in the form of restricted stock units vesting in three (3) equal annual installments of one-third (1/3) each on each of the first three (3) anniversaries of the Commencement Date, contingent on Executive’s continued employment with the Company through and including the applicable vesting date. The terms and conditions of such award shall be set forth in the applicable award agreement. The number of restricted stock units to be granted will be determined using the greater of the fair market value of a share of the Company’s listed shares on the date of grant or $3.00.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Additional Equity Compensation</w:t>
      </w:r>
      <w:r>
        <w:rPr>
          <w:rFonts w:ascii="Times New Roman" w:hAnsi="Times New Roman"/>
          <w:sz w:val="20"/>
        </w:rPr>
        <w:t>. During the Employment Period, Executive shall be eligible from time to time to participate in the Company’s equity incentive programs, including with respect to restricted stock units, performance share units, stock options and other equity, subject to the sole discretion of the Board or its authorized designee(s). Executive shall be eligible for an annual equity incentive award under the Company’s Amended and Restated 2018 Equity Incentive Plan (the “</w:t>
      </w:r>
      <w:r>
        <w:rPr>
          <w:rFonts w:ascii="Times New Roman" w:hAnsi="Times New Roman"/>
          <w:b/>
          <w:i/>
          <w:sz w:val="20"/>
        </w:rPr>
        <w:t>Equity Incentive Plan</w:t>
      </w:r>
      <w:r>
        <w:rPr>
          <w:rFonts w:ascii="Times New Roman" w:hAnsi="Times New Roman"/>
          <w:sz w:val="20"/>
        </w:rPr>
        <w:t xml:space="preserve">”) for fiscal year 2027, which shall be granted no later than the one-year anniversary of the Commencement Date. The target grant date fair value of Executive’s equity incentive award for fiscal year 2027 is currently expected to be $4,000,000, but shall be subject to adjustment by the Compensation Committee in its sole discretion in connection with completion of a revised design of the Company’s equity incentive program in 2027, and the Company makes no guarantee that Executive’s actual award will equal or approximate such amount. The terms and conditions of the vesting, forfeiture, and all other matters related to any equity compensation granted to Executive shall be subject to and governed by the Equity Incentive Plan, as amended, and the applicable award agreements and grant documents provided to Executive in connection with such equity compensation.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Retirement and Welfare Plans</w:t>
      </w:r>
      <w:r>
        <w:rPr>
          <w:rFonts w:ascii="Times New Roman" w:hAnsi="Times New Roman"/>
          <w:sz w:val="20"/>
        </w:rPr>
        <w:t xml:space="preserve">. Beginning on the Commencement Date, Executive shall be eligible to participate in employee retirement and welfare benefit plans made available to the Company’s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Vacation</w:t>
      </w:r>
      <w:r>
        <w:rPr>
          <w:rFonts w:ascii="Times New Roman" w:hAnsi="Times New Roman"/>
          <w:sz w:val="20"/>
        </w:rPr>
        <w:t xml:space="preserve">. Beginning on the Commencement Date, Executive shall be entitled to paid vacation pursuant to the terms and conditions of the Company’s vacation and paid time off policies, as may be in effect from time to time. Under the Company’s current policy, paid time off is not otherwise limited or accrued, and Executive may take reasonable time away from work as needed, subject to business demands and the fulfillment of Executive’s duties as President and Chief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Reimbursement of Expenses</w:t>
      </w:r>
      <w:r>
        <w:rPr>
          <w:rFonts w:ascii="Times New Roman" w:hAnsi="Times New Roman"/>
          <w:sz w:val="20"/>
        </w:rPr>
        <w:t xml:space="preserve">. Beginning on the Commencement Date, Executive shall be eligible to be reimbursed for all customary and appropriate business-related expenses actually incurred by Executive and documented in accordance with the Company’s policies applicable to senior level executives and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Clawback Reimbursement</w:t>
      </w:r>
      <w:r>
        <w:rPr>
          <w:rFonts w:ascii="Times New Roman" w:hAnsi="Times New Roman"/>
          <w:sz w:val="20"/>
        </w:rPr>
        <w:t>. If Executive is required to pay his former employer in connection with the termination of his employment, the Company will reimburse Executive up to a total gross payment of $660,000 (such reimbursement the “</w:t>
      </w:r>
      <w:r>
        <w:rPr>
          <w:rFonts w:ascii="Times New Roman" w:hAnsi="Times New Roman"/>
          <w:b/>
          <w:i/>
          <w:sz w:val="20"/>
        </w:rPr>
        <w:t>Clawback Reimbursement</w:t>
      </w:r>
      <w:r>
        <w:rPr>
          <w:rFonts w:ascii="Times New Roman" w:hAnsi="Times New Roman"/>
          <w:sz w:val="20"/>
        </w:rPr>
        <w:t xml:space="preserve">”), subject to applicable taxes and withholdings. Should Executive voluntarily terminate employment with the Company without Good Reason within twelve (12) months of the Commencement Date, Executive shall be required to repay the full amount of the Clawback Reimbursement actually received by Executive to the Company within thirty (30) days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Stock Ownership Guidelines</w:t>
      </w:r>
      <w:r>
        <w:rPr>
          <w:rFonts w:ascii="Times New Roman" w:hAnsi="Times New Roman"/>
          <w:sz w:val="20"/>
        </w:rPr>
        <w:t xml:space="preserve">. Executive shall be subject to the stock ownership guidelines applicable to the Company’s directors and executive officers,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Clawback</w:t>
      </w:r>
      <w:r>
        <w:rPr>
          <w:rFonts w:ascii="Times New Roman" w:hAnsi="Times New Roman"/>
          <w:sz w:val="20"/>
        </w:rPr>
        <w:t xml:space="preserve">. All compensation and benefits under this Agreement are subject to clawback in accordance with applicable law and the Verra Mobility Corporation Amended and Restated Compensation Clawback Policy, as may be amended from time to time. </w:t>
      </w:r>
    </w:p>
    <w:p>
      <w:pPr>
        <w:pStyle w:val="TextBody"/>
        <w:bidi w:val="0"/>
        <w:spacing w:before="240" w:after="0"/>
        <w:jc w:val="left"/>
        <w:rPr>
          <w:rFonts w:ascii="Times New Roman" w:hAnsi="Times New Roman"/>
          <w:sz w:val="20"/>
        </w:rPr>
      </w:pPr>
      <w:r>
        <w:rPr>
          <w:rFonts w:ascii="Times New Roman" w:hAnsi="Times New Roman"/>
          <w:b/>
          <w:sz w:val="20"/>
        </w:rPr>
        <w:t>3. Termination.</w:t>
      </w:r>
      <w:r>
        <w:rPr>
          <w:rFonts w:ascii="Times New Roman" w:hAnsi="Times New Roman"/>
          <w:sz w:val="20"/>
        </w:rPr>
        <w:t xml:space="preserve"> Notwithstanding Section 1, Executive’s employment shall terminate, and the Employment Period shall terminate concurrently therewith, upon the occurrence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Termination By Company Without Cause or Resignation by Executive for Good Reason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 </w:t>
      </w:r>
    </w:p>
    <w:p>
      <w:pPr>
        <w:pStyle w:val="TextBody"/>
        <w:bidi w:val="0"/>
        <w:spacing w:before="240" w:after="0"/>
        <w:jc w:val="left"/>
        <w:rPr>
          <w:rFonts w:ascii="Times New Roman" w:hAnsi="Times New Roman"/>
          <w:sz w:val="20"/>
        </w:rPr>
      </w:pPr>
      <w:r>
        <w:rPr>
          <w:rFonts w:ascii="Times New Roman" w:hAnsi="Times New Roman"/>
          <w:sz w:val="20"/>
        </w:rPr>
        <w:t>(b) Upon termination under this Section 3.1, Executive shall receive (i) Executive’s accrued but unpaid Base Salary through the date of termination (payable on the Company’s first (1st) payroll processing date after Executive’s date of termination or earlier if required by applicable law), (ii) any unreimbursed business expenses incurred by Executive and payable in accordance with the Company’s standard expense reimbursement policies and Section 2.9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Times New Roman" w:hAnsi="Times New Roman"/>
          <w:b/>
          <w:i/>
          <w:sz w:val="20"/>
        </w:rPr>
        <w:t>Guaranteed Payments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If Executive’s employment terminates as described in Section 3.1(a) above and if, upon such termination, Executive (i) executes within twenty-one (21) days (or forty-five (45) days to the extent required by applicable law) after presentation to Executive, that Executive does not revoke during any applicable revocation period, a written general release in a form provided by the Company releasing the Company and its affiliates, officers, directors, employees, agents, and representatives</w:t>
      </w:r>
      <w:r>
        <w:rPr>
          <w:rFonts w:ascii="Times New Roman" w:hAnsi="Times New Roman"/>
          <w:sz w:val="20"/>
          <w:u w:val="single"/>
        </w:rPr>
        <w:t xml:space="preserve"> </w:t>
      </w:r>
      <w:r>
        <w:rPr>
          <w:rFonts w:ascii="Times New Roman" w:hAnsi="Times New Roman"/>
          <w:sz w:val="20"/>
        </w:rPr>
        <w:t>from any and all claims (including with respect to all matters arising out of or related to Executive’s employment by the Company or the termination thereof), which form will not require Executive become subject to post-employment restrictions in excess of such restrictions in effect immediately prior to the termination, require Executive to waive his right to indemnification as an officer or director of the Company, or require Executive to waive his right to receive payments or benefits due on the termination under any other agreement between Executive and the Company, (the “</w:t>
      </w:r>
      <w:r>
        <w:rPr>
          <w:rFonts w:ascii="Times New Roman" w:hAnsi="Times New Roman"/>
          <w:b/>
          <w:i/>
          <w:sz w:val="20"/>
        </w:rPr>
        <w:t>Release</w:t>
      </w:r>
      <w:r>
        <w:rPr>
          <w:rFonts w:ascii="Times New Roman" w:hAnsi="Times New Roman"/>
          <w:sz w:val="20"/>
        </w:rPr>
        <w:t>”), and (ii) complies with the terms and conditions of the Release, including, without limitation, the terms and conditions of Sections 5, 6, 7, 8, and 9 of this Agreement (which shall be incorporated in the Release by reference) below, Executive will be entitled to receive cash severance in an amount equal to (A) eighteen (18) months of Executive’s then-current Base Salary, plus (B) one and one-half (1.5) times Executive’s then-current STIP Bonus Target (i.e., eighteen (18) months of Executive’s STIP Bonus Target), plus (C) a cash amount representing the total cost of the group healthcare premiums Executive would have paid based on the coverages in effect at the time of Executive’s termination if Executive elected continuation coverage under Title X of the Consolidated Omnibus Budget Reconciliation Act of 1985, as amended, for a period of eighteen (18) months, subject to Executive’s timely election and enrollment in such continuation coverage (the “</w:t>
      </w:r>
      <w:r>
        <w:rPr>
          <w:rFonts w:ascii="Times New Roman" w:hAnsi="Times New Roman"/>
          <w:b/>
          <w:i/>
          <w:sz w:val="20"/>
        </w:rPr>
        <w:t>Severance</w:t>
      </w:r>
      <w:r>
        <w:rPr>
          <w:rFonts w:ascii="Times New Roman" w:hAnsi="Times New Roman"/>
          <w:sz w:val="20"/>
        </w:rPr>
        <w:t>”</w:t>
      </w:r>
      <w:r>
        <w:rPr>
          <w:rFonts w:ascii="Times New Roman" w:hAnsi="Times New Roman"/>
          <w:b/>
          <w:sz w:val="20"/>
        </w:rPr>
        <w:t>)</w:t>
      </w:r>
      <w:r>
        <w:rPr>
          <w:rFonts w:ascii="Times New Roman" w:hAnsi="Times New Roman"/>
          <w:sz w:val="20"/>
        </w:rPr>
        <w:t xml:space="preserve">. The Severance amount, less all required withholdings and authorized deductions, shall be paid in substantially equal installments consistent with the Company’s regularly scheduled payroll procedures until the Severance has been paid in full, subject to Section 3.1(d) below. </w:t>
      </w:r>
    </w:p>
    <w:p>
      <w:pPr>
        <w:pStyle w:val="TextBody"/>
        <w:bidi w:val="0"/>
        <w:spacing w:before="240" w:after="0"/>
        <w:jc w:val="left"/>
        <w:rPr>
          <w:rFonts w:ascii="Times New Roman" w:hAnsi="Times New Roman"/>
          <w:sz w:val="20"/>
        </w:rPr>
      </w:pPr>
      <w:r>
        <w:rPr>
          <w:rFonts w:ascii="Times New Roman" w:hAnsi="Times New Roman"/>
          <w:sz w:val="20"/>
        </w:rPr>
        <w:t>(d) 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of the Internal Revenue Code (the “</w:t>
      </w:r>
      <w:r>
        <w:rPr>
          <w:rFonts w:ascii="Times New Roman" w:hAnsi="Times New Roman"/>
          <w:b/>
          <w:i/>
          <w:sz w:val="20"/>
        </w:rPr>
        <w:t>Code</w:t>
      </w:r>
      <w:r>
        <w:rPr>
          <w:rFonts w:ascii="Times New Roman" w:hAnsi="Times New Roman"/>
          <w:sz w:val="20"/>
        </w:rPr>
        <w:t xml:space="preserve">”) is subject to execution of the Release could be made in more than one taxable year of Executive, payment shall be made on the earliest date permitted under the terms of the Release in the later such taxable year. </w:t>
      </w:r>
    </w:p>
    <w:p>
      <w:pPr>
        <w:pStyle w:val="TextBody"/>
        <w:bidi w:val="0"/>
        <w:spacing w:before="240" w:after="0"/>
        <w:jc w:val="left"/>
        <w:rPr>
          <w:rFonts w:ascii="Times New Roman" w:hAnsi="Times New Roman"/>
          <w:sz w:val="20"/>
        </w:rPr>
      </w:pPr>
      <w:r>
        <w:rPr>
          <w:rFonts w:ascii="Times New Roman" w:hAnsi="Times New Roman"/>
          <w:sz w:val="20"/>
        </w:rPr>
        <w:t xml:space="preserve">(e) Executive agrees and acknowledges that the Severance provided to Executive pursuant to Section 3.1(c) is in lieu of, and is not in addition to, any benefits to which Executive may otherwise be entitled under any Company severance plan, policy, or program, other than the Guaranteed Payments. </w:t>
      </w:r>
    </w:p>
    <w:p>
      <w:pPr>
        <w:pStyle w:val="TextBody"/>
        <w:bidi w:val="0"/>
        <w:spacing w:before="240" w:after="0"/>
        <w:jc w:val="left"/>
        <w:rPr>
          <w:rFonts w:ascii="Times New Roman" w:hAnsi="Times New Roman"/>
          <w:sz w:val="20"/>
        </w:rPr>
      </w:pPr>
      <w:r>
        <w:rPr>
          <w:rFonts w:ascii="Times New Roman" w:hAnsi="Times New Roman"/>
          <w:sz w:val="20"/>
        </w:rPr>
        <w:t xml:space="preserve">(f) 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Termination by Reason of Disability</w:t>
      </w:r>
      <w:r>
        <w:rPr>
          <w:rFonts w:ascii="Times New Roman" w:hAnsi="Times New Roman"/>
          <w:sz w:val="20"/>
        </w:rPr>
        <w:t>. Subject to applicable state and federal law, the Company may terminate Executive’s employment if Executive has been unable to perform the material duties of Executive’s position for a period of ninety (90) consecutive days or one hundred eighty (180) days in the aggregate during any twelve (12) month period because of physical or mental injury or illness (“</w:t>
      </w:r>
      <w:r>
        <w:rPr>
          <w:rFonts w:ascii="Times New Roman" w:hAnsi="Times New Roman"/>
          <w:b/>
          <w:i/>
          <w:sz w:val="20"/>
        </w:rPr>
        <w:t>Disability</w:t>
      </w:r>
      <w:r>
        <w:rPr>
          <w:rFonts w:ascii="Times New Roman" w:hAnsi="Times New Roman"/>
          <w:sz w:val="20"/>
        </w:rPr>
        <w:t xml:space="preserve">”).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Termination by Reason of Death</w:t>
      </w:r>
      <w:r>
        <w:rPr>
          <w:rFonts w:ascii="Times New Roman" w:hAnsi="Times New Roman"/>
          <w:sz w:val="20"/>
        </w:rPr>
        <w:t xml:space="preserve">.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Termination by Company for Cause or Resignation by Executive without Good Reason</w:t>
      </w:r>
      <w:r>
        <w:rPr>
          <w:rFonts w:ascii="Times New Roman" w:hAnsi="Times New Roman"/>
          <w:sz w:val="20"/>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upon the termination date except that the Company shall pay to Executive the Guaranteed Payments. In such event, Executive will </w:t>
      </w:r>
      <w:r>
        <w:rPr>
          <w:rFonts w:ascii="Times New Roman" w:hAnsi="Times New Roman"/>
          <w:sz w:val="20"/>
          <w:u w:val="single"/>
        </w:rPr>
        <w:t>not</w:t>
      </w:r>
      <w:r>
        <w:rPr>
          <w:rFonts w:ascii="Times New Roman" w:hAnsi="Times New Roman"/>
          <w:sz w:val="20"/>
        </w:rPr>
        <w:t xml:space="preserve"> receive the Severance or any other severance compensation or benefits.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Change in Control Severance</w:t>
      </w:r>
      <w:r>
        <w:rPr>
          <w:rFonts w:ascii="Times New Roman" w:hAnsi="Times New Roman"/>
          <w:sz w:val="20"/>
        </w:rPr>
        <w:t>. “</w:t>
      </w:r>
      <w:r>
        <w:rPr>
          <w:rFonts w:ascii="Times New Roman" w:hAnsi="Times New Roman"/>
          <w:b/>
          <w:i/>
          <w:sz w:val="20"/>
        </w:rPr>
        <w:t>Change in Control</w:t>
      </w:r>
      <w:r>
        <w:rPr>
          <w:rFonts w:ascii="Times New Roman" w:hAnsi="Times New Roman"/>
          <w:sz w:val="20"/>
        </w:rPr>
        <w:t xml:space="preserve">” has the meaning set forth in the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If Executive’s employment is terminated by the Company without Cause or by Executive for Good Reason within twelve (12) months following a Change in Control, then Executive shall be entitled to the Change in Control Severance described below, in addition to the Guaranteed Payments. </w:t>
      </w:r>
    </w:p>
    <w:p>
      <w:pPr>
        <w:pStyle w:val="TextBody"/>
        <w:bidi w:val="0"/>
        <w:spacing w:before="240" w:after="0"/>
        <w:jc w:val="left"/>
        <w:rPr>
          <w:rFonts w:ascii="Times New Roman" w:hAnsi="Times New Roman"/>
          <w:sz w:val="20"/>
        </w:rPr>
      </w:pPr>
      <w:r>
        <w:rPr>
          <w:rFonts w:ascii="Times New Roman" w:hAnsi="Times New Roman"/>
          <w:sz w:val="20"/>
        </w:rPr>
        <w:t>Subject to Executive’s timely execution and non-revocation of the Release and compliance with the Release and Sections 5, 6, 7, 8, and 9 of this Agreement, Executive shall be entitled to (a) cash severance equal to (i) twenty-four (24) months of Executive’s then-current Base Salary plus (ii) two (2.0) times Executive’s STIP Bonus Target, plus (iii) a cash amount representing the total cost of the group healthcare premiums Executive would have paid based on the coverages in effect at the time of Executive’s termination if Executive elected continuation coverage under Title X of the Consolidated Omnibus Budget Reconciliation Act of 1985, as amended, for a period of twenty-four (24) months, subject to Executive’s timely election and enrollment in such continuation coverage, and full accelerated vesting of all outstanding equity awards (the “</w:t>
      </w:r>
      <w:r>
        <w:rPr>
          <w:rFonts w:ascii="Times New Roman" w:hAnsi="Times New Roman"/>
          <w:b/>
          <w:i/>
          <w:sz w:val="20"/>
        </w:rPr>
        <w:t>Change in Control Severance</w:t>
      </w:r>
      <w:r>
        <w:rPr>
          <w:rFonts w:ascii="Times New Roman" w:hAnsi="Times New Roman"/>
          <w:sz w:val="20"/>
        </w:rPr>
        <w:t xml:space="preserve">”). The Company will pay the Change in Control Severance in a single lump sum amount within sixty (60) days after Executive’s termination date, provided Executive has timely executed and not revoked a Release within such sixty (60) day period and provided further that if the Release can be executed in more than one taxable year of Executive, payment shall be made on the earliest date permitted under the terms of the Release in the later such taxable year. The Change in Control Severance shall otherwise be conditioned on Executive’s compliance with, and other severance mechanics set forth in Section 3.1(c) through (f). The Change in Control Severance is in lieu of, and not in addition to, the Severance described in Section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Notice of Termination</w:t>
      </w:r>
      <w:r>
        <w:rPr>
          <w:rFonts w:ascii="Times New Roman" w:hAnsi="Times New Roman"/>
          <w:sz w:val="20"/>
        </w:rPr>
        <w:t xml:space="preserve">. Any termination of Executive’s employment by either party shall be communicated by a written notice of termination to the other party hereto given in accordance with Section 13. The notice of termination shall (a) 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Cooperation with the Company After Termination</w:t>
      </w:r>
      <w:r>
        <w:rPr>
          <w:rFonts w:ascii="Times New Roman" w:hAnsi="Times New Roman"/>
          <w:sz w:val="20"/>
        </w:rPr>
        <w:t xml:space="preserve">.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his employment and about which Executive may have knowledge; and (b) any investigation or review that may be performed by the Company or any government authority or in connection with any litigation or proceeding in which the Company may become involved. Executive’s obligations under this Section 3.6 include (without limitation) (i) making himself available to testify on behalf of the Company or a Company affiliate in any action, suit, or proceeding, whether civil, criminal, administrative, or investigative; (ii) assisting the Company or a Company affiliate in any such action, suit, or proceeding, by providing truthful and accurate information; (iii) and meeting and consulting with the Board or its representatives or counsel, or representatives or counsel to any Company affiliate as may be reasonably requested and after taking into account Executive’s post-termination responsibilities and obligations. The Company will reimburse Executive for any reasonable travel and out of pocket expenses incurred by Executive in providing such cooperation and if such cooperation following the termination of employment requires in excess of twenty (20) hours, the Company will pay Executive a reasonable hourly consulting fee (provided that no fee will be payable in connection with Executive providing testimony under oath).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Cause</w:t>
      </w:r>
      <w:r>
        <w:rPr>
          <w:rFonts w:ascii="Times New Roman" w:hAnsi="Times New Roman"/>
          <w:sz w:val="20"/>
        </w:rPr>
        <w:t xml:space="preserve">” shall mean: (i) Executive commits, is convicted of or pleads guilty or no contest to a misdemeanor criminal offense predicated on fraud, theft or moral turpitude or a felony (but excluding any non-custodial traffic offense); (ii) Executive’s engagement in any act involving gross misconduct or dishonesty that is materially injurious to the Company or any Company affiliate; (iii) Executive’s willful and continued breach of any written agreement with the Company or any Company affiliate; (iv) Executive’s willful and continued breach of, or refusal or failure substantially to comply with any material policy provided to Executive in writing; (v) Executive’s willful or continued refusal or failure to substantially perform Executive’s material duties and responsibilities as President and Chief Executive Officer (other than any such failure resulting from Executive’s Disability); or (vi) Executive commits or has committed a breach of any laws or regulations which may affect or relate to the conduct of the Company’s or the business of a Company affiliate; provided, however, that with respect to (iii) and (v) above, Executive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if Executive cures such misconduct and/or breach, no Cause will exist to terminate Executive’s employment,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Good Reason</w:t>
      </w:r>
      <w:r>
        <w:rPr>
          <w:rFonts w:ascii="Times New Roman" w:hAnsi="Times New Roman"/>
          <w:sz w:val="20"/>
        </w:rPr>
        <w:t xml:space="preserve">” shall mean the occurrence of any of the following events or conditions, unless Executive has expressly consented in writing thereto: </w:t>
      </w:r>
    </w:p>
    <w:p>
      <w:pPr>
        <w:pStyle w:val="TextBody"/>
        <w:bidi w:val="0"/>
        <w:spacing w:before="240" w:after="0"/>
        <w:jc w:val="left"/>
        <w:rPr>
          <w:rFonts w:ascii="Times New Roman" w:hAnsi="Times New Roman"/>
          <w:sz w:val="20"/>
        </w:rPr>
      </w:pPr>
      <w:r>
        <w:rPr>
          <w:rFonts w:ascii="Times New Roman" w:hAnsi="Times New Roman"/>
          <w:sz w:val="20"/>
        </w:rPr>
        <w:t xml:space="preserve">(i) A material reduction in Executive’s Base Salary; </w:t>
      </w:r>
    </w:p>
    <w:p>
      <w:pPr>
        <w:pStyle w:val="TextBody"/>
        <w:bidi w:val="0"/>
        <w:spacing w:before="240" w:after="0"/>
        <w:jc w:val="left"/>
        <w:rPr>
          <w:rFonts w:ascii="Times New Roman" w:hAnsi="Times New Roman"/>
          <w:sz w:val="20"/>
        </w:rPr>
      </w:pPr>
      <w:r>
        <w:rPr>
          <w:rFonts w:ascii="Times New Roman" w:hAnsi="Times New Roman"/>
          <w:sz w:val="20"/>
        </w:rPr>
        <w:t xml:space="preserve">(ii) 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requires that Executive report to another person other than the Board; </w:t>
      </w:r>
    </w:p>
    <w:p>
      <w:pPr>
        <w:pStyle w:val="TextBody"/>
        <w:bidi w:val="0"/>
        <w:spacing w:before="240" w:after="0"/>
        <w:jc w:val="left"/>
        <w:rPr>
          <w:rFonts w:ascii="Times New Roman" w:hAnsi="Times New Roman"/>
          <w:sz w:val="20"/>
        </w:rPr>
      </w:pPr>
      <w:r>
        <w:rPr>
          <w:rFonts w:ascii="Times New Roman" w:hAnsi="Times New Roman"/>
          <w:sz w:val="20"/>
        </w:rPr>
        <w:t xml:space="preserve">(iv) The Company requires that Executive’s principal office location be moved to a location more than fifty (50) miles from Executive’s principal office location immediately before the change without Executive’s prior consent; or </w:t>
      </w:r>
    </w:p>
    <w:p>
      <w:pPr>
        <w:pStyle w:val="TextBody"/>
        <w:bidi w:val="0"/>
        <w:spacing w:before="240" w:after="0"/>
        <w:jc w:val="left"/>
        <w:rPr>
          <w:rFonts w:ascii="Times New Roman" w:hAnsi="Times New Roman"/>
          <w:sz w:val="20"/>
        </w:rPr>
      </w:pPr>
      <w:r>
        <w:rPr>
          <w:rFonts w:ascii="Times New Roman" w:hAnsi="Times New Roman"/>
          <w:sz w:val="20"/>
        </w:rPr>
        <w:t xml:space="preserve">(v) A material breach by the Company of this Agreement or any other written agreement between the parties. </w:t>
      </w:r>
    </w:p>
    <w:p>
      <w:pPr>
        <w:pStyle w:val="TextBody"/>
        <w:bidi w:val="0"/>
        <w:spacing w:before="240" w:after="0"/>
        <w:jc w:val="left"/>
        <w:rPr>
          <w:rFonts w:ascii="Times New Roman" w:hAnsi="Times New Roman"/>
          <w:sz w:val="20"/>
        </w:rPr>
      </w:pPr>
      <w:r>
        <w:rPr>
          <w:rFonts w:ascii="Times New Roman" w:hAnsi="Times New Roman"/>
          <w:sz w:val="20"/>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Times New Roman" w:hAnsi="Times New Roman"/>
          <w:b/>
          <w:i/>
          <w:sz w:val="20"/>
        </w:rPr>
        <w:t>Cure Period</w:t>
      </w:r>
      <w:r>
        <w:rPr>
          <w:rFonts w:ascii="Times New Roman" w:hAnsi="Times New Roman"/>
          <w:sz w:val="20"/>
        </w:rPr>
        <w:t xml:space="preserve">”), to cure the condition; (iv) notwithstanding such efforts, the Good Reason condition continues to exist following expiration of the Cure Period as determined by the Company; and (v) Executive terminates his employment within sixty (60) days after the end of the Cure Period. If the Company cures the Good Reason condition during the Cure Period, Good Reason shall be deemed not to have occurred.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Required Postponement for Specified Executives</w:t>
      </w:r>
      <w:r>
        <w:rPr>
          <w:rFonts w:ascii="Times New Roman" w:hAnsi="Times New Roman"/>
          <w:sz w:val="20"/>
        </w:rPr>
        <w:t xml:space="preserve">.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Non-Exclusivity of Rights</w:t>
      </w:r>
      <w:r>
        <w:rPr>
          <w:rFonts w:ascii="Times New Roman" w:hAnsi="Times New Roman"/>
          <w:b/>
          <w:sz w:val="20"/>
        </w:rPr>
        <w:t xml:space="preserve">. </w:t>
      </w:r>
      <w:r>
        <w:rPr>
          <w:rFonts w:ascii="Times New Roman" w:hAnsi="Times New Roman"/>
          <w:sz w:val="20"/>
        </w:rPr>
        <w:t xml:space="preserve">Nothing in this Agreement shall prevent or limit Executive’s continuing or future 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Confidentiality</w:t>
      </w:r>
      <w:r>
        <w:rPr>
          <w:rFonts w:ascii="Times New Roman" w:hAnsi="Times New Roman"/>
          <w:b/>
          <w:sz w:val="20"/>
        </w:rPr>
        <w:t xml:space="preserve">. </w:t>
      </w:r>
      <w:r>
        <w:rPr>
          <w:rFonts w:ascii="Times New Roman" w:hAnsi="Times New Roman"/>
          <w:sz w:val="20"/>
        </w:rPr>
        <w:t xml:space="preserve">Executive agrees that Executive’s services to the Company are of a special, unique and 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 </w:t>
      </w:r>
    </w:p>
    <w:p>
      <w:pPr>
        <w:pStyle w:val="TextBody"/>
        <w:bidi w:val="0"/>
        <w:spacing w:before="240" w:after="0"/>
        <w:jc w:val="left"/>
        <w:rPr>
          <w:rFonts w:ascii="Times New Roman" w:hAnsi="Times New Roman"/>
          <w:sz w:val="20"/>
        </w:rPr>
      </w:pPr>
      <w:r>
        <w:rPr>
          <w:rFonts w:ascii="Times New Roman" w:hAnsi="Times New Roman"/>
          <w:sz w:val="20"/>
        </w:rPr>
        <w:t>(a) 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w:t>
      </w:r>
      <w:r>
        <w:rPr>
          <w:rFonts w:ascii="Times New Roman" w:hAnsi="Times New Roman"/>
          <w:b/>
          <w:i/>
          <w:sz w:val="20"/>
        </w:rPr>
        <w:t>Confidential Information</w:t>
      </w:r>
      <w:r>
        <w:rPr>
          <w:rFonts w:ascii="Times New Roman" w:hAnsi="Times New Roman"/>
          <w:sz w:val="20"/>
        </w:rPr>
        <w:t xml:space="preserve">”), except as may be required in the ordinary course of performing Executive’s duties as an employee of the 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above restrictions on the use of Confidential Information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publicly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(unless prohibited by applicable law or by the order of a court or government agency)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good faith allegations of criminal conduct or possible violations of applicable law, including federal securities laws, to the appropriate government enforcing agency or commission and make such other disclosures that are expressly protected under federal or state “whistleblower” laws, (C) file a charge or complaint with or respond to inquiries from, or otherwise cooperate with, any governmental or regulatory investigation or proceeding, (D) disclose non-privileged factual information related to sexual harassment or sexual assault occurring in the workplace or at work-related events, or (E) seek confidential legal advice (collectively the “</w:t>
      </w:r>
      <w:r>
        <w:rPr>
          <w:rFonts w:ascii="Times New Roman" w:hAnsi="Times New Roman"/>
          <w:b/>
          <w:i/>
          <w:sz w:val="20"/>
        </w:rPr>
        <w:t>Protected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 Notwithstanding anything in this Section 5 to the contrary, Executive may retain copies of documents and information that are: (i) solely related to Executive’s personal compensation, benefits, or tax obligations, (ii) Executive’s personal contacts, and (iii) any other materials that the Company and Executive mutually agree are customary and appropriate to retain.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Moreover,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w:t>
      </w:r>
    </w:p>
    <w:p>
      <w:pPr>
        <w:pStyle w:val="TextBody"/>
        <w:bidi w:val="0"/>
        <w:spacing w:before="24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Intellectual Property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Times New Roman" w:hAnsi="Times New Roman"/>
          <w:b/>
          <w:i/>
          <w:sz w:val="20"/>
        </w:rPr>
        <w:t>Developments</w:t>
      </w:r>
      <w:r>
        <w:rPr>
          <w:rFonts w:ascii="Times New Roman" w:hAnsi="Times New Roman"/>
          <w:sz w:val="20"/>
        </w:rPr>
        <w:t xml:space="preserve">”) that (i) relates to the business of the Company or any of the products or services being developed, manufactured or sold by the Company or which may be used in relation therewith, (ii) 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(i) to apply for, obtain and vest in the name of the Company alone (unless the Company otherwise directs) letters patent, copyrights or other analogous protection in any country throughout the world and when so obtained or vested to renew and restore the same; and </w:t>
      </w:r>
    </w:p>
    <w:p>
      <w:pPr>
        <w:pStyle w:val="TextBody"/>
        <w:bidi w:val="0"/>
        <w:spacing w:before="240" w:after="0"/>
        <w:jc w:val="left"/>
        <w:rPr>
          <w:rFonts w:ascii="Times New Roman" w:hAnsi="Times New Roman"/>
          <w:sz w:val="20"/>
        </w:rPr>
      </w:pPr>
      <w:r>
        <w:rPr>
          <w:rFonts w:ascii="Times New Roman" w:hAnsi="Times New Roman"/>
          <w:sz w:val="20"/>
        </w:rPr>
        <w:t xml:space="preserve">(ii) to defend any opposition proceedings in respect of such applications and any opposition proceedings or petitions or applications for revocation of such letters patent, copyright or other analogous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his stead to execute and file any such application or applications and to do all other lawfully permitted acts to further the prosecution and issuance of letters patent, copyright and other analogous protection thereon with the same legal force and effect as if executed by Executive.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Non-Competition</w:t>
      </w:r>
      <w:r>
        <w:rPr>
          <w:rFonts w:ascii="Times New Roman" w:hAnsi="Times New Roman"/>
          <w:b/>
          <w:sz w:val="20"/>
        </w:rPr>
        <w:t xml:space="preserve">. </w:t>
      </w:r>
      <w:r>
        <w:rPr>
          <w:rFonts w:ascii="Times New Roman" w:hAnsi="Times New Roman"/>
          <w:sz w:val="20"/>
        </w:rPr>
        <w:t>During Executive’s employment with the Company and for a period of eighteen (18) months after termination of Executive’s employment (for any reason whatsoever, whether voluntary or involuntary), Executive shall not, without the prior written approval of the Board, whether alone or as a partner, officer, director, 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mobility solutions, which include without limitation, photo, speed and red light automated enforcement technologies, parking systems, electronic toll collection, toll and traffic violation enforcement management, automated revenue collection processing systems and software, related transaction processing operations for any of the foregoing, and any other products or services offered, conducted, authorized, provided, or under development by the Company during the last twelve (12) months of Executive’s employment (the “</w:t>
      </w:r>
      <w:r>
        <w:rPr>
          <w:rFonts w:ascii="Times New Roman" w:hAnsi="Times New Roman"/>
          <w:b/>
          <w:i/>
          <w:sz w:val="20"/>
        </w:rPr>
        <w:t>Business</w:t>
      </w:r>
      <w:r>
        <w:rPr>
          <w:rFonts w:ascii="Times New Roman" w:hAnsi="Times New Roman"/>
          <w:sz w:val="20"/>
        </w:rPr>
        <w:t xml:space="preserve">”), in 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including Executive’s employment by a subsidiary or division of a company or business that is engaged in the Business so long as (A) such subsidiary or division by which Executive is employed is not itself engaged in the Business, (B) Executive does not provide services to or have operational responsibility or oversight over any subsidiary, division, or business unit of such company or business that is engaged in the Business, and (C) Executive’s activities in such employment do not otherwise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Non-Solicitation</w:t>
      </w:r>
      <w:r>
        <w:rPr>
          <w:rFonts w:ascii="Times New Roman" w:hAnsi="Times New Roman"/>
          <w:b/>
          <w:sz w:val="20"/>
        </w:rPr>
        <w:t xml:space="preserve">. </w:t>
      </w:r>
      <w:r>
        <w:rPr>
          <w:rFonts w:ascii="Times New Roman" w:hAnsi="Times New Roman"/>
          <w:sz w:val="20"/>
        </w:rPr>
        <w:t xml:space="preserve">During Executive’s employment with the Company and for a period of eighteen (18) months after termination of such employment (for any reason, whether voluntary or involuntary), Executive agrees that Executive will not: </w:t>
      </w:r>
    </w:p>
    <w:p>
      <w:pPr>
        <w:pStyle w:val="TextBody"/>
        <w:bidi w:val="0"/>
        <w:spacing w:before="240" w:after="0"/>
        <w:jc w:val="left"/>
        <w:rPr>
          <w:rFonts w:ascii="Times New Roman" w:hAnsi="Times New Roman"/>
          <w:sz w:val="20"/>
        </w:rPr>
      </w:pPr>
      <w:r>
        <w:rPr>
          <w:rFonts w:ascii="Times New Roman" w:hAnsi="Times New Roman"/>
          <w:sz w:val="20"/>
        </w:rPr>
        <w:t xml:space="preserve">(a) 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 or any in way reduce or impair its business relationship with the Company, and Executive shall not approach or contact any such person, firm or corporation for such purpose or authorize or knowingly approve the taking of such actions by any other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Non-Disparagement</w:t>
      </w:r>
      <w:r>
        <w:rPr>
          <w:rFonts w:ascii="Times New Roman" w:hAnsi="Times New Roman"/>
          <w:b/>
          <w:sz w:val="20"/>
        </w:rPr>
        <w:t xml:space="preserve">. </w:t>
      </w:r>
      <w:r>
        <w:rPr>
          <w:rFonts w:ascii="Times New Roman" w:hAnsi="Times New Roman"/>
          <w:sz w:val="20"/>
        </w:rPr>
        <w:t xml:space="preserve">During Executive’s employment and for a period of twenty-four (24) months following Executive’s termination of employment for any reason, Executive agrees not to make, or knowingly cause to be made, any public disparaging statement or public communication, written or oral, concerning the Company, or otherwise impugn the business or management of, damage the reputation of, or materially interfere with the normal operations of the Company or any of its respective past or present employees, executives, officers, directors, shareholders, members, managers, 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(as applicable) or right to engage in Protected Activities, or (c) impair or in any way interfere with the Company’s or Executive’s ability to engage in intra-Company communications between or among officers, members of the Board, and/or their advisors related to Executive’s compensation, retention, and/or job performance or the performance of Executive’s duties for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10. </w:t>
      </w: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Executive acknowledges and agrees that, for purposes of Sections 5, 6, 7, 8, and 9 of this Agreement, the term “Company” shall include Verra Mobility Corporation, VM Consolidated, Inc., and their direct and indirect subsidiaries and affiliates. </w:t>
      </w:r>
    </w:p>
    <w:p>
      <w:pPr>
        <w:pStyle w:val="TextBody"/>
        <w:bidi w:val="0"/>
        <w:spacing w:before="240" w:after="0"/>
        <w:jc w:val="left"/>
        <w:rPr>
          <w:rFonts w:ascii="Times New Roman" w:hAnsi="Times New Roman"/>
          <w:sz w:val="20"/>
        </w:rPr>
      </w:pPr>
      <w:r>
        <w:rPr>
          <w:rFonts w:ascii="Times New Roman" w:hAnsi="Times New Roman"/>
          <w:sz w:val="20"/>
        </w:rPr>
        <w:t xml:space="preserve">(b) 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way prevent Executive from earning a livelihood or impose upon Executive undue hardship. Executive recognizes and agrees that the Company competes and provides its products and services in numerous jurisdictions throughout the world,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(c) 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 </w:t>
      </w:r>
    </w:p>
    <w:p>
      <w:pPr>
        <w:pStyle w:val="TextBody"/>
        <w:bidi w:val="0"/>
        <w:spacing w:before="240" w:after="0"/>
        <w:jc w:val="left"/>
        <w:rPr>
          <w:rFonts w:ascii="Times New Roman" w:hAnsi="Times New Roman"/>
          <w:sz w:val="20"/>
        </w:rPr>
      </w:pPr>
      <w:r>
        <w:rPr>
          <w:rFonts w:ascii="Times New Roman" w:hAnsi="Times New Roman"/>
          <w:sz w:val="20"/>
        </w:rPr>
        <w:t xml:space="preserve">(d) 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 </w:t>
      </w:r>
    </w:p>
    <w:p>
      <w:pPr>
        <w:pStyle w:val="TextBody"/>
        <w:bidi w:val="0"/>
        <w:spacing w:before="240" w:after="0"/>
        <w:jc w:val="left"/>
        <w:rPr>
          <w:rFonts w:ascii="Times New Roman" w:hAnsi="Times New Roman"/>
          <w:sz w:val="20"/>
        </w:rPr>
      </w:pPr>
      <w:r>
        <w:rPr>
          <w:rFonts w:ascii="Times New Roman" w:hAnsi="Times New Roman"/>
          <w:sz w:val="20"/>
        </w:rPr>
        <w:t xml:space="preserve">(e) The parties recognize that in order for Executive to perform duties on behalf of the Company, Executive needs to manage, use or otherwise have access to Confidential Information. Accordingly, the Company’s agreement to provide Executive with access to Confidential Information is subject to the terms and conditions of this Agreement, and Executive accepts all of the terms contained in Sections 5, 6, 7, 8 and 9 in exchange for being provided with such Confidential Information. Executive further acknowledges and agrees that his continued employment under the terms and with the payments and benefits to be provided to Executive under this Agreement constitute sufficient and adequate consideration for the covenants in Sections 5, 6, 7, 8, and 9 hereof. </w:t>
      </w:r>
    </w:p>
    <w:p>
      <w:pPr>
        <w:pStyle w:val="TextBody"/>
        <w:bidi w:val="0"/>
        <w:spacing w:before="240" w:after="0"/>
        <w:jc w:val="left"/>
        <w:rPr>
          <w:rFonts w:ascii="Times New Roman" w:hAnsi="Times New Roman"/>
          <w:sz w:val="20"/>
        </w:rPr>
      </w:pPr>
      <w:r>
        <w:rPr>
          <w:rFonts w:ascii="Times New Roman" w:hAnsi="Times New Roman"/>
          <w:sz w:val="20"/>
        </w:rPr>
        <w:t xml:space="preserve">(f) 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make them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b/>
          <w:sz w:val="20"/>
        </w:rPr>
        <w:t xml:space="preserve">. </w:t>
      </w:r>
      <w:r>
        <w:rPr>
          <w:rFonts w:ascii="Times New Roman" w:hAnsi="Times New Roman"/>
          <w:sz w:val="20"/>
        </w:rPr>
        <w:t xml:space="preserve">In connection with Executive’s service as an officer and director of the Company, Executive and the Company shall enter into the Company’s standard form of indemnification agreement for directors and executive officers, subject to such modifications as are approved by the Board. </w:t>
      </w:r>
    </w:p>
    <w:p>
      <w:pPr>
        <w:pStyle w:val="TextBody"/>
        <w:bidi w:val="0"/>
        <w:spacing w:before="240" w:after="0"/>
        <w:jc w:val="left"/>
        <w:rPr>
          <w:rFonts w:ascii="Times New Roman" w:hAnsi="Times New Roman"/>
          <w:b/>
          <w:sz w:val="20"/>
        </w:rPr>
      </w:pPr>
      <w:r>
        <w:rPr>
          <w:rFonts w:ascii="Times New Roman" w:hAnsi="Times New Roman"/>
          <w:b/>
          <w:sz w:val="20"/>
        </w:rPr>
        <w:t xml:space="preserve">12. </w:t>
      </w:r>
      <w:r>
        <w:rPr>
          <w:rFonts w:ascii="Times New Roman" w:hAnsi="Times New Roman"/>
          <w:b/>
          <w:sz w:val="20"/>
          <w:u w:val="single"/>
        </w:rPr>
        <w:t>Representations and Warranties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Executive represents and warrants the following to the Company, each of which Executive acknowledges is a material inducement to the Company’s willingness to enter into this Agreement and a material provision of this Agreement: </w:t>
      </w:r>
    </w:p>
    <w:p>
      <w:pPr>
        <w:pStyle w:val="TextBody"/>
        <w:bidi w:val="0"/>
        <w:spacing w:before="240" w:after="0"/>
        <w:jc w:val="left"/>
        <w:rPr>
          <w:rFonts w:ascii="Times New Roman" w:hAnsi="Times New Roman"/>
          <w:sz w:val="20"/>
        </w:rPr>
      </w:pPr>
      <w:r>
        <w:rPr>
          <w:rFonts w:ascii="Times New Roman" w:hAnsi="Times New Roman"/>
          <w:sz w:val="20"/>
        </w:rPr>
        <w:t>(a) 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Times New Roman" w:hAnsi="Times New Roman"/>
          <w:b/>
          <w:i/>
          <w:sz w:val="20"/>
        </w:rPr>
        <w:t>Restrictive Agreement</w:t>
      </w:r>
      <w:r>
        <w:rPr>
          <w:rFonts w:ascii="Times New Roman" w:hAnsi="Times New Roman"/>
          <w:sz w:val="20"/>
        </w:rPr>
        <w:t xml:space="preserve">”), and Executive has conducted a thorough review of any and all agreements Executive may have entered into with any current or former employer or any other relevant party to ensure that this representation and warranty is correct. </w:t>
      </w:r>
    </w:p>
    <w:p>
      <w:pPr>
        <w:pStyle w:val="TextBody"/>
        <w:bidi w:val="0"/>
        <w:spacing w:before="240" w:after="0"/>
        <w:jc w:val="left"/>
        <w:rPr>
          <w:rFonts w:ascii="Times New Roman" w:hAnsi="Times New Roman"/>
          <w:sz w:val="20"/>
        </w:rPr>
      </w:pPr>
      <w:r>
        <w:rPr>
          <w:rFonts w:ascii="Times New Roman" w:hAnsi="Times New Roman"/>
          <w:sz w:val="20"/>
        </w:rPr>
        <w:t xml:space="preserve">(b) Other than as previously disclosed in writing or provided to the Company, no Restrictive Agreement prohibits, restricts, limits or otherwise affects Executive’s employment with the Company as an executive or ability to perform any of Executive’s duties or responsibilities for the Company as contemplated herein. With respect to any Restrictive Agreement that has been previously disclosed in writing or provided to the Company, Executive represents and warrants that (i) Executive’s acceptance of employment with the Company and the performance of Executive’s duties and responsibilities hereunder does not and will not constitute a breach or violation of any such Restrictive Agreement, and (ii) no such Restrictive Agreement prohibits, restricts, or limits Executive’s ability to perform the full scope of Executive’s duties and responsibilities as President and Chief Executive Officer of the Company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Executive has not made any material misrepresentation or omission in the course of his communications with the Company regarding the Restrictive Agreements or other obligations to any current or former employer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his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his employment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Survivorship</w:t>
      </w:r>
      <w:r>
        <w:rPr>
          <w:rFonts w:ascii="Times New Roman" w:hAnsi="Times New Roman"/>
          <w:b/>
          <w:sz w:val="20"/>
        </w:rPr>
        <w:t xml:space="preserve">. </w:t>
      </w:r>
      <w:r>
        <w:rPr>
          <w:rFonts w:ascii="Times New Roman" w:hAnsi="Times New Roman"/>
          <w:sz w:val="20"/>
        </w:rPr>
        <w:t xml:space="preserve">The respective rights and obligations of the parties under this Agreement, including but not limited to those rights and obligations set forth in Sections 5, 6, 7, 8, and 9, shall survive termination of Executive’s employment and any termination of this Agreement for any reason to the extent necessary to the intended preservation of such rights and obligations. </w:t>
      </w:r>
    </w:p>
    <w:p>
      <w:pPr>
        <w:pStyle w:val="TextBody"/>
        <w:bidi w:val="0"/>
        <w:spacing w:before="240" w:after="0"/>
        <w:jc w:val="left"/>
        <w:rPr>
          <w:rFonts w:ascii="Times New Roman" w:hAnsi="Times New Roman"/>
          <w:b/>
          <w:sz w:val="20"/>
        </w:rPr>
      </w:pPr>
      <w:r>
        <w:rPr>
          <w:rFonts w:ascii="Times New Roman" w:hAnsi="Times New Roman"/>
          <w:b/>
          <w:sz w:val="20"/>
        </w:rPr>
        <w:t xml:space="preserve">14. </w:t>
      </w:r>
      <w:r>
        <w:rPr>
          <w:rFonts w:ascii="Times New Roman" w:hAnsi="Times New Roman"/>
          <w:b/>
          <w:sz w:val="20"/>
          <w:u w:val="single"/>
        </w:rPr>
        <w:t>Notices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other communications required or permitted under this Agreement or necessary or convenient in connection herewith shall be in writing and shall be deemed to have been given when hand-delivered or mailed by registered or certified mail, as follows (provided that notice of change of address shall be deemed given only when received):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VM Consolidated, Inc. </w:t>
      </w:r>
    </w:p>
    <w:p>
      <w:pPr>
        <w:pStyle w:val="TextBody"/>
        <w:bidi w:val="0"/>
        <w:spacing w:before="0" w:after="0"/>
        <w:jc w:val="left"/>
        <w:rPr>
          <w:rFonts w:ascii="Times New Roman" w:hAnsi="Times New Roman"/>
          <w:sz w:val="20"/>
        </w:rPr>
      </w:pPr>
      <w:r>
        <w:rPr>
          <w:rFonts w:ascii="Times New Roman" w:hAnsi="Times New Roman"/>
          <w:sz w:val="20"/>
        </w:rPr>
        <w:t xml:space="preserve">2046 Riverview Auto Drive </w:t>
      </w:r>
    </w:p>
    <w:p>
      <w:pPr>
        <w:pStyle w:val="TextBody"/>
        <w:bidi w:val="0"/>
        <w:spacing w:before="0" w:after="0"/>
        <w:jc w:val="left"/>
        <w:rPr>
          <w:rFonts w:ascii="Times New Roman" w:hAnsi="Times New Roman"/>
          <w:sz w:val="20"/>
        </w:rPr>
      </w:pPr>
      <w:r>
        <w:rPr>
          <w:rFonts w:ascii="Times New Roman" w:hAnsi="Times New Roman"/>
          <w:sz w:val="20"/>
        </w:rPr>
        <w:t xml:space="preserve">Suite 300 </w:t>
      </w:r>
    </w:p>
    <w:p>
      <w:pPr>
        <w:pStyle w:val="TextBody"/>
        <w:bidi w:val="0"/>
        <w:spacing w:before="0" w:after="0"/>
        <w:jc w:val="left"/>
        <w:rPr>
          <w:rFonts w:ascii="Times New Roman" w:hAnsi="Times New Roman"/>
          <w:sz w:val="20"/>
        </w:rPr>
      </w:pPr>
      <w:r>
        <w:rPr>
          <w:rFonts w:ascii="Times New Roman" w:hAnsi="Times New Roman"/>
          <w:sz w:val="20"/>
        </w:rPr>
        <w:t xml:space="preserve">Mesa, AZ 85201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If to Executive, to: </w:t>
      </w:r>
    </w:p>
    <w:p>
      <w:pPr>
        <w:pStyle w:val="TextBody"/>
        <w:bidi w:val="0"/>
        <w:spacing w:before="120" w:after="0"/>
        <w:jc w:val="left"/>
        <w:rPr>
          <w:rFonts w:ascii="Times New Roman" w:hAnsi="Times New Roman"/>
          <w:sz w:val="20"/>
        </w:rPr>
      </w:pPr>
      <w:r>
        <w:rPr>
          <w:rFonts w:ascii="Times New Roman" w:hAnsi="Times New Roman"/>
          <w:sz w:val="20"/>
        </w:rPr>
        <w:t xml:space="preserve">The address of his principal residence most recently on file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names or addresses as the Company or Executive, as the case may be, shall designate by notice to each other person entitled to receive notices in the manner specified in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15.</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Contents of Agreement, Amendment, Interpretation and Assignment</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This Agreement sets forth the entire understanding between the parties hereto with respect to the subject matter hereof and supersedes any and all prior offer letters, employment agreements and understandings concerning Executive’s employment by the Company, and cannot be changed or modified except upon written amendment approved by the Board and executed on its behalf by a duly authorized officer and by Executive. </w:t>
      </w:r>
    </w:p>
    <w:p>
      <w:pPr>
        <w:pStyle w:val="TextBody"/>
        <w:bidi w:val="0"/>
        <w:spacing w:before="240" w:after="0"/>
        <w:jc w:val="left"/>
        <w:rPr>
          <w:rFonts w:ascii="Times New Roman" w:hAnsi="Times New Roman"/>
          <w:sz w:val="20"/>
        </w:rPr>
      </w:pPr>
      <w:r>
        <w:rPr>
          <w:rFonts w:ascii="Times New Roman" w:hAnsi="Times New Roman"/>
          <w:sz w:val="20"/>
        </w:rPr>
        <w:t xml:space="preserve">(b) The headings in this Agreement are for convenience only, and both parties agree that they shall not be construed or interpreted to modify or affect the construction or interpretation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b/>
          <w:sz w:val="20"/>
        </w:rPr>
        <w:t xml:space="preserve">. </w:t>
      </w:r>
      <w:r>
        <w:rPr>
          <w:rFonts w:ascii="Times New Roman" w:hAnsi="Times New Roman"/>
          <w:sz w:val="20"/>
        </w:rPr>
        <w:t xml:space="preserve">If any provision of this Agreement or application thereof to anyone or under any circumstances is 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Remedies Cumulative; No Waiver</w:t>
      </w:r>
      <w:r>
        <w:rPr>
          <w:rFonts w:ascii="Times New Roman" w:hAnsi="Times New Roman"/>
          <w:b/>
          <w:sz w:val="20"/>
        </w:rPr>
        <w:t>.</w:t>
      </w:r>
      <w:r>
        <w:rPr>
          <w:rFonts w:ascii="Times New Roman" w:hAnsi="Times New Roman"/>
          <w:sz w:val="20"/>
        </w:rPr>
        <w:t xml:space="preserve">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Withholding</w:t>
      </w:r>
      <w:r>
        <w:rPr>
          <w:rFonts w:ascii="Times New Roman" w:hAnsi="Times New Roman"/>
          <w:b/>
          <w:sz w:val="20"/>
        </w:rPr>
        <w:t xml:space="preserve">. </w:t>
      </w:r>
      <w:r>
        <w:rPr>
          <w:rFonts w:ascii="Times New Roman" w:hAnsi="Times New Roman"/>
          <w:sz w:val="20"/>
        </w:rPr>
        <w:t xml:space="preserve">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b/>
          <w:sz w:val="20"/>
        </w:rPr>
        <w:t xml:space="preserve">. </w:t>
      </w:r>
      <w:r>
        <w:rPr>
          <w:rFonts w:ascii="Times New Roman" w:hAnsi="Times New Roman"/>
          <w:sz w:val="20"/>
        </w:rPr>
        <w:t xml:space="preserve">This Agreement may be executed in counterparts, each of which is an original. It shall not be necessary in making proof of this Agreement or any counterpart hereof to produce or account for any of the other counterparts. Facsimile signatures and signatures transmitted by PDF shall be equivalent to original signatures.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Governing Law; Jurisdiction</w:t>
      </w:r>
      <w:r>
        <w:rPr>
          <w:rFonts w:ascii="Times New Roman" w:hAnsi="Times New Roman"/>
          <w:b/>
          <w:sz w:val="20"/>
        </w:rPr>
        <w:t xml:space="preserve">. </w:t>
      </w:r>
      <w:r>
        <w:rPr>
          <w:rFonts w:ascii="Times New Roman" w:hAnsi="Times New Roman"/>
          <w:sz w:val="20"/>
        </w:rPr>
        <w:t xml:space="preserve">This Agreement shall be governed by and interpreted under the laws of the State 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Section 409A</w:t>
      </w:r>
      <w:r>
        <w:rPr>
          <w:rFonts w:ascii="Times New Roman" w:hAnsi="Times New Roman"/>
          <w:b/>
          <w:sz w:val="20"/>
        </w:rPr>
        <w:t xml:space="preserve">. </w:t>
      </w:r>
      <w:r>
        <w:rPr>
          <w:rFonts w:ascii="Times New Roman" w:hAnsi="Times New Roman"/>
          <w:sz w:val="20"/>
        </w:rPr>
        <w:t xml:space="preserve">This Agreement is intended to comply with or otherwise be exempt from Section 409A and its 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Section 280G of the Code</w:t>
      </w:r>
      <w:r>
        <w:rPr>
          <w:rFonts w:ascii="Times New Roman" w:hAnsi="Times New Roman"/>
          <w:b/>
          <w:sz w:val="20"/>
        </w:rPr>
        <w:t xml:space="preserve">. </w:t>
      </w:r>
      <w:r>
        <w:rPr>
          <w:rFonts w:ascii="Times New Roman" w:hAnsi="Times New Roman"/>
          <w:sz w:val="20"/>
        </w:rPr>
        <w:t>Notwithstanding any other provision of this Agreement or any other plan, arrangement or agreement to the contrary, if any of the payments or benefits provided or to be provided by the Company or a Company affiliate to Executive or for Executive’s benefit pursuant to the terms of this Agreement or otherwise (the “</w:t>
      </w:r>
      <w:r>
        <w:rPr>
          <w:rFonts w:ascii="Times New Roman" w:hAnsi="Times New Roman"/>
          <w:b/>
          <w:i/>
          <w:sz w:val="20"/>
        </w:rPr>
        <w:t>Covered Payments</w:t>
      </w:r>
      <w:r>
        <w:rPr>
          <w:rFonts w:ascii="Times New Roman" w:hAnsi="Times New Roman"/>
          <w:sz w:val="20"/>
        </w:rPr>
        <w:t>”) constitute parachute payments (the “</w:t>
      </w:r>
      <w:r>
        <w:rPr>
          <w:rFonts w:ascii="Times New Roman" w:hAnsi="Times New Roman"/>
          <w:b/>
          <w:i/>
          <w:sz w:val="20"/>
        </w:rPr>
        <w:t>Parachute Payments</w:t>
      </w:r>
      <w:r>
        <w:rPr>
          <w:rFonts w:ascii="Times New Roman" w:hAnsi="Times New Roman"/>
          <w:sz w:val="20"/>
        </w:rPr>
        <w:t>”) within the meaning of Section 280G of the Code and, but for this Section 22, would be subject to the excise tax imposed under Section 4999 of the Code (or any successor provision thereto) or any similar tax imposed by state or local law or any interest or penalties with respect to such taxes (collectively, the “</w:t>
      </w:r>
      <w:r>
        <w:rPr>
          <w:rFonts w:ascii="Times New Roman" w:hAnsi="Times New Roman"/>
          <w:b/>
          <w:i/>
          <w:sz w:val="20"/>
        </w:rPr>
        <w:t>Excise Tax</w:t>
      </w:r>
      <w:r>
        <w:rPr>
          <w:rFonts w:ascii="Times New Roman" w:hAnsi="Times New Roman"/>
          <w:sz w:val="20"/>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hAnsi="Times New Roman"/>
          <w:b/>
          <w:i/>
          <w:sz w:val="20"/>
        </w:rPr>
        <w:t>Reduced Amount</w:t>
      </w:r>
      <w:r>
        <w:rPr>
          <w:rFonts w:ascii="Times New Roman" w:hAnsi="Times New Roman"/>
          <w:sz w:val="20"/>
        </w:rPr>
        <w:t>”). “</w:t>
      </w:r>
      <w:r>
        <w:rPr>
          <w:rFonts w:ascii="Times New Roman" w:hAnsi="Times New Roman"/>
          <w:b/>
          <w:i/>
          <w:sz w:val="20"/>
        </w:rPr>
        <w:t>Net Benefit</w:t>
      </w:r>
      <w:r>
        <w:rPr>
          <w:rFonts w:ascii="Times New Roman" w:hAnsi="Times New Roman"/>
          <w:sz w:val="20"/>
        </w:rPr>
        <w:t xml:space="preserve">” shall mean the present value of the Covered Payments net of all federal, state, local, foreign income, employment and excise taxes. </w:t>
      </w:r>
    </w:p>
    <w:p>
      <w:pPr>
        <w:pStyle w:val="TextBody"/>
        <w:bidi w:val="0"/>
        <w:spacing w:before="240" w:after="0"/>
        <w:jc w:val="left"/>
        <w:rPr>
          <w:rFonts w:ascii="Times New Roman" w:hAnsi="Times New Roman"/>
          <w:sz w:val="20"/>
        </w:rPr>
      </w:pPr>
      <w:r>
        <w:rPr>
          <w:rFonts w:ascii="Times New Roman" w:hAnsi="Times New Roman"/>
          <w:sz w:val="20"/>
        </w:rPr>
        <w:t xml:space="preserve">(a) Any such reduction shall be made in accordance with Section 409A and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the Covered Payments consisting of cash severance benefits that do not constitute nonqualified deferred compensation subject to Section 409A shall be reduced first, in reverse chronological order;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other Covered Payments consisting of cash payments, and Covered Payments consisting of accelerated vesting of equity based awards to which Treas. Reg. §1.280G-1 Q/A-24(c) does not apply, and that in either case do not constitute nonqualified deferred compensation subject to Section 409A, shall be reduced second, in reverse chronological order; </w:t>
      </w:r>
    </w:p>
    <w:p>
      <w:pPr>
        <w:pStyle w:val="TextBody"/>
        <w:bidi w:val="0"/>
        <w:spacing w:before="240" w:after="0"/>
        <w:jc w:val="left"/>
        <w:rPr>
          <w:rFonts w:ascii="Times New Roman" w:hAnsi="Times New Roman"/>
          <w:sz w:val="20"/>
        </w:rPr>
      </w:pPr>
      <w:r>
        <w:rPr>
          <w:rFonts w:ascii="Times New Roman" w:hAnsi="Times New Roman"/>
          <w:sz w:val="20"/>
        </w:rPr>
        <w:t xml:space="preserve">(iii) all Covered Payments consisting of cash payments that constitute nonqualified deferred compensation subject to Section 409A shall be reduced third, in reverse chronological order; and </w:t>
      </w:r>
    </w:p>
    <w:p>
      <w:pPr>
        <w:pStyle w:val="TextBody"/>
        <w:bidi w:val="0"/>
        <w:spacing w:before="240" w:after="0"/>
        <w:jc w:val="left"/>
        <w:rPr>
          <w:rFonts w:ascii="Times New Roman" w:hAnsi="Times New Roman"/>
          <w:sz w:val="20"/>
        </w:rPr>
      </w:pPr>
      <w:r>
        <w:rPr>
          <w:rFonts w:ascii="Times New Roman" w:hAnsi="Times New Roman"/>
          <w:sz w:val="20"/>
        </w:rPr>
        <w:t xml:space="preserve">(iv) all Covered Payments consisting of accelerated vesting of equity-based awards to which Treas. Reg. § 1.280G-1 Q/A-24(c) applies shall be the last Covered Payments to be reduced. </w:t>
      </w:r>
    </w:p>
    <w:p>
      <w:pPr>
        <w:pStyle w:val="TextBody"/>
        <w:bidi w:val="0"/>
        <w:spacing w:before="240" w:after="0"/>
        <w:jc w:val="left"/>
        <w:rPr>
          <w:rFonts w:ascii="Times New Roman" w:hAnsi="Times New Roman"/>
          <w:sz w:val="20"/>
        </w:rPr>
      </w:pPr>
      <w:r>
        <w:rPr>
          <w:rFonts w:ascii="Times New Roman" w:hAnsi="Times New Roman"/>
          <w:sz w:val="20"/>
        </w:rPr>
        <w:t>(b) Any determination required under this Section 22 shall be made in writing in good faith by an independent accounting firm selected by the Company and reasonably acceptable to Executive (the “</w:t>
      </w:r>
      <w:r>
        <w:rPr>
          <w:rFonts w:ascii="Times New Roman" w:hAnsi="Times New Roman"/>
          <w:b/>
          <w:i/>
          <w:sz w:val="20"/>
        </w:rPr>
        <w:t>Accountants</w:t>
      </w:r>
      <w:r>
        <w:rPr>
          <w:rFonts w:ascii="Times New Roman" w:hAnsi="Times New Roman"/>
          <w:sz w:val="20"/>
        </w:rPr>
        <w:t xml:space="preserve">”). The Company and Executive shall provide the Accountants with such information and documents as the Accountants may reasonably request in order to make a determination under this Section 22. For purposes of making the calculations and determinations required by this Section 22,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22. </w:t>
      </w:r>
    </w:p>
    <w:p>
      <w:pPr>
        <w:pStyle w:val="TextBody"/>
        <w:bidi w:val="0"/>
        <w:spacing w:before="240" w:after="0"/>
        <w:jc w:val="left"/>
        <w:rPr>
          <w:rFonts w:ascii="Times New Roman" w:hAnsi="Times New Roman"/>
          <w:sz w:val="20"/>
        </w:rPr>
      </w:pPr>
      <w:r>
        <w:rPr>
          <w:rFonts w:ascii="Times New Roman" w:hAnsi="Times New Roman"/>
          <w:sz w:val="20"/>
        </w:rPr>
        <w:t>(c) It is possible that after the determinations and selections made pursuant to this Section 22 Executive will receive Covered Payments that are in the aggregate more than the amount intended or required to be provided after application of this Section 22 (“</w:t>
      </w:r>
      <w:r>
        <w:rPr>
          <w:rFonts w:ascii="Times New Roman" w:hAnsi="Times New Roman"/>
          <w:b/>
          <w:i/>
          <w:sz w:val="20"/>
        </w:rPr>
        <w:t>Overpayment</w:t>
      </w:r>
      <w:r>
        <w:rPr>
          <w:rFonts w:ascii="Times New Roman" w:hAnsi="Times New Roman"/>
          <w:sz w:val="20"/>
        </w:rPr>
        <w:t>”) or less than the amount intended or required to be provided after application of this Section 22 (“</w:t>
      </w:r>
      <w:r>
        <w:rPr>
          <w:rFonts w:ascii="Times New Roman" w:hAnsi="Times New Roman"/>
          <w:b/>
          <w:i/>
          <w:sz w:val="20"/>
        </w:rPr>
        <w:t>Underpayment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intending to be legally bound,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7"/>
        <w:gridCol w:w="60"/>
        <w:gridCol w:w="3335"/>
      </w:tblGrid>
      <w:tr>
        <w:trPr/>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VERRA MOBILITY CORPORATION</w:t>
            </w:r>
          </w:p>
        </w:tc>
      </w:tr>
      <w:tr>
        <w:trPr/>
        <w:tc>
          <w:tcPr>
            <w:tcW w:w="4082" w:type="dxa"/>
            <w:gridSpan w:val="3"/>
            <w:tcBorders/>
          </w:tcPr>
          <w:p>
            <w:pPr>
              <w:pStyle w:val="TableContents"/>
              <w:bidi w:val="0"/>
              <w:spacing w:before="0" w:after="283"/>
              <w:jc w:val="left"/>
              <w:rPr>
                <w:b/>
              </w:rPr>
            </w:pPr>
            <w:r>
              <w:rPr>
                <w:b/>
              </w:rPr>
              <w:t>VM CONSOLIDATED, INC.</w:t>
            </w:r>
          </w:p>
        </w:tc>
      </w:tr>
      <w:tr>
        <w:trPr>
          <w:trHeight w:val="240" w:hRule="atLeast"/>
        </w:trPr>
        <w:tc>
          <w:tcPr>
            <w:tcW w:w="687"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Byrne</w:t>
            </w:r>
          </w:p>
        </w:tc>
      </w:tr>
      <w:tr>
        <w:trPr/>
        <w:tc>
          <w:tcPr>
            <w:tcW w:w="6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left"/>
              <w:rPr/>
            </w:pPr>
            <w:r>
              <w:rPr/>
              <w:t>Patrick Byrne</w:t>
            </w:r>
          </w:p>
        </w:tc>
      </w:tr>
      <w:tr>
        <w:trPr/>
        <w:tc>
          <w:tcPr>
            <w:tcW w:w="6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left"/>
              <w:rPr/>
            </w:pPr>
            <w:r>
              <w:rPr/>
              <w:t>Director and Chairman of the Board</w:t>
            </w:r>
          </w:p>
        </w:tc>
      </w:tr>
      <w:tr>
        <w:trPr/>
        <w:tc>
          <w:tcPr>
            <w:tcW w:w="687"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left"/>
              <w:rPr/>
            </w:pPr>
            <w:r>
              <w:rPr/>
              <w:t>October 1,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JON NEWHARD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 Newhard</w:t>
            </w:r>
          </w:p>
        </w:tc>
      </w:tr>
      <w:tr>
        <w:trPr/>
        <w:tc>
          <w:tcPr>
            <w:tcW w:w="4082" w:type="dxa"/>
            <w:gridSpan w:val="3"/>
            <w:tcBorders/>
          </w:tcPr>
          <w:p>
            <w:pPr>
              <w:pStyle w:val="TableContents"/>
              <w:bidi w:val="0"/>
              <w:spacing w:before="0" w:after="283"/>
              <w:jc w:val="left"/>
              <w:rPr/>
            </w:pPr>
            <w:r>
              <w:rPr/>
              <w:t>Date: September 30, 2026</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Executive Employment Agreement </w:t>
      </w:r>
    </w:p>
    <w:p>
      <w:pPr>
        <w:pStyle w:val="TextBody"/>
        <w:bidi w:val="0"/>
        <w:spacing w:before="0" w:after="0"/>
        <w:jc w:val="right"/>
        <w:rPr>
          <w:rFonts w:ascii="Times New Roman" w:hAnsi="Times New Roman"/>
          <w:sz w:val="20"/>
        </w:rPr>
      </w:pPr>
      <w:bookmarkStart w:id="4" w:name="d116013dex102.htm"/>
      <w:bookmarkStart w:id="5" w:name="ksd116013dex102"/>
      <w:bookmarkEnd w:id="4"/>
      <w:bookmarkEnd w:id="5"/>
      <w:r>
        <w:rPr>
          <w:rFonts w:ascii="Times New Roman" w:hAnsi="Times New Roman"/>
          <w:sz w:val="20"/>
        </w:rPr>
        <w:t xml:space="preserve">Exhibit 10.2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INDEMNITY AGREEMENT </w:t>
      </w:r>
    </w:p>
    <w:p>
      <w:pPr>
        <w:pStyle w:val="TextBody"/>
        <w:bidi w:val="0"/>
        <w:spacing w:before="240" w:after="0"/>
        <w:jc w:val="left"/>
        <w:rPr>
          <w:rFonts w:ascii="Times New Roman" w:hAnsi="Times New Roman"/>
          <w:sz w:val="20"/>
        </w:rPr>
      </w:pPr>
      <w:r>
        <w:rPr>
          <w:rFonts w:ascii="Times New Roman" w:hAnsi="Times New Roman"/>
          <w:b/>
          <w:sz w:val="20"/>
        </w:rPr>
        <w:t>THIS INDEMNITY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is made as of _____________, 2026, by and between Verra Mobility Corporation, a Delaware corporation (the “</w:t>
      </w:r>
      <w:r>
        <w:rPr>
          <w:rFonts w:ascii="Times New Roman" w:hAnsi="Times New Roman"/>
          <w:b/>
          <w:i/>
          <w:sz w:val="20"/>
        </w:rPr>
        <w:t>Company</w:t>
      </w:r>
      <w:r>
        <w:rPr>
          <w:rFonts w:ascii="Times New Roman" w:hAnsi="Times New Roman"/>
          <w:sz w:val="20"/>
        </w:rPr>
        <w:t>”), and Jon Newhard (“</w:t>
      </w:r>
      <w:r>
        <w:rPr>
          <w:rFonts w:ascii="Times New Roman" w:hAnsi="Times New Roman"/>
          <w:b/>
          <w:i/>
          <w:sz w:val="20"/>
        </w:rPr>
        <w:t>Indemnitee</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highly competent persons have become more reluctant to serve publicly-held corporations as directors, officers or in other capacities unless they are provided with adequate protection through insurance or adequate indemnification against inordinate risks of claims and actions against them arising out of their service to and activities on behalf of such corporations;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b/>
          <w:i/>
          <w:sz w:val="20"/>
        </w:rPr>
        <w:t>Board</w:t>
      </w:r>
      <w:r>
        <w:rPr>
          <w:rFonts w:ascii="Times New Roman" w:hAnsi="Times New Roman"/>
          <w:sz w:val="20"/>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publicly traded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hAnsi="Times New Roman"/>
          <w:b/>
          <w:i/>
          <w:sz w:val="20"/>
        </w:rPr>
        <w:t>Charter</w:t>
      </w:r>
      <w:r>
        <w:rPr>
          <w:rFonts w:ascii="Times New Roman" w:hAnsi="Times New Roman"/>
          <w:sz w:val="20"/>
        </w:rPr>
        <w:t>”) and Bylaws of the Company require indemnification of the officers and directors of the Company. Indemnitee may also be entitled to indemnification pursuant to applicable provisions of the Delaware General Corporation Law (“</w:t>
      </w:r>
      <w:r>
        <w:rPr>
          <w:rFonts w:ascii="Times New Roman" w:hAnsi="Times New Roman"/>
          <w:b/>
          <w:i/>
          <w:sz w:val="20"/>
        </w:rPr>
        <w:t>DGCL</w:t>
      </w:r>
      <w:r>
        <w:rPr>
          <w:rFonts w:ascii="Times New Roman" w:hAnsi="Times New Roman"/>
          <w:sz w:val="20"/>
        </w:rPr>
        <w:t xml:space="preserve">”). The Charter,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uncertainties relating to such insurance and to indemnification have increased the difficulty of attracting and retaining such persons;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it is reasonable, prudent and necessary for the Company contractually to obligate itself to indemnify, hold harmless, exonerate and to advance expenses on behalf of, such persons to the fullest extent permitted by applicable law so that they will serve or continue to serve the Company free from undue concern that they will not be so protected against liabilities;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this Agreement is a supplement to and in furtherance of the Charter and Bylaws of the Company and any resolutions adopted pursuant thereto,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Indemnitee may not be willing to serve as an officer or director, advisor or in another capacity without adequate protection, and the Company desires Indemnitee to serve in such capacity. Indemnitee is willing to serve, continue to serve and to take on additional service for or on behalf of the Company on the condition that he be so indemnified; and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covenants contained herein, the Company and Indemnitee do hereby covenant and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TERMS AND CONDITIONS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SERVICES TO THE COMPANY</w:t>
      </w:r>
      <w:r>
        <w:rPr>
          <w:rFonts w:ascii="Times New Roman" w:hAnsi="Times New Roman"/>
          <w:sz w:val="20"/>
        </w:rPr>
        <w:t xml:space="preserve">. Indemnitee will serve or continue to serve as an officer, director, advisor, key employee or in any other capacity of the Company, as applicable, for so long as Indemnitee is duly elected, appointed or retained or until Indemnitee tenders his resignation.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in this Agreement: </w:t>
      </w:r>
    </w:p>
    <w:p>
      <w:pPr>
        <w:pStyle w:val="TextBody"/>
        <w:bidi w:val="0"/>
        <w:spacing w:before="240" w:after="0"/>
        <w:jc w:val="left"/>
        <w:rPr>
          <w:rFonts w:ascii="Times New Roman" w:hAnsi="Times New Roman"/>
          <w:sz w:val="20"/>
        </w:rPr>
      </w:pPr>
      <w:r>
        <w:rPr>
          <w:rFonts w:ascii="Times New Roman" w:hAnsi="Times New Roman"/>
          <w:sz w:val="20"/>
        </w:rPr>
        <w:t>2.1. References to “</w:t>
      </w:r>
      <w:r>
        <w:rPr>
          <w:rFonts w:ascii="Times New Roman" w:hAnsi="Times New Roman"/>
          <w:b/>
          <w:i/>
          <w:sz w:val="20"/>
        </w:rPr>
        <w:t>agent</w:t>
      </w:r>
      <w:r>
        <w:rPr>
          <w:rFonts w:ascii="Times New Roman" w:hAnsi="Times New Roman"/>
          <w:sz w:val="20"/>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trust or other enterprise at the request of, for the convenience of, or to represent the interests of the Company or a subsidiary of the Company. </w:t>
      </w:r>
    </w:p>
    <w:p>
      <w:pPr>
        <w:pStyle w:val="TextBody"/>
        <w:bidi w:val="0"/>
        <w:spacing w:before="240" w:after="0"/>
        <w:jc w:val="left"/>
        <w:rPr>
          <w:rFonts w:ascii="Times New Roman" w:hAnsi="Times New Roman"/>
          <w:sz w:val="20"/>
        </w:rPr>
      </w:pPr>
      <w:r>
        <w:rPr>
          <w:rFonts w:ascii="Times New Roman" w:hAnsi="Times New Roman"/>
          <w:sz w:val="20"/>
        </w:rPr>
        <w:t>2.2. The terms “</w:t>
      </w:r>
      <w:r>
        <w:rPr>
          <w:rFonts w:ascii="Times New Roman" w:hAnsi="Times New Roman"/>
          <w:b/>
          <w:i/>
          <w:sz w:val="20"/>
        </w:rPr>
        <w:t>Beneficial Owner</w:t>
      </w:r>
      <w:r>
        <w:rPr>
          <w:rFonts w:ascii="Times New Roman" w:hAnsi="Times New Roman"/>
          <w:sz w:val="20"/>
        </w:rPr>
        <w:t>” and “</w:t>
      </w:r>
      <w:r>
        <w:rPr>
          <w:rFonts w:ascii="Times New Roman" w:hAnsi="Times New Roman"/>
          <w:b/>
          <w:i/>
          <w:sz w:val="20"/>
        </w:rPr>
        <w:t>Beneficial Ownership</w:t>
      </w:r>
      <w:r>
        <w:rPr>
          <w:rFonts w:ascii="Times New Roman" w:hAnsi="Times New Roman"/>
          <w:sz w:val="20"/>
        </w:rPr>
        <w:t xml:space="preserve">” shall have the meanings set forth in Rule 13d-3 promulgated under the Exchange Act (as defined below)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2.3. A “</w:t>
      </w:r>
      <w:r>
        <w:rPr>
          <w:rFonts w:ascii="Times New Roman" w:hAnsi="Times New Roman"/>
          <w:b/>
          <w:i/>
          <w:sz w:val="20"/>
        </w:rPr>
        <w:t>Change in Control</w:t>
      </w:r>
      <w:r>
        <w:rPr>
          <w:rFonts w:ascii="Times New Roman" w:hAnsi="Times New Roman"/>
          <w:sz w:val="20"/>
        </w:rPr>
        <w:t xml:space="preserve">” shall be deemed to occur upon the earliest to occur after the date of this Agreement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2.3.1. </w:t>
      </w:r>
      <w:r>
        <w:rPr>
          <w:rFonts w:ascii="Times New Roman" w:hAnsi="Times New Roman"/>
          <w:sz w:val="20"/>
          <w:u w:val="single"/>
        </w:rPr>
        <w:t>Acquisition of Stock by Third Party</w:t>
      </w:r>
      <w:r>
        <w:rPr>
          <w:rFonts w:ascii="Times New Roman" w:hAnsi="Times New Roman"/>
          <w:sz w:val="20"/>
        </w:rPr>
        <w:t xml:space="preserve">. Other than an affiliate of The Gores Group, LLC,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2.3.3 of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sz w:val="20"/>
          <w:u w:val="single"/>
        </w:rPr>
        <w:t>Change in Board of Directors</w:t>
      </w:r>
      <w:r>
        <w:rPr>
          <w:rFonts w:ascii="Times New Roman" w:hAnsi="Times New Roman"/>
          <w:sz w:val="20"/>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hAnsi="Times New Roman"/>
          <w:b/>
          <w:i/>
          <w:sz w:val="20"/>
        </w:rPr>
        <w:t>Continuing Directors</w:t>
      </w:r>
      <w:r>
        <w:rPr>
          <w:rFonts w:ascii="Times New Roman" w:hAnsi="Times New Roman"/>
          <w:sz w:val="20"/>
        </w:rPr>
        <w:t xml:space="preserve">”), cease for any reason to constitute at least a majority of the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2.3.3. </w:t>
      </w:r>
      <w:r>
        <w:rPr>
          <w:rFonts w:ascii="Times New Roman" w:hAnsi="Times New Roman"/>
          <w:sz w:val="20"/>
          <w:u w:val="single"/>
        </w:rPr>
        <w:t>Corporate Transactions</w:t>
      </w:r>
      <w:r>
        <w:rPr>
          <w:rFonts w:ascii="Times New Roman" w:hAnsi="Times New Roman"/>
          <w:sz w:val="20"/>
        </w:rPr>
        <w:t>. The effective date of a merger, capital stock exchange, asset acquisition, stock purchase, reorganization or similar business combination, involving the Company and one or more businesses (a “</w:t>
      </w:r>
      <w:r>
        <w:rPr>
          <w:rFonts w:ascii="Times New Roman" w:hAnsi="Times New Roman"/>
          <w:b/>
          <w:i/>
          <w:sz w:val="20"/>
        </w:rPr>
        <w:t>Business Combination</w:t>
      </w:r>
      <w:r>
        <w:rPr>
          <w:rFonts w:ascii="Times New Roman" w:hAnsi="Times New Roman"/>
          <w:sz w:val="20"/>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 affiliate of The Gores Group, LLC,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2.3.4. </w:t>
      </w:r>
      <w:r>
        <w:rPr>
          <w:rFonts w:ascii="Times New Roman" w:hAnsi="Times New Roman"/>
          <w:sz w:val="20"/>
          <w:u w:val="single"/>
        </w:rPr>
        <w:t>Liquidation</w:t>
      </w:r>
      <w:r>
        <w:rPr>
          <w:rFonts w:ascii="Times New Roman" w:hAnsi="Times New Roman"/>
          <w:sz w:val="20"/>
        </w:rPr>
        <w:t xml:space="preserve">.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 </w:t>
      </w:r>
    </w:p>
    <w:p>
      <w:pPr>
        <w:pStyle w:val="TextBody"/>
        <w:bidi w:val="0"/>
        <w:spacing w:before="240" w:after="0"/>
        <w:jc w:val="left"/>
        <w:rPr>
          <w:rFonts w:ascii="Times New Roman" w:hAnsi="Times New Roman"/>
          <w:sz w:val="20"/>
        </w:rPr>
      </w:pPr>
      <w:r>
        <w:rPr>
          <w:rFonts w:ascii="Times New Roman" w:hAnsi="Times New Roman"/>
          <w:sz w:val="20"/>
        </w:rPr>
        <w:t xml:space="preserve">2.3.5. </w:t>
      </w:r>
      <w:r>
        <w:rPr>
          <w:rFonts w:ascii="Times New Roman" w:hAnsi="Times New Roman"/>
          <w:sz w:val="20"/>
          <w:u w:val="single"/>
        </w:rPr>
        <w:t>Other Events</w:t>
      </w:r>
      <w:r>
        <w:rPr>
          <w:rFonts w:ascii="Times New Roman" w:hAnsi="Times New Roman"/>
          <w:sz w:val="20"/>
        </w:rPr>
        <w:t xml:space="preserve">.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b/>
          <w:i/>
          <w:sz w:val="20"/>
        </w:rPr>
        <w:t>Corporate Status</w:t>
      </w:r>
      <w:r>
        <w:rPr>
          <w:rFonts w:ascii="Times New Roman" w:hAnsi="Times New Roman"/>
          <w:sz w:val="20"/>
        </w:rPr>
        <w:t xml:space="preserve">” describes the status of a person who is or was a director, officer, trustee, general partner, managing member, fiduciary, employee or agent of the Company or of any other Enterprise (as defined below) which such person is or was serving at the request of the Company.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b/>
          <w:i/>
          <w:sz w:val="20"/>
        </w:rPr>
        <w:t>Delaware Court</w:t>
      </w:r>
      <w:r>
        <w:rPr>
          <w:rFonts w:ascii="Times New Roman" w:hAnsi="Times New Roman"/>
          <w:sz w:val="20"/>
        </w:rPr>
        <w:t xml:space="preserve">” shall mean the Court of Chancery of the State of Delaware. </w:t>
      </w:r>
    </w:p>
    <w:p>
      <w:pPr>
        <w:pStyle w:val="TextBody"/>
        <w:bidi w:val="0"/>
        <w:spacing w:before="240" w:after="0"/>
        <w:jc w:val="left"/>
        <w:rPr>
          <w:rFonts w:ascii="Times New Roman" w:hAnsi="Times New Roman"/>
          <w:sz w:val="20"/>
        </w:rPr>
      </w:pPr>
      <w:r>
        <w:rPr>
          <w:rFonts w:ascii="Times New Roman" w:hAnsi="Times New Roman"/>
          <w:sz w:val="20"/>
        </w:rPr>
        <w:t>2.6. “</w:t>
      </w:r>
      <w:r>
        <w:rPr>
          <w:rFonts w:ascii="Times New Roman" w:hAnsi="Times New Roman"/>
          <w:b/>
          <w:i/>
          <w:sz w:val="20"/>
        </w:rPr>
        <w:t>Disinterested Director</w:t>
      </w:r>
      <w:r>
        <w:rPr>
          <w:rFonts w:ascii="Times New Roman" w:hAnsi="Times New Roman"/>
          <w:sz w:val="20"/>
        </w:rPr>
        <w:t xml:space="preserve">” shall mean a director of the Company who is not and was not a party to the Proceeding (as defined below) in respect of which indemnification is sought by Indemnitee.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b/>
          <w:i/>
          <w:sz w:val="20"/>
        </w:rPr>
        <w:t>Enterprise</w:t>
      </w:r>
      <w:r>
        <w:rPr>
          <w:rFonts w:ascii="Times New Roman" w:hAnsi="Times New Roman"/>
          <w:sz w:val="20"/>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 </w:t>
      </w:r>
    </w:p>
    <w:p>
      <w:pPr>
        <w:pStyle w:val="TextBody"/>
        <w:bidi w:val="0"/>
        <w:spacing w:before="240" w:after="0"/>
        <w:jc w:val="left"/>
        <w:rPr>
          <w:rFonts w:ascii="Times New Roman" w:hAnsi="Times New Roman"/>
          <w:sz w:val="20"/>
        </w:rPr>
      </w:pPr>
      <w:r>
        <w:rPr>
          <w:rFonts w:ascii="Times New Roman" w:hAnsi="Times New Roman"/>
          <w:sz w:val="20"/>
        </w:rPr>
        <w:t>2.8. “</w:t>
      </w:r>
      <w:r>
        <w:rPr>
          <w:rFonts w:ascii="Times New Roman" w:hAnsi="Times New Roman"/>
          <w:b/>
          <w:i/>
          <w:sz w:val="20"/>
        </w:rPr>
        <w:t>Exchange Act</w:t>
      </w:r>
      <w:r>
        <w:rPr>
          <w:rFonts w:ascii="Times New Roman" w:hAnsi="Times New Roman"/>
          <w:sz w:val="20"/>
        </w:rPr>
        <w:t xml:space="preserve">” shall mean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2.9. “</w:t>
      </w:r>
      <w:r>
        <w:rPr>
          <w:rFonts w:ascii="Times New Roman" w:hAnsi="Times New Roman"/>
          <w:b/>
          <w:i/>
          <w:sz w:val="20"/>
        </w:rPr>
        <w:t>Expenses</w:t>
      </w:r>
      <w:r>
        <w:rPr>
          <w:rFonts w:ascii="Times New Roman" w:hAnsi="Times New Roman"/>
          <w:sz w:val="20"/>
        </w:rPr>
        <w:t xml:space="preserve">”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w:t>
      </w:r>
    </w:p>
    <w:p>
      <w:pPr>
        <w:pStyle w:val="TextBody"/>
        <w:bidi w:val="0"/>
        <w:spacing w:before="240" w:after="0"/>
        <w:jc w:val="left"/>
        <w:rPr>
          <w:rFonts w:ascii="Times New Roman" w:hAnsi="Times New Roman"/>
          <w:sz w:val="20"/>
        </w:rPr>
      </w:pPr>
      <w:r>
        <w:rPr>
          <w:rFonts w:ascii="Times New Roman" w:hAnsi="Times New Roman"/>
          <w:sz w:val="20"/>
        </w:rPr>
        <w:t>2.10. “</w:t>
      </w:r>
      <w:r>
        <w:rPr>
          <w:rFonts w:ascii="Times New Roman" w:hAnsi="Times New Roman"/>
          <w:b/>
          <w:i/>
          <w:sz w:val="20"/>
        </w:rPr>
        <w:t>Independent Counsel</w:t>
      </w:r>
      <w:r>
        <w:rPr>
          <w:rFonts w:ascii="Times New Roman" w:hAnsi="Times New Roman"/>
          <w:sz w:val="20"/>
        </w:rPr>
        <w:t>” shall mean a law firm or a member of a law firm with significant experience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w:t>
      </w:r>
      <w:r>
        <w:rPr>
          <w:rFonts w:ascii="Times New Roman" w:hAnsi="Times New Roman"/>
          <w:b/>
          <w:i/>
          <w:sz w:val="20"/>
        </w:rPr>
        <w:t>Independent Counsel</w:t>
      </w:r>
      <w:r>
        <w:rPr>
          <w:rFonts w:ascii="Times New Roman" w:hAnsi="Times New Roman"/>
          <w:sz w:val="20"/>
        </w:rPr>
        <w:t xml:space="preserve">” shall not include any person who, under the applicable standards of professional conduct then prevailing, would have a conflict of interest in representing either the Company or Indemnitee in an action to determine Indemnitee’s rights under this Agreement. </w:t>
      </w:r>
    </w:p>
    <w:p>
      <w:pPr>
        <w:pStyle w:val="TextBody"/>
        <w:bidi w:val="0"/>
        <w:spacing w:before="240" w:after="0"/>
        <w:jc w:val="left"/>
        <w:rPr>
          <w:rFonts w:ascii="Times New Roman" w:hAnsi="Times New Roman"/>
          <w:sz w:val="20"/>
        </w:rPr>
      </w:pPr>
      <w:r>
        <w:rPr>
          <w:rFonts w:ascii="Times New Roman" w:hAnsi="Times New Roman"/>
          <w:sz w:val="20"/>
        </w:rPr>
        <w:t>2.11. References to “</w:t>
      </w:r>
      <w:r>
        <w:rPr>
          <w:rFonts w:ascii="Times New Roman" w:hAnsi="Times New Roman"/>
          <w:b/>
          <w:i/>
          <w:sz w:val="20"/>
        </w:rPr>
        <w:t>fines</w:t>
      </w:r>
      <w:r>
        <w:rPr>
          <w:rFonts w:ascii="Times New Roman" w:hAnsi="Times New Roman"/>
          <w:sz w:val="20"/>
        </w:rPr>
        <w:t xml:space="preserve">”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2.12. The term “</w:t>
      </w:r>
      <w:r>
        <w:rPr>
          <w:rFonts w:ascii="Times New Roman" w:hAnsi="Times New Roman"/>
          <w:b/>
          <w:i/>
          <w:sz w:val="20"/>
        </w:rPr>
        <w:t>Person</w:t>
      </w:r>
      <w:r>
        <w:rPr>
          <w:rFonts w:ascii="Times New Roman" w:hAnsi="Times New Roman"/>
          <w:sz w:val="20"/>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 </w:t>
      </w:r>
    </w:p>
    <w:p>
      <w:pPr>
        <w:pStyle w:val="TextBody"/>
        <w:bidi w:val="0"/>
        <w:spacing w:before="240" w:after="0"/>
        <w:jc w:val="left"/>
        <w:rPr>
          <w:rFonts w:ascii="Times New Roman" w:hAnsi="Times New Roman"/>
          <w:sz w:val="20"/>
        </w:rPr>
      </w:pPr>
      <w:r>
        <w:rPr>
          <w:rFonts w:ascii="Times New Roman" w:hAnsi="Times New Roman"/>
          <w:sz w:val="20"/>
        </w:rPr>
        <w:t>2.13. The term “</w:t>
      </w:r>
      <w:r>
        <w:rPr>
          <w:rFonts w:ascii="Times New Roman" w:hAnsi="Times New Roman"/>
          <w:b/>
          <w:i/>
          <w:sz w:val="20"/>
        </w:rPr>
        <w:t>Proceeding</w:t>
      </w:r>
      <w:r>
        <w:rPr>
          <w:rFonts w:ascii="Times New Roman" w:hAnsi="Times New Roman"/>
          <w:sz w:val="20"/>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of any action (or failure to act) on his part while acting as a director or officer of the Company, or by reason of the fact that 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 </w:t>
      </w:r>
    </w:p>
    <w:p>
      <w:pPr>
        <w:pStyle w:val="TextBody"/>
        <w:bidi w:val="0"/>
        <w:spacing w:before="240" w:after="0"/>
        <w:jc w:val="left"/>
        <w:rPr>
          <w:rFonts w:ascii="Times New Roman" w:hAnsi="Times New Roman"/>
          <w:sz w:val="20"/>
        </w:rPr>
      </w:pPr>
      <w:r>
        <w:rPr>
          <w:rFonts w:ascii="Times New Roman" w:hAnsi="Times New Roman"/>
          <w:sz w:val="20"/>
        </w:rPr>
        <w:t>2.14. The term “</w:t>
      </w:r>
      <w:r>
        <w:rPr>
          <w:rFonts w:ascii="Times New Roman" w:hAnsi="Times New Roman"/>
          <w:b/>
          <w:i/>
          <w:sz w:val="20"/>
        </w:rPr>
        <w:t>Subsidiary,</w:t>
      </w:r>
      <w:r>
        <w:rPr>
          <w:rFonts w:ascii="Times New Roman" w:hAnsi="Times New Roman"/>
          <w:sz w:val="20"/>
        </w:rPr>
        <w:t xml:space="preserve">” with respect to any Person, shall mean any corporation or other entity of which a majority of the voting power of the voting equity securities or equity interest is owned, directly or indirectly, by that Person. </w:t>
      </w:r>
    </w:p>
    <w:p>
      <w:pPr>
        <w:pStyle w:val="TextBody"/>
        <w:bidi w:val="0"/>
        <w:spacing w:before="360" w:after="0"/>
        <w:jc w:val="left"/>
        <w:rPr>
          <w:rFonts w:ascii="Times New Roman" w:hAnsi="Times New Roman"/>
          <w:b/>
          <w:sz w:val="20"/>
        </w:rPr>
      </w:pPr>
      <w:r>
        <w:rPr>
          <w:rFonts w:ascii="Times New Roman" w:hAnsi="Times New Roman"/>
          <w:b/>
          <w:sz w:val="20"/>
        </w:rPr>
        <w:t xml:space="preserve">3. INDEMNITY IN THIRD-PARTY PROCEEDINGS. </w:t>
      </w:r>
    </w:p>
    <w:p>
      <w:pPr>
        <w:pStyle w:val="TextBody"/>
        <w:bidi w:val="0"/>
        <w:spacing w:before="120" w:after="0"/>
        <w:jc w:val="left"/>
        <w:rPr>
          <w:rFonts w:ascii="Times New Roman" w:hAnsi="Times New Roman"/>
          <w:sz w:val="20"/>
        </w:rPr>
      </w:pPr>
      <w:r>
        <w:rPr>
          <w:rFonts w:ascii="Times New Roman" w:hAnsi="Times New Roman"/>
          <w:sz w:val="20"/>
        </w:rPr>
        <w:t xml:space="preserve">To the fullest extent permitted by applicable law, the Company shall indemnify, hold harmless and exonerate Indemnitee in accordance with the provisions of this </w:t>
      </w:r>
      <w:r>
        <w:rPr>
          <w:rFonts w:ascii="Times New Roman" w:hAnsi="Times New Roman"/>
          <w:sz w:val="20"/>
          <w:u w:val="single"/>
        </w:rPr>
        <w:t>Section 3</w:t>
      </w:r>
      <w:r>
        <w:rPr>
          <w:rFonts w:ascii="Times New Roman" w:hAnsi="Times New Roman"/>
          <w:sz w:val="20"/>
        </w:rPr>
        <w:t xml:space="preserve"> if Indemnitee was, is, or is threatened to be made, a party to or a participant (as a witness or otherwise) in any Proceeding, other than a Proceeding by or in the right of the Company to procure a judgment in its favor. Pursuant to this </w:t>
      </w:r>
      <w:r>
        <w:rPr>
          <w:rFonts w:ascii="Times New Roman" w:hAnsi="Times New Roman"/>
          <w:sz w:val="20"/>
          <w:u w:val="single"/>
        </w:rPr>
        <w:t>Section 3</w:t>
      </w:r>
      <w:r>
        <w:rPr>
          <w:rFonts w:ascii="Times New Roman" w:hAnsi="Times New Roman"/>
          <w:sz w:val="20"/>
        </w:rPr>
        <w:t xml:space="preserve">,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4. INDEMNITY IN PROCEEDINGS BY OR IN THE RIGHT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To the fullest extent permitted by applicable law, the Company shall indemnify, hold harmless and exonerate Indemnitee in accordance with the provisions of this </w:t>
      </w:r>
      <w:r>
        <w:rPr>
          <w:rFonts w:ascii="Times New Roman" w:hAnsi="Times New Roman"/>
          <w:sz w:val="20"/>
          <w:u w:val="single"/>
        </w:rPr>
        <w:t>Section 4</w:t>
      </w:r>
      <w:r>
        <w:rPr>
          <w:rFonts w:ascii="Times New Roman" w:hAnsi="Times New Roman"/>
          <w:sz w:val="20"/>
        </w:rPr>
        <w:t xml:space="preserve"> if Indemnitee was, is, or is threatened to be made, a party to or a participant (as a witness or otherwise) in any Proceeding by or in the right of the Company to procure a judgment in its favor. Pursuant to this </w:t>
      </w:r>
      <w:r>
        <w:rPr>
          <w:rFonts w:ascii="Times New Roman" w:hAnsi="Times New Roman"/>
          <w:sz w:val="20"/>
          <w:u w:val="single"/>
        </w:rPr>
        <w:t>Section 4</w:t>
      </w:r>
      <w:r>
        <w:rPr>
          <w:rFonts w:ascii="Times New Roman" w:hAnsi="Times New Roman"/>
          <w:sz w:val="20"/>
        </w:rPr>
        <w:t xml:space="preserve">, Indemnitee shall be indemnified, held harmless and exonerated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hold harmless or exoneration for Expenses shall be made under this </w:t>
      </w:r>
      <w:r>
        <w:rPr>
          <w:rFonts w:ascii="Times New Roman" w:hAnsi="Times New Roman"/>
          <w:sz w:val="20"/>
          <w:u w:val="single"/>
        </w:rPr>
        <w:t>Section 4</w:t>
      </w:r>
      <w:r>
        <w:rPr>
          <w:rFonts w:ascii="Times New Roman" w:hAnsi="Times New Roman"/>
          <w:sz w:val="20"/>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INDEMNIFICATION FOR EXPENSES OF A PARTY WHO IS WHOLLY OR PARTLY SUCCESSFUL.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this Agreement except for Section 27, to the extent that Indemnitee is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on his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Times New Roman" w:hAnsi="Times New Roman"/>
          <w:sz w:val="20"/>
          <w:u w:val="single"/>
        </w:rPr>
        <w:t>Section 5</w:t>
      </w:r>
      <w:r>
        <w:rPr>
          <w:rFonts w:ascii="Times New Roman" w:hAnsi="Times New Roman"/>
          <w:sz w:val="20"/>
        </w:rPr>
        <w:t xml:space="preserve"> and without limitation, the termination of any claim, issue or matter in such a Proceeding by dismissal, with or without prejudice, shall be deemed to be a successful result as to such claim, issue or matter. </w:t>
      </w:r>
    </w:p>
    <w:p>
      <w:pPr>
        <w:pStyle w:val="TextBody"/>
        <w:bidi w:val="0"/>
        <w:spacing w:before="360" w:after="0"/>
        <w:jc w:val="left"/>
        <w:rPr>
          <w:rFonts w:ascii="Times New Roman" w:hAnsi="Times New Roman"/>
          <w:b/>
          <w:sz w:val="20"/>
        </w:rPr>
      </w:pPr>
      <w:r>
        <w:rPr>
          <w:rFonts w:ascii="Times New Roman" w:hAnsi="Times New Roman"/>
          <w:b/>
          <w:sz w:val="20"/>
        </w:rPr>
        <w:t xml:space="preserve">6. INDEMNIFICATION FOR EXPENSES OF A WITNESS.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except for Section 27, to the extent that Indemnitee is, by reason of his Corporate Status, a witness in any Proceeding to which Indemnitee is not a party, he shall, to the fullest extent permitted by applicable law, be indemnified, held harmless and exonerated against all Expenses actually and reasonably incurred by him or on his behalf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7. ADDITIONAL INDEMNIFICATION, HOLD HARMLESS AND EXONERATION RIGHTS. </w:t>
      </w:r>
    </w:p>
    <w:p>
      <w:pPr>
        <w:pStyle w:val="TextBody"/>
        <w:bidi w:val="0"/>
        <w:spacing w:before="120" w:after="0"/>
        <w:jc w:val="left"/>
        <w:rPr>
          <w:rFonts w:ascii="Times New Roman" w:hAnsi="Times New Roman"/>
          <w:sz w:val="20"/>
        </w:rPr>
      </w:pPr>
      <w:r>
        <w:rPr>
          <w:rFonts w:ascii="Times New Roman" w:hAnsi="Times New Roman"/>
          <w:sz w:val="20"/>
        </w:rPr>
        <w:t xml:space="preserve">7.1. Notwithstanding any limitation in </w:t>
      </w:r>
      <w:r>
        <w:rPr>
          <w:rFonts w:ascii="Times New Roman" w:hAnsi="Times New Roman"/>
          <w:sz w:val="20"/>
          <w:u w:val="single"/>
        </w:rPr>
        <w:t>Sections 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or </w:t>
      </w:r>
      <w:r>
        <w:rPr>
          <w:rFonts w:ascii="Times New Roman" w:hAnsi="Times New Roman"/>
          <w:sz w:val="20"/>
          <w:u w:val="single"/>
        </w:rPr>
        <w:t>5</w:t>
      </w:r>
      <w:r>
        <w:rPr>
          <w:rFonts w:ascii="Times New Roman" w:hAnsi="Times New Roman"/>
          <w:sz w:val="20"/>
        </w:rPr>
        <w:t xml:space="preserve">, except for Section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w:t>
      </w:r>
      <w:r>
        <w:rPr>
          <w:rFonts w:ascii="Times New Roman" w:hAnsi="Times New Roman"/>
          <w:sz w:val="20"/>
          <w:u w:val="single"/>
        </w:rPr>
        <w:t>Section 7.1</w:t>
      </w:r>
      <w:r>
        <w:rPr>
          <w:rFonts w:ascii="Times New Roman" w:hAnsi="Times New Roman"/>
          <w:sz w:val="20"/>
        </w:rPr>
        <w:t xml:space="preserve"> on account of Indemnitee’s conduct which constitutes a breach of Indemnitee’s duty of loyalty to the Company or its stockholders or is an act or omission not in good faith or which involves intentional misconduct or a knowing violation of the law. </w:t>
      </w:r>
    </w:p>
    <w:p>
      <w:pPr>
        <w:pStyle w:val="TextBody"/>
        <w:bidi w:val="0"/>
        <w:spacing w:before="240" w:after="0"/>
        <w:jc w:val="left"/>
        <w:rPr>
          <w:rFonts w:ascii="Times New Roman" w:hAnsi="Times New Roman"/>
          <w:sz w:val="20"/>
        </w:rPr>
      </w:pPr>
      <w:r>
        <w:rPr>
          <w:rFonts w:ascii="Times New Roman" w:hAnsi="Times New Roman"/>
          <w:sz w:val="20"/>
        </w:rPr>
        <w:t xml:space="preserve">7.2. Notwithstanding any limitation in </w:t>
      </w:r>
      <w:r>
        <w:rPr>
          <w:rFonts w:ascii="Times New Roman" w:hAnsi="Times New Roman"/>
          <w:sz w:val="20"/>
          <w:u w:val="single"/>
        </w:rPr>
        <w:t>Sections 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or </w:t>
      </w:r>
      <w:r>
        <w:rPr>
          <w:rFonts w:ascii="Times New Roman" w:hAnsi="Times New Roman"/>
          <w:sz w:val="20"/>
          <w:u w:val="single"/>
        </w:rPr>
        <w:t>7.1</w:t>
      </w:r>
      <w:r>
        <w:rPr>
          <w:rFonts w:ascii="Times New Roman" w:hAnsi="Times New Roman"/>
          <w:sz w:val="20"/>
        </w:rPr>
        <w:t xml:space="preserve">, except for Section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w:t>
      </w:r>
    </w:p>
    <w:p>
      <w:pPr>
        <w:pStyle w:val="TextBody"/>
        <w:bidi w:val="0"/>
        <w:spacing w:before="360" w:after="0"/>
        <w:jc w:val="left"/>
        <w:rPr>
          <w:rFonts w:ascii="Times New Roman" w:hAnsi="Times New Roman"/>
          <w:b/>
          <w:sz w:val="20"/>
        </w:rPr>
      </w:pPr>
      <w:r>
        <w:rPr>
          <w:rFonts w:ascii="Times New Roman" w:hAnsi="Times New Roman"/>
          <w:b/>
          <w:sz w:val="20"/>
        </w:rPr>
        <w:t xml:space="preserve">8. CONTRIBUTION IN THE EVENT OF JOINT LIABILITY. </w:t>
      </w:r>
    </w:p>
    <w:p>
      <w:pPr>
        <w:pStyle w:val="TextBody"/>
        <w:bidi w:val="0"/>
        <w:spacing w:before="120" w:after="0"/>
        <w:jc w:val="left"/>
        <w:rPr>
          <w:rFonts w:ascii="Times New Roman" w:hAnsi="Times New Roman"/>
          <w:sz w:val="20"/>
        </w:rPr>
      </w:pPr>
      <w:r>
        <w:rPr>
          <w:rFonts w:ascii="Times New Roman" w:hAnsi="Times New Roman"/>
          <w:sz w:val="20"/>
        </w:rPr>
        <w:t xml:space="preserve">8.1. To the fullest extent permissible under applicable law, if the indemnification, hold harmless and/or exoneration rights provided for in this Agreement are unavailable to Indemnitee in whole or in part for any reason whatsoever, other than as a result of the exclusions set forth in Section 9,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The Company shall not enter into any settlement of any Proceeding in which the Company is jointly liable with Indemnitee (or would be if joined in such Proceeding) unless such settlement provides for a full and final release of all claims asserted against Indemnitee. </w:t>
      </w:r>
    </w:p>
    <w:p>
      <w:pPr>
        <w:pStyle w:val="TextBody"/>
        <w:bidi w:val="0"/>
        <w:spacing w:before="240" w:after="0"/>
        <w:jc w:val="left"/>
        <w:rPr>
          <w:rFonts w:ascii="Times New Roman" w:hAnsi="Times New Roman"/>
          <w:sz w:val="20"/>
        </w:rPr>
      </w:pPr>
      <w:r>
        <w:rPr>
          <w:rFonts w:ascii="Times New Roman" w:hAnsi="Times New Roman"/>
          <w:sz w:val="20"/>
        </w:rPr>
        <w:t xml:space="preserve">8.3. The Company hereby agrees to fully indemnify, hold harmless and exonerate Indemnitee from any claims for contribution which may be brought by officers, directors or employees of the Company other than Indemnitee who may be jointly liable with Indemnitee. </w:t>
      </w:r>
    </w:p>
    <w:p>
      <w:pPr>
        <w:pStyle w:val="TextBody"/>
        <w:bidi w:val="0"/>
        <w:spacing w:before="360" w:after="0"/>
        <w:jc w:val="left"/>
        <w:rPr>
          <w:rFonts w:ascii="Times New Roman" w:hAnsi="Times New Roman"/>
          <w:b/>
          <w:sz w:val="20"/>
        </w:rPr>
      </w:pPr>
      <w:r>
        <w:rPr>
          <w:rFonts w:ascii="Times New Roman" w:hAnsi="Times New Roman"/>
          <w:b/>
          <w:sz w:val="20"/>
        </w:rPr>
        <w:t xml:space="preserve">9. EXCLUSIONS.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provision in this Agreement except for Section 27, the Company shall not be obligated under this Agreement to make any indemnification, hold harmless or exoneration payment in connection with any claim made against Indemnitee: </w:t>
      </w:r>
    </w:p>
    <w:p>
      <w:pPr>
        <w:pStyle w:val="TextBody"/>
        <w:bidi w:val="0"/>
        <w:spacing w:before="240" w:after="0"/>
        <w:jc w:val="left"/>
        <w:rPr>
          <w:rFonts w:ascii="Times New Roman" w:hAnsi="Times New Roman"/>
          <w:sz w:val="20"/>
        </w:rPr>
      </w:pPr>
      <w:r>
        <w:rPr>
          <w:rFonts w:ascii="Times New Roman" w:hAnsi="Times New Roman"/>
          <w:sz w:val="20"/>
        </w:rPr>
        <w:t xml:space="preserve">(a) 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for an accounting of profits made from the purchase and sale (or sale and purchase) by Indemnitee of securities of the Company within the meaning of Section 16(b) of the Exchange Act or similar provisions of state statutory law or common law; </w:t>
      </w:r>
    </w:p>
    <w:p>
      <w:pPr>
        <w:pStyle w:val="TextBody"/>
        <w:bidi w:val="0"/>
        <w:spacing w:before="240" w:after="0"/>
        <w:jc w:val="left"/>
        <w:rPr>
          <w:rFonts w:ascii="Times New Roman" w:hAnsi="Times New Roman"/>
          <w:sz w:val="20"/>
        </w:rPr>
      </w:pPr>
      <w:r>
        <w:rPr>
          <w:rFonts w:ascii="Times New Roman" w:hAnsi="Times New Roman"/>
          <w:sz w:val="20"/>
        </w:rPr>
        <w:t xml:space="preserve">(c) in respect of any act or omission by Indemnitee that occurred prior to the commencement of Indemnitee’s service as an officer, director, advisor, or key employee of the Company or any of its subsidiaries or affiliates, except to the extent such act or omission was taken at the request of the Company; </w:t>
      </w:r>
    </w:p>
    <w:p>
      <w:pPr>
        <w:pStyle w:val="TextBody"/>
        <w:bidi w:val="0"/>
        <w:spacing w:before="240" w:after="0"/>
        <w:jc w:val="left"/>
        <w:rPr>
          <w:rFonts w:ascii="Times New Roman" w:hAnsi="Times New Roman"/>
          <w:sz w:val="20"/>
        </w:rPr>
      </w:pPr>
      <w:r>
        <w:rPr>
          <w:rFonts w:ascii="Times New Roman" w:hAnsi="Times New Roman"/>
          <w:sz w:val="20"/>
        </w:rPr>
        <w:t>(d) arising out of or relating to (i) any breach or alleged breach by Indemnitee of any non-competition, non-solicitation, non-disclosure, or confidentiality obligation owed to any former employer or any parent, subsidiary, affiliate or successor thereof (“</w:t>
      </w:r>
      <w:r>
        <w:rPr>
          <w:rFonts w:ascii="Times New Roman" w:hAnsi="Times New Roman"/>
          <w:b/>
          <w:i/>
          <w:sz w:val="20"/>
          <w:u w:val="single"/>
        </w:rPr>
        <w:t>Former Employer</w:t>
      </w:r>
      <w:r>
        <w:rPr>
          <w:rFonts w:ascii="Times New Roman" w:hAnsi="Times New Roman"/>
          <w:sz w:val="20"/>
        </w:rPr>
        <w:t xml:space="preserve">”), whether arising under a written agreement, common law, or statute, or (ii) any misappropriation or alleged misappropriation by Indemnitee of trade secrets or confidential information of any Former Employer; or </w:t>
      </w:r>
    </w:p>
    <w:p>
      <w:pPr>
        <w:pStyle w:val="TextBody"/>
        <w:bidi w:val="0"/>
        <w:spacing w:before="240" w:after="0"/>
        <w:jc w:val="left"/>
        <w:rPr>
          <w:rFonts w:ascii="Times New Roman" w:hAnsi="Times New Roman"/>
          <w:sz w:val="20"/>
        </w:rPr>
      </w:pPr>
      <w:r>
        <w:rPr>
          <w:rFonts w:ascii="Times New Roman" w:hAnsi="Times New Roman"/>
          <w:sz w:val="20"/>
        </w:rPr>
        <w:t xml:space="preserve">(e) except as otherwise provided in Sections 14.5 and 14.6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10. ADVANCES OF EXPENSES; DEFENSE OF CLAIM. </w:t>
      </w:r>
    </w:p>
    <w:p>
      <w:pPr>
        <w:pStyle w:val="TextBody"/>
        <w:bidi w:val="0"/>
        <w:spacing w:before="120" w:after="0"/>
        <w:jc w:val="left"/>
        <w:rPr>
          <w:rFonts w:ascii="Times New Roman" w:hAnsi="Times New Roman"/>
          <w:sz w:val="20"/>
        </w:rPr>
      </w:pPr>
      <w:r>
        <w:rPr>
          <w:rFonts w:ascii="Times New Roman" w:hAnsi="Times New Roman"/>
          <w:sz w:val="20"/>
        </w:rPr>
        <w:t xml:space="preserve">10.1. 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of Expenses in advance of the final disposition of the Proceeding shall be made only upon the Company’s receipt of an undertaking, by or on behalf of Indemnitee, to repay the advance to the extent that it is ultimately determined that Indemnitee is not entitled to be indemnified by the Company under the provisions of this Agreement, the Charter, the Bylaws of the Company, applicable law or otherwise. This </w:t>
      </w:r>
      <w:r>
        <w:rPr>
          <w:rFonts w:ascii="Times New Roman" w:hAnsi="Times New Roman"/>
          <w:sz w:val="20"/>
          <w:u w:val="single"/>
        </w:rPr>
        <w:t>Section 10.1</w:t>
      </w:r>
      <w:r>
        <w:rPr>
          <w:rFonts w:ascii="Times New Roman" w:hAnsi="Times New Roman"/>
          <w:sz w:val="20"/>
        </w:rPr>
        <w:t xml:space="preserve"> shall not apply to any claim made by Indemnitee for which an indemnification, hold harmless or exoneration payment is excluded pursuant to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10.2.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10.3. The Company shall not settle any action, claim or Proceeding (in whole or in part) which would impose any Expense, judgment, fine, penalty or limitation on Indemnitee without Indemnitee’s prior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11. PROCEDURE FOR NOTIFICATION AND APPLICATION FOR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11.1. Indemnitee agrees to notify promptly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11.2. 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Times New Roman" w:hAnsi="Times New Roman"/>
          <w:sz w:val="20"/>
          <w:u w:val="single"/>
        </w:rPr>
        <w:t>Section 12.1</w:t>
      </w:r>
      <w:r>
        <w:rPr>
          <w:rFonts w:ascii="Times New Roman" w:hAnsi="Times New Roman"/>
          <w:sz w:val="20"/>
        </w:rPr>
        <w:t xml:space="preserve">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12. PROCEDURE UPON APPLICATION FOR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12.1. 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Independent Counsel in a written opinion to the Board, a copy of which shall be delivered to Indemnitee; or (iii) by vote of the stockholders.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p>
    <w:p>
      <w:pPr>
        <w:pStyle w:val="TextBody"/>
        <w:bidi w:val="0"/>
        <w:spacing w:before="240" w:after="0"/>
        <w:jc w:val="left"/>
        <w:rPr>
          <w:rFonts w:ascii="Times New Roman" w:hAnsi="Times New Roman"/>
          <w:sz w:val="20"/>
        </w:rPr>
      </w:pPr>
      <w:r>
        <w:rPr>
          <w:rFonts w:ascii="Times New Roman" w:hAnsi="Times New Roman"/>
          <w:sz w:val="20"/>
        </w:rPr>
        <w:t xml:space="preserve">12.2. In the event the determination of entitlement to indemnification is to be made by Independent Counsel pursuant to </w:t>
      </w:r>
      <w:r>
        <w:rPr>
          <w:rFonts w:ascii="Times New Roman" w:hAnsi="Times New Roman"/>
          <w:sz w:val="20"/>
          <w:u w:val="single"/>
        </w:rPr>
        <w:t>Section 12.1</w:t>
      </w:r>
      <w:r>
        <w:rPr>
          <w:rFonts w:ascii="Times New Roman" w:hAnsi="Times New Roman"/>
          <w:sz w:val="20"/>
        </w:rPr>
        <w:t xml:space="preserve"> hereof, the Independent Counsel shall be selected as provided in this </w:t>
      </w:r>
      <w:r>
        <w:rPr>
          <w:rFonts w:ascii="Times New Roman" w:hAnsi="Times New Roman"/>
          <w:sz w:val="20"/>
          <w:u w:val="single"/>
        </w:rPr>
        <w:t>Section 12.2</w:t>
      </w:r>
      <w:r>
        <w:rPr>
          <w:rFonts w:ascii="Times New Roman" w:hAnsi="Times New Roman"/>
          <w:sz w:val="20"/>
        </w:rPr>
        <w:t>.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hAnsi="Times New Roman"/>
          <w:b/>
          <w:i/>
          <w:sz w:val="20"/>
        </w:rPr>
        <w:t>Independent Counsel</w:t>
      </w:r>
      <w:r>
        <w:rPr>
          <w:rFonts w:ascii="Times New Roman" w:hAnsi="Times New Roman"/>
          <w:sz w:val="20"/>
        </w:rPr>
        <w:t xml:space="preserve">” as defined in </w:t>
      </w:r>
      <w:r>
        <w:rPr>
          <w:rFonts w:ascii="Times New Roman" w:hAnsi="Times New Roman"/>
          <w:sz w:val="20"/>
          <w:u w:val="single"/>
        </w:rPr>
        <w:t>Section 2</w:t>
      </w:r>
      <w:r>
        <w:rPr>
          <w:rFonts w:ascii="Times New Roman" w:hAnsi="Times New Roman"/>
          <w:sz w:val="20"/>
        </w:rPr>
        <w:t xml:space="preserve"> of this Agreement. If the Independent Counsel is selected by the Board, the Company shall give written notice to Indemnitee advising him of the identity of the Independent Counsel so selected and certifying that the Independent Counsel so selected meets the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w:t>
      </w:r>
      <w:r>
        <w:rPr>
          <w:rFonts w:ascii="Times New Roman" w:hAnsi="Times New Roman"/>
          <w:b/>
          <w:i/>
          <w:sz w:val="20"/>
        </w:rPr>
        <w:t>Independent Counsel</w:t>
      </w:r>
      <w:r>
        <w:rPr>
          <w:rFonts w:ascii="Times New Roman" w:hAnsi="Times New Roman"/>
          <w:sz w:val="20"/>
        </w:rPr>
        <w:t xml:space="preserve">” as defined in </w:t>
      </w:r>
      <w:r>
        <w:rPr>
          <w:rFonts w:ascii="Times New Roman" w:hAnsi="Times New Roman"/>
          <w:sz w:val="20"/>
          <w:u w:val="single"/>
        </w:rPr>
        <w:t>Section 2</w:t>
      </w:r>
      <w:r>
        <w:rPr>
          <w:rFonts w:ascii="Times New Roman" w:hAnsi="Times New Roman"/>
          <w:sz w:val="20"/>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hAnsi="Times New Roman"/>
          <w:b/>
          <w:i/>
          <w:sz w:val="20"/>
        </w:rPr>
        <w:t>Independent Counsel</w:t>
      </w:r>
      <w:r>
        <w:rPr>
          <w:rFonts w:ascii="Times New Roman" w:hAnsi="Times New Roman"/>
          <w:sz w:val="20"/>
        </w:rPr>
        <w:t xml:space="preserve">” as defined in </w:t>
      </w:r>
      <w:r>
        <w:rPr>
          <w:rFonts w:ascii="Times New Roman" w:hAnsi="Times New Roman"/>
          <w:sz w:val="20"/>
          <w:u w:val="single"/>
        </w:rPr>
        <w:t>Section 2</w:t>
      </w:r>
      <w:r>
        <w:rPr>
          <w:rFonts w:ascii="Times New Roman" w:hAnsi="Times New Roman"/>
          <w:sz w:val="20"/>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Times New Roman" w:hAnsi="Times New Roman"/>
          <w:sz w:val="20"/>
          <w:u w:val="single"/>
        </w:rPr>
        <w:t>Section 11.2</w:t>
      </w:r>
      <w:r>
        <w:rPr>
          <w:rFonts w:ascii="Times New Roman" w:hAnsi="Times New Roman"/>
          <w:sz w:val="20"/>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Times New Roman" w:hAnsi="Times New Roman"/>
          <w:sz w:val="20"/>
          <w:u w:val="single"/>
        </w:rPr>
        <w:t>Section 12.1</w:t>
      </w:r>
      <w:r>
        <w:rPr>
          <w:rFonts w:ascii="Times New Roman" w:hAnsi="Times New Roman"/>
          <w:sz w:val="20"/>
        </w:rPr>
        <w:t xml:space="preserve"> hereof. Upon the due commencement of any judicial proceeding or arbitration pursuant to </w:t>
      </w:r>
      <w:r>
        <w:rPr>
          <w:rFonts w:ascii="Times New Roman" w:hAnsi="Times New Roman"/>
          <w:sz w:val="20"/>
          <w:u w:val="single"/>
        </w:rPr>
        <w:t>Section 14.1</w:t>
      </w:r>
      <w:r>
        <w:rPr>
          <w:rFonts w:ascii="Times New Roman" w:hAnsi="Times New Roman"/>
          <w:sz w:val="20"/>
        </w:rPr>
        <w:t xml:space="preserve"> of this Agreement, Independent Counsel shall be discharged and relieved of any further responsibility in such capacity (subject to the applicable standards of professional conduct then prevailing). </w:t>
      </w:r>
    </w:p>
    <w:p>
      <w:pPr>
        <w:pStyle w:val="TextBody"/>
        <w:bidi w:val="0"/>
        <w:spacing w:before="240" w:after="0"/>
        <w:jc w:val="left"/>
        <w:rPr>
          <w:rFonts w:ascii="Times New Roman" w:hAnsi="Times New Roman"/>
          <w:sz w:val="20"/>
        </w:rPr>
      </w:pPr>
      <w:r>
        <w:rPr>
          <w:rFonts w:ascii="Times New Roman" w:hAnsi="Times New Roman"/>
          <w:sz w:val="20"/>
        </w:rPr>
        <w:t xml:space="preserve">12.3. 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 </w:t>
      </w:r>
    </w:p>
    <w:p>
      <w:pPr>
        <w:pStyle w:val="TextBody"/>
        <w:bidi w:val="0"/>
        <w:spacing w:before="360" w:after="0"/>
        <w:jc w:val="left"/>
        <w:rPr>
          <w:rFonts w:ascii="Times New Roman" w:hAnsi="Times New Roman"/>
          <w:b/>
          <w:sz w:val="20"/>
        </w:rPr>
      </w:pPr>
      <w:r>
        <w:rPr>
          <w:rFonts w:ascii="Times New Roman" w:hAnsi="Times New Roman"/>
          <w:b/>
          <w:sz w:val="20"/>
        </w:rPr>
        <w:t xml:space="preserve">13. PRESUMPTIONS AND EFFECT OF CERTAIN PROCEEDINGS. </w:t>
      </w:r>
    </w:p>
    <w:p>
      <w:pPr>
        <w:pStyle w:val="TextBody"/>
        <w:bidi w:val="0"/>
        <w:spacing w:before="120" w:after="0"/>
        <w:jc w:val="left"/>
        <w:rPr>
          <w:rFonts w:ascii="Times New Roman" w:hAnsi="Times New Roman"/>
          <w:sz w:val="20"/>
        </w:rPr>
      </w:pPr>
      <w:r>
        <w:rPr>
          <w:rFonts w:ascii="Times New Roman" w:hAnsi="Times New Roman"/>
          <w:sz w:val="20"/>
        </w:rPr>
        <w:t xml:space="preserve">13.1. 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Times New Roman" w:hAnsi="Times New Roman"/>
          <w:sz w:val="20"/>
          <w:u w:val="single"/>
        </w:rPr>
        <w:t>Section 11.2</w:t>
      </w:r>
      <w:r>
        <w:rPr>
          <w:rFonts w:ascii="Times New Roman" w:hAnsi="Times New Roman"/>
          <w:sz w:val="20"/>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 </w:t>
      </w:r>
    </w:p>
    <w:p>
      <w:pPr>
        <w:pStyle w:val="TextBody"/>
        <w:bidi w:val="0"/>
        <w:spacing w:before="240" w:after="0"/>
        <w:jc w:val="left"/>
        <w:rPr>
          <w:rFonts w:ascii="Times New Roman" w:hAnsi="Times New Roman"/>
          <w:sz w:val="20"/>
        </w:rPr>
      </w:pPr>
      <w:r>
        <w:rPr>
          <w:rFonts w:ascii="Times New Roman" w:hAnsi="Times New Roman"/>
          <w:sz w:val="20"/>
        </w:rPr>
        <w:t xml:space="preserve">13.2. If the person, persons or entity empowered or selected under </w:t>
      </w:r>
      <w:r>
        <w:rPr>
          <w:rFonts w:ascii="Times New Roman" w:hAnsi="Times New Roman"/>
          <w:sz w:val="20"/>
          <w:u w:val="single"/>
        </w:rPr>
        <w:t>Section 12</w:t>
      </w:r>
      <w:r>
        <w:rPr>
          <w:rFonts w:ascii="Times New Roman" w:hAnsi="Times New Roman"/>
          <w:sz w:val="20"/>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13.3.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13.4. 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its Board, any committee of the Board or any director, or on information or records given or reports made to the Enterprise, its Board, any committee of the Board or any director, by an independent certified public accountant or by an appraiser or other expert selected by the Enterprise, its Board, any committee of the Board or any director. The provisions of this </w:t>
      </w:r>
      <w:r>
        <w:rPr>
          <w:rFonts w:ascii="Times New Roman" w:hAnsi="Times New Roman"/>
          <w:sz w:val="20"/>
          <w:u w:val="single"/>
        </w:rPr>
        <w:t>Section 13.4</w:t>
      </w:r>
      <w:r>
        <w:rPr>
          <w:rFonts w:ascii="Times New Roman" w:hAnsi="Times New Roman"/>
          <w:sz w:val="20"/>
        </w:rPr>
        <w:t xml:space="preserve"> shall not be deemed to be exclusive or to limit in any way the other circumstances in which Indemnitee may be deemed or found to have met the applicable standard of conduct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13.5. The knowledge and/or actions, or failure to act, of any other director, officer, trustee, partner, managing member, fiduciary, agent or employee of the Enterprise shall not be imputed to Indemnitee for purposes of determining the right to indemnification under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14. REMEDIES OF INDEMNITEE. </w:t>
      </w:r>
    </w:p>
    <w:p>
      <w:pPr>
        <w:pStyle w:val="TextBody"/>
        <w:bidi w:val="0"/>
        <w:spacing w:before="120" w:after="0"/>
        <w:jc w:val="left"/>
        <w:rPr>
          <w:rFonts w:ascii="Times New Roman" w:hAnsi="Times New Roman"/>
          <w:sz w:val="20"/>
        </w:rPr>
      </w:pPr>
      <w:r>
        <w:rPr>
          <w:rFonts w:ascii="Times New Roman" w:hAnsi="Times New Roman"/>
          <w:sz w:val="20"/>
        </w:rPr>
        <w:t xml:space="preserve">14.1. In the event that (i) a determination is made pursuant to </w:t>
      </w:r>
      <w:r>
        <w:rPr>
          <w:rFonts w:ascii="Times New Roman" w:hAnsi="Times New Roman"/>
          <w:sz w:val="20"/>
          <w:u w:val="single"/>
        </w:rPr>
        <w:t>Section 12</w:t>
      </w:r>
      <w:r>
        <w:rPr>
          <w:rFonts w:ascii="Times New Roman" w:hAnsi="Times New Roman"/>
          <w:sz w:val="20"/>
        </w:rPr>
        <w:t xml:space="preserve"> of this Agreement that Indemnitee is not entitled to indemnification under this Agreement, (ii) advancement of Expenses, to the fullest extent permitted by applicable law, is not timely made pursuant to </w:t>
      </w:r>
      <w:r>
        <w:rPr>
          <w:rFonts w:ascii="Times New Roman" w:hAnsi="Times New Roman"/>
          <w:sz w:val="20"/>
          <w:u w:val="single"/>
        </w:rPr>
        <w:t>Section 10</w:t>
      </w:r>
      <w:r>
        <w:rPr>
          <w:rFonts w:ascii="Times New Roman" w:hAnsi="Times New Roman"/>
          <w:sz w:val="20"/>
        </w:rPr>
        <w:t xml:space="preserve"> of this Agreement, (iii) no determination of entitlement to indemnification shall have been made pursuant to </w:t>
      </w:r>
      <w:r>
        <w:rPr>
          <w:rFonts w:ascii="Times New Roman" w:hAnsi="Times New Roman"/>
          <w:sz w:val="20"/>
          <w:u w:val="single"/>
        </w:rPr>
        <w:t>Section 12.1</w:t>
      </w:r>
      <w:r>
        <w:rPr>
          <w:rFonts w:ascii="Times New Roman" w:hAnsi="Times New Roman"/>
          <w:sz w:val="20"/>
        </w:rPr>
        <w:t xml:space="preserve"> of this Agreement within thirty (30) days after receipt by the Company of the request for indemnification, (iv) payment of indemnification is not made pursuant to </w:t>
      </w:r>
      <w:r>
        <w:rPr>
          <w:rFonts w:ascii="Times New Roman" w:hAnsi="Times New Roman"/>
          <w:sz w:val="20"/>
          <w:u w:val="single"/>
        </w:rPr>
        <w:t>Sections 5</w:t>
      </w:r>
      <w:r>
        <w:rPr>
          <w:rFonts w:ascii="Times New Roman" w:hAnsi="Times New Roman"/>
          <w:sz w:val="20"/>
        </w:rPr>
        <w:t xml:space="preserve">, </w:t>
      </w:r>
      <w:r>
        <w:rPr>
          <w:rFonts w:ascii="Times New Roman" w:hAnsi="Times New Roman"/>
          <w:sz w:val="20"/>
          <w:u w:val="single"/>
        </w:rPr>
        <w:t>6</w:t>
      </w:r>
      <w:r>
        <w:rPr>
          <w:rFonts w:ascii="Times New Roman" w:hAnsi="Times New Roman"/>
          <w:sz w:val="20"/>
        </w:rPr>
        <w:t xml:space="preserve">, </w:t>
      </w:r>
      <w:r>
        <w:rPr>
          <w:rFonts w:ascii="Times New Roman" w:hAnsi="Times New Roman"/>
          <w:sz w:val="20"/>
          <w:u w:val="single"/>
        </w:rPr>
        <w:t>7</w:t>
      </w:r>
      <w:r>
        <w:rPr>
          <w:rFonts w:ascii="Times New Roman" w:hAnsi="Times New Roman"/>
          <w:sz w:val="20"/>
        </w:rPr>
        <w:t xml:space="preserve"> or the last sentence of </w:t>
      </w:r>
      <w:r>
        <w:rPr>
          <w:rFonts w:ascii="Times New Roman" w:hAnsi="Times New Roman"/>
          <w:sz w:val="20"/>
          <w:u w:val="single"/>
        </w:rPr>
        <w:t>Section 12.1</w:t>
      </w:r>
      <w:r>
        <w:rPr>
          <w:rFonts w:ascii="Times New Roman" w:hAnsi="Times New Roman"/>
          <w:sz w:val="20"/>
        </w:rPr>
        <w:t xml:space="preserve"> of this Agreement within ten (10) days after receipt by the Company of a written request therefor, (v) a contribution payment is not made in a timely manner pursuant to </w:t>
      </w:r>
      <w:r>
        <w:rPr>
          <w:rFonts w:ascii="Times New Roman" w:hAnsi="Times New Roman"/>
          <w:sz w:val="20"/>
          <w:u w:val="single"/>
        </w:rPr>
        <w:t>Section 8</w:t>
      </w:r>
      <w:r>
        <w:rPr>
          <w:rFonts w:ascii="Times New Roman" w:hAnsi="Times New Roman"/>
          <w:sz w:val="20"/>
        </w:rPr>
        <w:t xml:space="preserve"> of this Agreement, (vi) payment of indemnification pursuant to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4</w:t>
      </w:r>
      <w:r>
        <w:rPr>
          <w:rFonts w:ascii="Times New Roman" w:hAnsi="Times New Roman"/>
          <w:sz w:val="20"/>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within ten (10) days after receipt by the Company of a written request therefor, Indemnitee shall be entitled to an adjudication by the Delaware Court to such indemnification, hold harmless, exoneration, contribution or advancement rights. Alternatively, Indemnitee, at his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w:t>
      </w:r>
    </w:p>
    <w:p>
      <w:pPr>
        <w:pStyle w:val="TextBody"/>
        <w:bidi w:val="0"/>
        <w:spacing w:before="240" w:after="0"/>
        <w:jc w:val="left"/>
        <w:rPr>
          <w:rFonts w:ascii="Times New Roman" w:hAnsi="Times New Roman"/>
          <w:sz w:val="20"/>
        </w:rPr>
      </w:pPr>
      <w:r>
        <w:rPr>
          <w:rFonts w:ascii="Times New Roman" w:hAnsi="Times New Roman"/>
          <w:sz w:val="20"/>
        </w:rPr>
        <w:t xml:space="preserve">14.2. In the event that a determination shall have been made pursuant to </w:t>
      </w:r>
      <w:r>
        <w:rPr>
          <w:rFonts w:ascii="Times New Roman" w:hAnsi="Times New Roman"/>
          <w:sz w:val="20"/>
          <w:u w:val="single"/>
        </w:rPr>
        <w:t>Section 12.1</w:t>
      </w:r>
      <w:r>
        <w:rPr>
          <w:rFonts w:ascii="Times New Roman" w:hAnsi="Times New Roman"/>
          <w:sz w:val="20"/>
        </w:rPr>
        <w:t xml:space="preserve"> of this Agreement that Indemnitee is not entitled to indemnification, any judicial proceeding or arbitration commenced pursuant to this </w:t>
      </w:r>
      <w:r>
        <w:rPr>
          <w:rFonts w:ascii="Times New Roman" w:hAnsi="Times New Roman"/>
          <w:sz w:val="20"/>
          <w:u w:val="single"/>
        </w:rPr>
        <w:t>Section 14</w:t>
      </w:r>
      <w:r>
        <w:rPr>
          <w:rFonts w:ascii="Times New Roman" w:hAnsi="Times New Roman"/>
          <w:sz w:val="20"/>
        </w:rPr>
        <w:t xml:space="preserve"> shall be conducted in all respects as a de novo trial, or arbitration, on the merits and Indemnitee shall not be prejudiced by reason of that adverse determination. In any judicial proceeding or arbitration commenced pursuant to this </w:t>
      </w:r>
      <w:r>
        <w:rPr>
          <w:rFonts w:ascii="Times New Roman" w:hAnsi="Times New Roman"/>
          <w:sz w:val="20"/>
          <w:u w:val="single"/>
        </w:rPr>
        <w:t>Section 14</w:t>
      </w:r>
      <w:r>
        <w:rPr>
          <w:rFonts w:ascii="Times New Roman" w:hAnsi="Times New Roman"/>
          <w:sz w:val="20"/>
        </w:rPr>
        <w:t xml:space="preserve">,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w:t>
      </w:r>
      <w:r>
        <w:rPr>
          <w:rFonts w:ascii="Times New Roman" w:hAnsi="Times New Roman"/>
          <w:sz w:val="20"/>
          <w:u w:val="single"/>
        </w:rPr>
        <w:t>Section 12.1</w:t>
      </w:r>
      <w:r>
        <w:rPr>
          <w:rFonts w:ascii="Times New Roman" w:hAnsi="Times New Roman"/>
          <w:sz w:val="20"/>
        </w:rPr>
        <w:t xml:space="preserve"> of this Agreement adverse to Indemnitee for any purpose. If Indemnitee commences a judicial proceeding or arbitration pursuant to this </w:t>
      </w:r>
      <w:r>
        <w:rPr>
          <w:rFonts w:ascii="Times New Roman" w:hAnsi="Times New Roman"/>
          <w:sz w:val="20"/>
          <w:u w:val="single"/>
        </w:rPr>
        <w:t>Section 14</w:t>
      </w:r>
      <w:r>
        <w:rPr>
          <w:rFonts w:ascii="Times New Roman" w:hAnsi="Times New Roman"/>
          <w:sz w:val="20"/>
        </w:rPr>
        <w:t xml:space="preserve">, Indemnitee shall not be required to reimburse the Company for any advances pursuant to </w:t>
      </w:r>
      <w:r>
        <w:rPr>
          <w:rFonts w:ascii="Times New Roman" w:hAnsi="Times New Roman"/>
          <w:sz w:val="20"/>
          <w:u w:val="single"/>
        </w:rPr>
        <w:t>Section 10</w:t>
      </w:r>
      <w:r>
        <w:rPr>
          <w:rFonts w:ascii="Times New Roman" w:hAnsi="Times New Roman"/>
          <w:sz w:val="20"/>
        </w:rPr>
        <w:t xml:space="preserve"> until a final determination is made with respect to Indemnitee’s entitlement to indemnification (as to which all rights of appeal have been exhausted or lapsed). </w:t>
      </w:r>
    </w:p>
    <w:p>
      <w:pPr>
        <w:pStyle w:val="TextBody"/>
        <w:bidi w:val="0"/>
        <w:spacing w:before="240" w:after="0"/>
        <w:jc w:val="left"/>
        <w:rPr>
          <w:rFonts w:ascii="Times New Roman" w:hAnsi="Times New Roman"/>
          <w:sz w:val="20"/>
        </w:rPr>
      </w:pPr>
      <w:r>
        <w:rPr>
          <w:rFonts w:ascii="Times New Roman" w:hAnsi="Times New Roman"/>
          <w:sz w:val="20"/>
        </w:rPr>
        <w:t xml:space="preserve">14.3. If a determination shall have been made pursuant to </w:t>
      </w:r>
      <w:r>
        <w:rPr>
          <w:rFonts w:ascii="Times New Roman" w:hAnsi="Times New Roman"/>
          <w:sz w:val="20"/>
          <w:u w:val="single"/>
        </w:rPr>
        <w:t>Section 12.1</w:t>
      </w:r>
      <w:r>
        <w:rPr>
          <w:rFonts w:ascii="Times New Roman" w:hAnsi="Times New Roman"/>
          <w:sz w:val="20"/>
        </w:rPr>
        <w:t xml:space="preserve"> of this Agreement that Indemnitee is entitled to indemnification, the Company shall be bound by such determination in any judicial proceeding or arbitration commenced pursuant to this </w:t>
      </w:r>
      <w:r>
        <w:rPr>
          <w:rFonts w:ascii="Times New Roman" w:hAnsi="Times New Roman"/>
          <w:sz w:val="20"/>
          <w:u w:val="single"/>
        </w:rPr>
        <w:t>Section 14</w:t>
      </w:r>
      <w:r>
        <w:rPr>
          <w:rFonts w:ascii="Times New Roman" w:hAnsi="Times New Roman"/>
          <w:sz w:val="20"/>
        </w:rPr>
        <w:t xml:space="preserve">,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14.4. The Company shall be precluded from asserting in any judicial proceeding or arbitration commenced pursuant to this </w:t>
      </w:r>
      <w:r>
        <w:rPr>
          <w:rFonts w:ascii="Times New Roman" w:hAnsi="Times New Roman"/>
          <w:sz w:val="20"/>
          <w:u w:val="single"/>
        </w:rPr>
        <w:t>Section 14</w:t>
      </w:r>
      <w:r>
        <w:rPr>
          <w:rFonts w:ascii="Times New Roman" w:hAnsi="Times New Roman"/>
          <w:sz w:val="20"/>
        </w:rPr>
        <w:t xml:space="preserve"> that the procedures and presumptions of this Agreement are not valid, binding and enforceable and shall stipulate in any such court or before any such arbitrator that the Company is bound by all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14.5. 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rights under, or to recover damages for breach of, this Agreement or any other indemnification, hold harmless, exoneration, advancement or contribution agreement or provision of the Charter, or the Company’s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 </w:t>
      </w:r>
    </w:p>
    <w:p>
      <w:pPr>
        <w:pStyle w:val="TextBody"/>
        <w:bidi w:val="0"/>
        <w:spacing w:before="240" w:after="0"/>
        <w:jc w:val="left"/>
        <w:rPr>
          <w:rFonts w:ascii="Times New Roman" w:hAnsi="Times New Roman"/>
          <w:sz w:val="20"/>
        </w:rPr>
      </w:pPr>
      <w:r>
        <w:rPr>
          <w:rFonts w:ascii="Times New Roman" w:hAnsi="Times New Roman"/>
          <w:sz w:val="20"/>
        </w:rPr>
        <w:t xml:space="preserve">14.6. Interest shall be paid by the Company to Indemnitee at the legal rate under Delaware law for amounts which the Company indemnifies, holds harmless or exonerates, or is obliged to indemnify, hold harmless or exonerate for the period commencing with the date on which Indemnitee requests indemnification, to be held harmless, exonerated, contribution, reimbursement or advancement of any Expenses and ending with the date on which such payment is made to Indemnitee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15. SECURITY.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 </w:t>
      </w:r>
    </w:p>
    <w:p>
      <w:pPr>
        <w:pStyle w:val="TextBody"/>
        <w:bidi w:val="0"/>
        <w:spacing w:before="360" w:after="0"/>
        <w:jc w:val="left"/>
        <w:rPr>
          <w:rFonts w:ascii="Times New Roman" w:hAnsi="Times New Roman"/>
          <w:b/>
          <w:sz w:val="20"/>
        </w:rPr>
      </w:pPr>
      <w:r>
        <w:rPr>
          <w:rFonts w:ascii="Times New Roman" w:hAnsi="Times New Roman"/>
          <w:b/>
          <w:sz w:val="20"/>
        </w:rPr>
        <w:t xml:space="preserve">16. NON-EXCLUSIVITY; SURVIVAL OF RIGHTS; INSURANCE; SUBROGATION. </w:t>
      </w:r>
    </w:p>
    <w:p>
      <w:pPr>
        <w:pStyle w:val="TextBody"/>
        <w:bidi w:val="0"/>
        <w:spacing w:before="120" w:after="0"/>
        <w:jc w:val="left"/>
        <w:rPr>
          <w:rFonts w:ascii="Times New Roman" w:hAnsi="Times New Roman"/>
          <w:sz w:val="20"/>
        </w:rPr>
      </w:pPr>
      <w:r>
        <w:rPr>
          <w:rFonts w:ascii="Times New Roman" w:hAnsi="Times New Roman"/>
          <w:sz w:val="20"/>
        </w:rPr>
        <w:t xml:space="preserve">16.1. The rights of Indemnitee as provided by this Agreement shall not be deemed exclusive of any other rights to which Indemnitee may at any time be entitled under applicable law, the Charter, the Company’s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Company’s Bylaws or this Agreement, then this Agreement (without any further action by the parties hereto) shall automatically be deemed to be amended to require that the Company indemnify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16.2. The DGCL, the Charter and the Company’s Bylaws permit the Company to purchase and maintain insurance or furnish similar protection or make other arrangements including, but not limited to, providing a trust fund, letter of credit, or surety bond (“</w:t>
      </w:r>
      <w:r>
        <w:rPr>
          <w:rFonts w:ascii="Times New Roman" w:hAnsi="Times New Roman"/>
          <w:b/>
          <w:i/>
          <w:sz w:val="20"/>
        </w:rPr>
        <w:t>Indemnification Arrangements</w:t>
      </w:r>
      <w:r>
        <w:rPr>
          <w:rFonts w:ascii="Times New Roman" w:hAnsi="Times New Roman"/>
          <w:sz w:val="20"/>
        </w:rPr>
        <w:t xml:space="preserve">”) on behalf of Indemnitee against any liability asserted against him or incurred by or on behalf of him or in such capacity as a director, officer,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agent of the Company, or arising out of his status as such, whether or not the Company would have the power to indemnify him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 </w:t>
      </w:r>
    </w:p>
    <w:p>
      <w:pPr>
        <w:pStyle w:val="TextBody"/>
        <w:bidi w:val="0"/>
        <w:spacing w:before="240" w:after="0"/>
        <w:jc w:val="left"/>
        <w:rPr>
          <w:rFonts w:ascii="Times New Roman" w:hAnsi="Times New Roman"/>
          <w:sz w:val="20"/>
        </w:rPr>
      </w:pPr>
      <w:r>
        <w:rPr>
          <w:rFonts w:ascii="Times New Roman" w:hAnsi="Times New Roman"/>
          <w:sz w:val="20"/>
        </w:rPr>
        <w:t xml:space="preserve">16.3. To the extent that the Company maintains an insurance policy or policies providing liability insurance for directors, officers, trustees, partners,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16.4.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16.5. 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17. DURATION OF AGREEMENT.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and obligations of the Company contained herein shall continue during the period Indemnitee serves 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Times New Roman" w:hAnsi="Times New Roman"/>
          <w:sz w:val="20"/>
          <w:u w:val="single"/>
        </w:rPr>
        <w:t>Section 14</w:t>
      </w:r>
      <w:r>
        <w:rPr>
          <w:rFonts w:ascii="Times New Roman" w:hAnsi="Times New Roman"/>
          <w:sz w:val="20"/>
        </w:rPr>
        <w:t xml:space="preserve"> of this Agreement) by reason of his Corporate Status, whether or not he is acting in any such capacity at the time any liability or expense is incurred for which indemnification can be provided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18. SEVERABILITY.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19. ENFORCEMENT AND BINDING EFFECT. </w:t>
      </w:r>
    </w:p>
    <w:p>
      <w:pPr>
        <w:pStyle w:val="TextBody"/>
        <w:bidi w:val="0"/>
        <w:spacing w:before="120" w:after="0"/>
        <w:jc w:val="left"/>
        <w:rPr>
          <w:rFonts w:ascii="Times New Roman" w:hAnsi="Times New Roman"/>
          <w:sz w:val="20"/>
        </w:rPr>
      </w:pPr>
      <w:r>
        <w:rPr>
          <w:rFonts w:ascii="Times New Roman" w:hAnsi="Times New Roman"/>
          <w:sz w:val="20"/>
        </w:rPr>
        <w:t xml:space="preserve">19.1. 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19.2. 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19.3. 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his or her spouse, assigns, heirs, devisees, executors and administrators and other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19.4.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w:t>
      </w:r>
    </w:p>
    <w:p>
      <w:pPr>
        <w:pStyle w:val="TextBody"/>
        <w:bidi w:val="0"/>
        <w:spacing w:before="240" w:after="0"/>
        <w:jc w:val="left"/>
        <w:rPr>
          <w:rFonts w:ascii="Times New Roman" w:hAnsi="Times New Roman"/>
          <w:sz w:val="20"/>
        </w:rPr>
      </w:pPr>
      <w:r>
        <w:rPr>
          <w:rFonts w:ascii="Times New Roman" w:hAnsi="Times New Roman"/>
          <w:sz w:val="20"/>
        </w:rPr>
        <w:t xml:space="preserve">19.5. 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w:t>
      </w:r>
    </w:p>
    <w:p>
      <w:pPr>
        <w:pStyle w:val="TextBody"/>
        <w:bidi w:val="0"/>
        <w:spacing w:before="360" w:after="0"/>
        <w:jc w:val="left"/>
        <w:rPr>
          <w:rFonts w:ascii="Times New Roman" w:hAnsi="Times New Roman"/>
          <w:b/>
          <w:sz w:val="20"/>
        </w:rPr>
      </w:pPr>
      <w:r>
        <w:rPr>
          <w:rFonts w:ascii="Times New Roman" w:hAnsi="Times New Roman"/>
          <w:b/>
          <w:sz w:val="20"/>
        </w:rPr>
        <w:t xml:space="preserve">20. 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21. NOTICES. </w:t>
      </w:r>
    </w:p>
    <w:p>
      <w:pPr>
        <w:pStyle w:val="TextBody"/>
        <w:bidi w:val="0"/>
        <w:spacing w:before="120" w:after="0"/>
        <w:jc w:val="left"/>
        <w:rPr>
          <w:rFonts w:ascii="Times New Roman" w:hAnsi="Times New Roman"/>
          <w:sz w:val="20"/>
        </w:rPr>
      </w:pPr>
      <w:r>
        <w:rPr>
          <w:rFonts w:ascii="Times New Roman" w:hAnsi="Times New Roman"/>
          <w:sz w:val="20"/>
        </w:rPr>
        <w:t xml:space="preserve">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 </w:t>
      </w:r>
    </w:p>
    <w:p>
      <w:pPr>
        <w:pStyle w:val="TextBody"/>
        <w:bidi w:val="0"/>
        <w:spacing w:before="240" w:after="0"/>
        <w:jc w:val="left"/>
        <w:rPr>
          <w:rFonts w:ascii="Times New Roman" w:hAnsi="Times New Roman"/>
          <w:sz w:val="20"/>
        </w:rPr>
      </w:pPr>
      <w:r>
        <w:rPr>
          <w:rFonts w:ascii="Times New Roman" w:hAnsi="Times New Roman"/>
          <w:sz w:val="20"/>
        </w:rPr>
        <w:t xml:space="preserve">(a) If to Indemnitee, at the address indicated on the signature page of this Agreement, or such other address as Indemnitee shall provide in writing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to: </w:t>
      </w:r>
    </w:p>
    <w:p>
      <w:pPr>
        <w:pStyle w:val="TextBody"/>
        <w:bidi w:val="0"/>
        <w:spacing w:before="0" w:after="0"/>
        <w:jc w:val="left"/>
        <w:rPr>
          <w:rFonts w:ascii="Times New Roman" w:hAnsi="Times New Roman"/>
          <w:sz w:val="20"/>
        </w:rPr>
      </w:pPr>
      <w:r>
        <w:rPr>
          <w:rFonts w:ascii="Times New Roman" w:hAnsi="Times New Roman"/>
          <w:sz w:val="20"/>
        </w:rPr>
        <w:t xml:space="preserve">Verra Mobility Corporation </w:t>
      </w:r>
    </w:p>
    <w:p>
      <w:pPr>
        <w:pStyle w:val="TextBody"/>
        <w:bidi w:val="0"/>
        <w:spacing w:before="0" w:after="0"/>
        <w:jc w:val="left"/>
        <w:rPr>
          <w:rFonts w:ascii="Times New Roman" w:hAnsi="Times New Roman"/>
          <w:sz w:val="20"/>
        </w:rPr>
      </w:pPr>
      <w:r>
        <w:rPr>
          <w:rFonts w:ascii="Times New Roman" w:hAnsi="Times New Roman"/>
          <w:sz w:val="20"/>
        </w:rPr>
        <w:t xml:space="preserve">2046 Riverview Auto Drive, Suite 300 </w:t>
      </w:r>
    </w:p>
    <w:p>
      <w:pPr>
        <w:pStyle w:val="TextBody"/>
        <w:bidi w:val="0"/>
        <w:spacing w:before="0" w:after="0"/>
        <w:jc w:val="left"/>
        <w:rPr>
          <w:rFonts w:ascii="Times New Roman" w:hAnsi="Times New Roman"/>
          <w:sz w:val="20"/>
        </w:rPr>
      </w:pPr>
      <w:r>
        <w:rPr>
          <w:rFonts w:ascii="Times New Roman" w:hAnsi="Times New Roman"/>
          <w:sz w:val="20"/>
        </w:rPr>
        <w:t xml:space="preserve">Mesa, AZ 85201 </w:t>
      </w:r>
    </w:p>
    <w:p>
      <w:pPr>
        <w:pStyle w:val="TextBody"/>
        <w:bidi w:val="0"/>
        <w:spacing w:before="0" w:after="0"/>
        <w:jc w:val="left"/>
        <w:rPr>
          <w:rFonts w:ascii="Times New Roman" w:hAnsi="Times New Roman"/>
          <w:sz w:val="20"/>
        </w:rPr>
      </w:pPr>
      <w:r>
        <w:rPr>
          <w:rFonts w:ascii="Times New Roman" w:hAnsi="Times New Roman"/>
          <w:sz w:val="20"/>
        </w:rPr>
        <w:t xml:space="preserve">Attn: Kristen Young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2525 E. Camelback Road, Suite 1000 </w:t>
      </w:r>
    </w:p>
    <w:p>
      <w:pPr>
        <w:pStyle w:val="TextBody"/>
        <w:bidi w:val="0"/>
        <w:spacing w:before="0" w:after="0"/>
        <w:jc w:val="left"/>
        <w:rPr>
          <w:rFonts w:ascii="Times New Roman" w:hAnsi="Times New Roman"/>
          <w:sz w:val="20"/>
        </w:rPr>
      </w:pPr>
      <w:r>
        <w:rPr>
          <w:rFonts w:ascii="Times New Roman" w:hAnsi="Times New Roman"/>
          <w:sz w:val="20"/>
        </w:rPr>
        <w:t xml:space="preserve">Phoenix, AZ 85016 </w:t>
      </w:r>
    </w:p>
    <w:p>
      <w:pPr>
        <w:pStyle w:val="TextBody"/>
        <w:bidi w:val="0"/>
        <w:spacing w:before="0" w:after="0"/>
        <w:jc w:val="left"/>
        <w:rPr>
          <w:rFonts w:ascii="Times New Roman" w:hAnsi="Times New Roman"/>
          <w:sz w:val="20"/>
        </w:rPr>
      </w:pPr>
      <w:r>
        <w:rPr>
          <w:rFonts w:ascii="Times New Roman" w:hAnsi="Times New Roman"/>
          <w:sz w:val="20"/>
        </w:rPr>
        <w:t xml:space="preserve">Attn: Kevin Criddle </w:t>
      </w:r>
    </w:p>
    <w:p>
      <w:pPr>
        <w:pStyle w:val="TextBody"/>
        <w:bidi w:val="0"/>
        <w:spacing w:before="240" w:after="0"/>
        <w:jc w:val="left"/>
        <w:rPr>
          <w:rFonts w:ascii="Times New Roman" w:hAnsi="Times New Roman"/>
          <w:sz w:val="20"/>
        </w:rPr>
      </w:pPr>
      <w:r>
        <w:rPr>
          <w:rFonts w:ascii="Times New Roman" w:hAnsi="Times New Roman"/>
          <w:sz w:val="20"/>
        </w:rPr>
        <w:t xml:space="preserve">or to any other address as may have been furnished to Indemnitee in writing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22. APPLICABLE LAW AND CONSENT TO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and the legal relations among the parties shall be governed by, and construed and enforced in accordance with, the laws of the State of Delaware, without regard to its conflict of laws rules. Except with respect to any arbitration commenced by Indemnitee pursuant to </w:t>
      </w:r>
      <w:r>
        <w:rPr>
          <w:rFonts w:ascii="Times New Roman" w:hAnsi="Times New Roman"/>
          <w:sz w:val="20"/>
          <w:u w:val="single"/>
        </w:rPr>
        <w:t>Section 14.1</w:t>
      </w:r>
      <w:r>
        <w:rPr>
          <w:rFonts w:ascii="Times New Roman" w:hAnsi="Times New Roman"/>
          <w:sz w:val="20"/>
        </w:rPr>
        <w:t xml:space="preserve">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w:t>
      </w:r>
    </w:p>
    <w:p>
      <w:pPr>
        <w:pStyle w:val="TextBody"/>
        <w:bidi w:val="0"/>
        <w:spacing w:before="360" w:after="0"/>
        <w:jc w:val="left"/>
        <w:rPr>
          <w:rFonts w:ascii="Times New Roman" w:hAnsi="Times New Roman"/>
          <w:b/>
          <w:sz w:val="20"/>
        </w:rPr>
      </w:pPr>
      <w:r>
        <w:rPr>
          <w:rFonts w:ascii="Times New Roman" w:hAnsi="Times New Roman"/>
          <w:b/>
          <w:sz w:val="20"/>
        </w:rPr>
        <w:t xml:space="preserve">23. IDENTICAL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24. MISCELLANEOUS. </w:t>
      </w:r>
    </w:p>
    <w:p>
      <w:pPr>
        <w:pStyle w:val="TextBody"/>
        <w:bidi w:val="0"/>
        <w:spacing w:before="120" w:after="0"/>
        <w:jc w:val="left"/>
        <w:rPr>
          <w:rFonts w:ascii="Times New Roman" w:hAnsi="Times New Roman"/>
          <w:sz w:val="20"/>
        </w:rPr>
      </w:pPr>
      <w:r>
        <w:rPr>
          <w:rFonts w:ascii="Times New Roman" w:hAnsi="Times New Roman"/>
          <w:sz w:val="20"/>
        </w:rPr>
        <w:t xml:space="preserve">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25. PERIOD OF LIMITATIONS. </w:t>
      </w:r>
    </w:p>
    <w:p>
      <w:pPr>
        <w:pStyle w:val="TextBody"/>
        <w:bidi w:val="0"/>
        <w:spacing w:before="120" w:after="0"/>
        <w:jc w:val="left"/>
        <w:rPr>
          <w:rFonts w:ascii="Times New Roman" w:hAnsi="Times New Roman"/>
          <w:sz w:val="20"/>
        </w:rPr>
      </w:pPr>
      <w:r>
        <w:rPr>
          <w:rFonts w:ascii="Times New Roman" w:hAnsi="Times New Roman"/>
          <w:sz w:val="20"/>
        </w:rPr>
        <w:t xml:space="preserve">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 </w:t>
      </w:r>
    </w:p>
    <w:p>
      <w:pPr>
        <w:pStyle w:val="TextBody"/>
        <w:bidi w:val="0"/>
        <w:spacing w:before="360" w:after="0"/>
        <w:jc w:val="left"/>
        <w:rPr>
          <w:rFonts w:ascii="Times New Roman" w:hAnsi="Times New Roman"/>
          <w:b/>
          <w:sz w:val="20"/>
        </w:rPr>
      </w:pPr>
      <w:r>
        <w:rPr>
          <w:rFonts w:ascii="Times New Roman" w:hAnsi="Times New Roman"/>
          <w:b/>
          <w:sz w:val="20"/>
        </w:rPr>
        <w:t xml:space="preserve">26. ADDITIONAL ACTS. </w:t>
      </w:r>
    </w:p>
    <w:p>
      <w:pPr>
        <w:pStyle w:val="TextBody"/>
        <w:bidi w:val="0"/>
        <w:spacing w:before="120" w:after="0"/>
        <w:jc w:val="left"/>
        <w:rPr>
          <w:rFonts w:ascii="Times New Roman" w:hAnsi="Times New Roman"/>
          <w:sz w:val="20"/>
        </w:rPr>
      </w:pPr>
      <w:r>
        <w:rPr>
          <w:rFonts w:ascii="Times New Roman" w:hAnsi="Times New Roman"/>
          <w:sz w:val="20"/>
        </w:rPr>
        <w:t xml:space="preserve">If for the validation of any of the provisions in this Agreement any act, resolution, approval or other procedure is required, the Company undertakes to cause such act, resolution, approval or other procedure to be affected or adopted in a manner that will enable the Company to fulfill its obligations under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27. WAIVER OF CLAIMS TO TRUST ACCOUNT. </w:t>
      </w:r>
    </w:p>
    <w:p>
      <w:pPr>
        <w:pStyle w:val="TextBody"/>
        <w:bidi w:val="0"/>
        <w:spacing w:before="120" w:after="0"/>
        <w:jc w:val="left"/>
        <w:rPr>
          <w:rFonts w:ascii="Times New Roman" w:hAnsi="Times New Roman"/>
          <w:sz w:val="20"/>
        </w:rPr>
      </w:pPr>
      <w:r>
        <w:rPr>
          <w:rFonts w:ascii="Times New Roman" w:hAnsi="Times New Roman"/>
          <w:sz w:val="20"/>
        </w:rPr>
        <w:t>Indemnitee hereby agrees that it does not have any right, title, interest or claim of any kind (each, a “</w:t>
      </w:r>
      <w:r>
        <w:rPr>
          <w:rFonts w:ascii="Times New Roman" w:hAnsi="Times New Roman"/>
          <w:b/>
          <w:i/>
          <w:sz w:val="20"/>
        </w:rPr>
        <w:t>Claim</w:t>
      </w:r>
      <w:r>
        <w:rPr>
          <w:rFonts w:ascii="Times New Roman" w:hAnsi="Times New Roman"/>
          <w:sz w:val="20"/>
        </w:rPr>
        <w:t xml:space="preserve">”)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 </w:t>
      </w:r>
    </w:p>
    <w:p>
      <w:pPr>
        <w:pStyle w:val="TextBody"/>
        <w:bidi w:val="0"/>
        <w:spacing w:before="240" w:after="0"/>
        <w:jc w:val="center"/>
        <w:rPr>
          <w:rFonts w:ascii="Times New Roman" w:hAnsi="Times New Roman"/>
          <w:b/>
          <w:sz w:val="20"/>
        </w:rPr>
      </w:pPr>
      <w:r>
        <w:rPr>
          <w:rFonts w:ascii="Times New Roman" w:hAnsi="Times New Roman"/>
          <w:b/>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Indemnity Agreement to be signed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VERRA MOBILITY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Jon Newhard</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Address: 2046 Riverview Auto Drive, Suite 300, Mesa, Arizona 85201</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Indemnity Agreement</w:t>
      </w:r>
      <w:r>
        <w:rPr>
          <w:rFonts w:ascii="Times New Roman" w:hAnsi="Times New Roman"/>
          <w:sz w:val="20"/>
        </w:rPr>
        <w:t xml:space="preserve">] </w:t>
      </w:r>
    </w:p>
    <w:p>
      <w:pPr>
        <w:pStyle w:val="TextBody"/>
        <w:bidi w:val="0"/>
        <w:spacing w:before="0" w:after="0"/>
        <w:jc w:val="right"/>
        <w:rPr>
          <w:rFonts w:ascii="Times New Roman" w:hAnsi="Times New Roman"/>
          <w:sz w:val="20"/>
        </w:rPr>
      </w:pPr>
      <w:bookmarkStart w:id="6" w:name="d116013dex991.htm"/>
      <w:bookmarkStart w:id="7" w:name="ksd116013dex991"/>
      <w:bookmarkEnd w:id="6"/>
      <w:bookmarkEnd w:id="7"/>
      <w:r>
        <w:rPr>
          <w:rFonts w:ascii="Times New Roman" w:hAnsi="Times New Roman"/>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71955" cy="649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1955" cy="64960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20"/>
        </w:rPr>
      </w:pPr>
      <w:r>
        <w:rPr>
          <w:rFonts w:ascii="Times New Roman" w:hAnsi="Times New Roman"/>
          <w:b/>
          <w:sz w:val="20"/>
        </w:rPr>
        <w:t xml:space="preserve">Verra Mobility Appoints Jon Newhard as Chief Executive Officer </w:t>
      </w:r>
    </w:p>
    <w:p>
      <w:pPr>
        <w:pStyle w:val="TextBody"/>
        <w:bidi w:val="0"/>
        <w:spacing w:before="240" w:after="0"/>
        <w:jc w:val="center"/>
        <w:rPr>
          <w:rFonts w:ascii="Times New Roman" w:hAnsi="Times New Roman"/>
          <w:sz w:val="20"/>
        </w:rPr>
      </w:pPr>
      <w:r>
        <w:rPr>
          <w:rFonts w:ascii="Times New Roman" w:hAnsi="Times New Roman"/>
          <w:i/>
          <w:sz w:val="20"/>
        </w:rPr>
        <w:t>Jon Newhard brings more than two decades of technology-forward transportation and mobility leadership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i/>
          <w:sz w:val="20"/>
        </w:rPr>
        <w:t>experience to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MESA, Ariz., October</w:t>
      </w:r>
      <w:r>
        <w:rPr>
          <w:rFonts w:ascii="Times New Roman" w:hAnsi="Times New Roman"/>
          <w:sz w:val="20"/>
        </w:rPr>
        <w:t> </w:t>
      </w:r>
      <w:r>
        <w:rPr>
          <w:rFonts w:ascii="Times New Roman" w:hAnsi="Times New Roman"/>
          <w:b/>
          <w:sz w:val="20"/>
        </w:rPr>
        <w:t>2, 2026</w:t>
      </w:r>
      <w:r>
        <w:rPr>
          <w:rFonts w:ascii="Times New Roman" w:hAnsi="Times New Roman"/>
          <w:sz w:val="20"/>
        </w:rPr>
        <w:t xml:space="preserve"> — Verra Mobility Corporation (NASDAQ: VRRM), a leading provider of smart mobility technology solutions, today announced that Jon Newhard has been appointed President and Chief Executive Officer, effective November 1, 2026. </w:t>
      </w:r>
    </w:p>
    <w:p>
      <w:pPr>
        <w:pStyle w:val="TextBody"/>
        <w:bidi w:val="0"/>
        <w:spacing w:before="240" w:after="0"/>
        <w:jc w:val="left"/>
        <w:rPr>
          <w:rFonts w:ascii="Times New Roman" w:hAnsi="Times New Roman"/>
          <w:sz w:val="20"/>
        </w:rPr>
      </w:pPr>
      <w:r>
        <w:rPr>
          <w:rFonts w:ascii="Times New Roman" w:hAnsi="Times New Roman"/>
          <w:sz w:val="20"/>
        </w:rPr>
        <w:t xml:space="preserve">Mr. Newhard brings more than two decades of experience in the transportation and mobility industry, including his most recent position as Chief Executive Officer of Yunex Traffic GmbH. Mr. Newhard has deep expertise across intelligent transportation systems, information technology, business development and commercial strategy. </w:t>
      </w:r>
    </w:p>
    <w:p>
      <w:pPr>
        <w:pStyle w:val="TextBody"/>
        <w:bidi w:val="0"/>
        <w:spacing w:before="240" w:after="0"/>
        <w:jc w:val="left"/>
        <w:rPr/>
      </w:pPr>
      <w:r>
        <w:rPr/>
        <w:t>“</w:t>
      </w:r>
      <w:r>
        <w:rPr>
          <w:rFonts w:ascii="Times New Roman" w:hAnsi="Times New Roman"/>
          <w:sz w:val="20"/>
        </w:rPr>
        <w:t xml:space="preserve">We are pleased to appoint Jon Newhard to help us lead Verra Mobility and chart the Company’s next phase,” said Patrick Byrne, Chairman of the Board. “Jon is a seasoned executive with deep industry knowledge, a customer-centric approach and a strong track record of improving financial performance. In addition, his experience growing and scaling established businesses through periods of transformation makes him the ideal leader for Verra Mobility at this pivotal moment for the Company. We look forward to partnering closely with Jon as we drive the business forward to meet the evolving smart mobility needs of the communities we serve and drive shareholder value.” </w:t>
      </w:r>
    </w:p>
    <w:p>
      <w:pPr>
        <w:pStyle w:val="TextBody"/>
        <w:bidi w:val="0"/>
        <w:spacing w:before="240" w:after="0"/>
        <w:jc w:val="left"/>
        <w:rPr/>
      </w:pPr>
      <w:r>
        <w:rPr/>
        <w:t>“</w:t>
      </w:r>
      <w:r>
        <w:rPr>
          <w:rFonts w:ascii="Times New Roman" w:hAnsi="Times New Roman"/>
          <w:sz w:val="20"/>
        </w:rPr>
        <w:t xml:space="preserve">I am thrilled to lead Verra Mobility as its new CEO,” said incoming President and Chief Executive Officer, Jon Newhard. “Having served in various leadership roles in related industries over the past two decades, I have a deep appreciation for the important role Verra Mobility plays in making transportation safer, more efficient and more accessible. The Company has strong business fundamentals and a deep bench of talented employees who drive the business forward every day. I am excited to work with the team to build on our strengths, accelerate our impact and create value for all stakeholders.” </w:t>
      </w:r>
    </w:p>
    <w:p>
      <w:pPr>
        <w:pStyle w:val="TextBody"/>
        <w:bidi w:val="0"/>
        <w:spacing w:before="240" w:after="0"/>
        <w:jc w:val="left"/>
        <w:rPr>
          <w:rFonts w:ascii="Times New Roman" w:hAnsi="Times New Roman"/>
          <w:sz w:val="20"/>
        </w:rPr>
      </w:pPr>
      <w:r>
        <w:rPr>
          <w:rFonts w:ascii="Times New Roman" w:hAnsi="Times New Roman"/>
          <w:sz w:val="20"/>
        </w:rPr>
        <w:t xml:space="preserve">Mr. Newhard succeeds Jon Keyser, who has served as Interim President and Chief Executive Officer since June 2026. Mr. Keyser and the Board have mutually agreed that he will remain with the Company in an advisory capacity to support a smooth transition before departing to pursue other opportunities. </w:t>
      </w:r>
    </w:p>
    <w:p>
      <w:pPr>
        <w:pStyle w:val="TextBody"/>
        <w:bidi w:val="0"/>
        <w:spacing w:before="240" w:after="0"/>
        <w:jc w:val="left"/>
        <w:rPr/>
      </w:pPr>
      <w:r>
        <w:rPr/>
        <w:t>“</w:t>
      </w:r>
      <w:r>
        <w:rPr>
          <w:rFonts w:ascii="Times New Roman" w:hAnsi="Times New Roman"/>
          <w:sz w:val="20"/>
        </w:rPr>
        <w:t xml:space="preserve">On behalf of the Board, I want to thank Jon Keyser for his leadership through a dynamic time for Verra Mobility,” Mr. Byrne continued. “We appreciate his willingness to serve as interim CEO and lead our efforts to stabilize the business, simplify our organizational structure and advance key operational priorities. We are grateful for Jon’s many contributions over the years, and we appreciate his commitment to ensuring a smooth transition.” </w:t>
      </w:r>
    </w:p>
    <w:p>
      <w:pPr>
        <w:pStyle w:val="TextBody"/>
        <w:bidi w:val="0"/>
        <w:spacing w:before="240" w:after="0"/>
        <w:jc w:val="left"/>
        <w:rPr/>
      </w:pPr>
      <w:r>
        <w:rPr/>
        <w:t>“</w:t>
      </w:r>
      <w:r>
        <w:rPr>
          <w:rFonts w:ascii="Times New Roman" w:hAnsi="Times New Roman"/>
          <w:sz w:val="20"/>
        </w:rPr>
        <w:t xml:space="preserve">It has been a privilege to lead Verra Mobility and work alongside such a talented team,” said Mr. Keyser. “I am proud of the progress we have made at a critical juncture, while continuing to advance our leading technology platform. I am confident that the Company is well positioned to pursue the opportunities ahead.” </w:t>
      </w:r>
    </w:p>
    <w:p>
      <w:pPr>
        <w:pStyle w:val="TextBody"/>
        <w:bidi w:val="0"/>
        <w:spacing w:before="240" w:after="0"/>
        <w:jc w:val="left"/>
        <w:rPr>
          <w:rFonts w:ascii="Times New Roman" w:hAnsi="Times New Roman"/>
          <w:sz w:val="20"/>
        </w:rPr>
      </w:pPr>
      <w:r>
        <w:rPr>
          <w:rFonts w:ascii="Times New Roman" w:hAnsi="Times New Roman"/>
          <w:sz w:val="20"/>
        </w:rPr>
        <w:t xml:space="preserve">Mr. Newhard’s appointment is the successful result of a comprehensive search the Board conducted with the support of leading executive search firm Spencer Stuart. </w:t>
      </w:r>
    </w:p>
    <w:p>
      <w:pPr>
        <w:pStyle w:val="TextBody"/>
        <w:bidi w:val="0"/>
        <w:spacing w:before="360" w:after="0"/>
        <w:jc w:val="left"/>
        <w:rPr>
          <w:rFonts w:ascii="Times New Roman" w:hAnsi="Times New Roman"/>
          <w:b/>
          <w:sz w:val="20"/>
        </w:rPr>
      </w:pPr>
      <w:r>
        <w:rPr>
          <w:rFonts w:ascii="Times New Roman" w:hAnsi="Times New Roman"/>
          <w:b/>
          <w:sz w:val="20"/>
        </w:rPr>
        <w:t xml:space="preserve">About Jon Newhard </w:t>
      </w:r>
    </w:p>
    <w:p>
      <w:pPr>
        <w:pStyle w:val="TextBody"/>
        <w:bidi w:val="0"/>
        <w:spacing w:before="120" w:after="0"/>
        <w:jc w:val="left"/>
        <w:rPr>
          <w:rFonts w:ascii="Times New Roman" w:hAnsi="Times New Roman"/>
          <w:sz w:val="20"/>
        </w:rPr>
      </w:pPr>
      <w:r>
        <w:rPr>
          <w:rFonts w:ascii="Times New Roman" w:hAnsi="Times New Roman"/>
          <w:sz w:val="20"/>
        </w:rPr>
        <w:t xml:space="preserve">Jon Newhard brings more than two decades of experience across intelligent transportation systems, enterprise software and technology-enabled businesses. Most recently, he served as Chief Executive Officer of Yunex Traffic GmbH, a global provider of intelligent transportation systems and smart mobility solutions, where he was responsible for the Company’s strategy, operations and financial performance across a global footprint. Previously, Mr. Newhard served as Chief Executive Officer of Clinc, Inc., an AI company; General Manager of Cubic ITS; and Chief Executive Officer of Advanced Traffic Solutions Inc. (Trafficware), where he led the Company’s turnaround and growth strategy through its acquisition by Cubic Corporation. He previously served as Chairman of Miovision and on the board of Synapse ITS. He holds a degree in Economics and Engineering from the United States Military Academy at West Point and an MBA from Harvard Business School.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Verra Mobility </w:t>
      </w:r>
    </w:p>
    <w:p>
      <w:pPr>
        <w:pStyle w:val="TextBody"/>
        <w:bidi w:val="0"/>
        <w:spacing w:before="120" w:after="0"/>
        <w:jc w:val="left"/>
        <w:rPr>
          <w:rFonts w:ascii="Times New Roman" w:hAnsi="Times New Roman"/>
          <w:sz w:val="20"/>
        </w:rPr>
      </w:pPr>
      <w:r>
        <w:rPr>
          <w:rFonts w:ascii="Times New Roman" w:hAnsi="Times New Roman"/>
          <w:sz w:val="20"/>
        </w:rPr>
        <w:t xml:space="preserve">Verra Mobility Corporation (NASDAQ: VRRM) is a leading provider of smart mobility technology solutions that make transportation safer, smarter and more connected. The company sits at the center of the mobility ecosystem, bringing together vehicles, hardware, software, data and people to enable safe, efficient solutions for customers globally. Verra Mobility’s transportation safety systems and parking management solutions protect lives, improve urban and motorway mobility and support healthier communities. The company also solves complex payment, utilization and compliance challenges for fleet owners and rental car companies. Headquartered in Arizona, Verra Mobility operates in North America, Europe, Asia and Australia. For more information, please visit </w:t>
      </w:r>
      <w:r>
        <w:rPr>
          <w:rFonts w:ascii="Times New Roman" w:hAnsi="Times New Roman"/>
          <w:sz w:val="20"/>
          <w:u w:val="single"/>
        </w:rPr>
        <w:t>www.verramobility.com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press release contains forward-looking statements which address our expected future business and performance, and may contain words such as “goal,” “target,” “future,” “estimate,” “expect,” “anticipate,” “intend,” “plan,” “believe,” “seek,” “project,” “may,” “should,” “will” or similar expressions. Forward-looking statements include statements regarding our technology, our ability to drive the business forward to meet the evolving smart mobility needs of the communities we serve and drive shareholder value, our ability to build on our strengths and accelerate our impact and create value for all stakeholders, any other statements about our management’s future expectations, beliefs, goals, plans or prospects, and all statements other than historical facts. Forward-looking statements involve risks and uncertainties, and a number of factors could cause actual results to differ materially from those currently anticipated. These factors include, but are not limited to, the impact of negative industry and macroeconomic conditions, including inflation and higher interest rates, the impact of government actions and regulations, such as tariffs, trade protection measures, and military conflicts, on our customers or Verra Mobility; customer concentration in our Commercial Services and Government Solutions segments, including risks impacting these segments such as travel demand and legislation, and the risk of losing a customer; risks related to our contract with NYCDOT, which comprises a material portion of our revenue, including the timing of payments; risks associated with fluctuations in fleet volume under our arrangements with our significant Commercial Services customers; risks associated with the renewal of Commercial Services customer agreements or termination of any such contracts; risks related to the contractual renewal discussions with our third significant Commercial Services customer; risks and uncertainties related to our government contracts, including legislative changes, termination rights, delays in payments, audits, and investigations; decreases in the prevalence or political acceptance of, or an increase in governmental restrictions regarding, automated and other similar methods of photo enforcement, parking solutions, or the use of tolling; our ability to successfully implement our acquisition strategy or integrate acquisitions; failures in or breaches of our networks or systems, including as a result of cyber-attacks or other incidents; risks and uncertainties related to our international operations and our ability to develop and successfully market new products and technologies into new markets; our failure to acquire necessary intellectual property or adequately protect our intellectual property; our ability to manage our substantial level of indebtedness; our ability to maintain effective internal controls over financial reporting; risks related to our goodwill and intangible assets, which have been subject to impairment and may be subject to further impairment in the future; our ability to properly perform under our contracts and otherwise satisfy our customers; risks associated with the use of artificial intelligence (“</w:t>
      </w:r>
      <w:r>
        <w:rPr>
          <w:rFonts w:ascii="Times New Roman" w:hAnsi="Times New Roman"/>
          <w:b/>
          <w:i/>
          <w:sz w:val="20"/>
        </w:rPr>
        <w:t>AI</w:t>
      </w:r>
      <w:r>
        <w:rPr>
          <w:rFonts w:ascii="Times New Roman" w:hAnsi="Times New Roman"/>
          <w:sz w:val="20"/>
        </w:rPr>
        <w:t xml:space="preserve">”) and related tools and our ability to achieve expected benefits from AI; our ability to incorporate AI into our business and transform our data into valuable insights, deliver more intelligent software and hardware, improve our efficiency of our operations and create a new generation of AI-enabled transportation solutions that strengthens customer outcomes, improves roadway safety and increases the long-term value of our technology platform; decreased interest in outsourcing from our customers; our ability to keep up with technological developments and changing customer preferences; our ability to compete in a highly competitive and rapidly evolving market; risks and uncertainties related to our share repurchase program; risks and uncertainties related to litigation, including pending securities litigation, and other disputes and regulatory investigations; our reliance on specialized third-party providers; and other risks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uncertainties indicated from time to time in documents we filed or will file with the Securities and Exchange Commission (the “SEC”). In addition, no assurance can be given that any plan, initiative, projection, goal, commitment, expectation, or prospect set forth in this press release can or will be achieved. This press release should be read in conjunction with the information included in our other press releases, reports, and other filings with the SEC. Additional information regarding the factors that may cause actual results to differ materially from these forward-looking statements is available in our SEC filings, including our 2025 Annual Report on Form 10-K and first and second quarter 2026 Quarterly Reports on Form 10-Q. These forward-looking statements speak only as of the date of this press release and except to the extent required by applicable law, we do not assume any obligation to update or revise any forward-looking statement, whether as a result of new information, future events and developments, or otherwise. Understanding the information contained in these filings is important in order to fully understand our reported financial results and our business outlook for future periods. </w:t>
      </w:r>
    </w:p>
    <w:p>
      <w:pPr>
        <w:pStyle w:val="TextBody"/>
        <w:bidi w:val="0"/>
        <w:spacing w:before="24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Valerie Schneider   </w:t>
      </w:r>
    </w:p>
    <w:p>
      <w:pPr>
        <w:pStyle w:val="TextBody"/>
        <w:bidi w:val="0"/>
        <w:spacing w:before="0" w:after="0"/>
        <w:jc w:val="left"/>
        <w:rPr>
          <w:rFonts w:ascii="Times New Roman" w:hAnsi="Times New Roman"/>
          <w:sz w:val="20"/>
        </w:rPr>
      </w:pPr>
      <w:r>
        <w:rPr>
          <w:rFonts w:ascii="Times New Roman" w:hAnsi="Times New Roman"/>
          <w:sz w:val="20"/>
          <w:u w:val="single"/>
        </w:rPr>
        <w:t>valerie.schneider@verramobility.com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Mark Zindler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mark.zindler@verramobility.com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24089</Words>
  <Characters>131777</Characters>
  <CharactersWithSpaces>155895</CharactersWithSpaces>
  <Paragraphs>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