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2" w:lineRule="exact"/>
        <w:rPr>
          <w:sz w:val="24"/>
          <w:szCs w:val="24"/>
          <w:color w:val="auto"/>
        </w:rPr>
      </w:pPr>
    </w:p>
    <w:p>
      <w:pPr>
        <w:jc w:val="center"/>
        <w:spacing w:after="0" w:line="368" w:lineRule="exact"/>
        <w:rPr>
          <w:sz w:val="20"/>
          <w:szCs w:val="20"/>
          <w:color w:val="auto"/>
        </w:rPr>
      </w:pPr>
      <w:r>
        <w:rPr>
          <w:rFonts w:ascii="Times New Roman" w:cs="Times New Roman" w:eastAsia="Times New Roman" w:hAnsi="Times New Roman"/>
          <w:sz w:val="32"/>
          <w:szCs w:val="32"/>
          <w:b w:val="1"/>
          <w:bCs w:val="1"/>
          <w:color w:val="auto"/>
        </w:rPr>
        <w:t>FORM 10</w:t>
      </w:r>
      <w:r>
        <w:rPr>
          <w:rFonts w:ascii="MS PGothic" w:cs="MS PGothic" w:eastAsia="MS PGothic" w:hAnsi="MS PGothic"/>
          <w:sz w:val="32"/>
          <w:szCs w:val="32"/>
          <w:color w:val="auto"/>
          <w:strike w:val="1"/>
        </w:rPr>
        <w:t>‑</w:t>
      </w:r>
      <w:r>
        <w:rPr>
          <w:rFonts w:ascii="Times New Roman" w:cs="Times New Roman" w:eastAsia="Times New Roman" w:hAnsi="Times New Roman"/>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-208280</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125730</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00" w:right="1700" w:hanging="3892"/>
        <w:spacing w:after="0" w:line="266" w:lineRule="auto"/>
        <w:tabs>
          <w:tab w:leader="none" w:pos="56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260" w:right="1700" w:hanging="3252"/>
        <w:spacing w:after="0" w:line="314" w:lineRule="auto"/>
        <w:tabs>
          <w:tab w:leader="none" w:pos="56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w:t>
      </w:r>
    </w:p>
    <w:p>
      <w:pPr>
        <w:ind w:left="4280"/>
        <w:spacing w:after="0" w:line="207" w:lineRule="exact"/>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37979</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VERRA MOBILITY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-306705</wp:posOffset>
            </wp:positionV>
            <wp:extent cx="1551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41"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6160" w:type="dxa"/>
            <w:vAlign w:val="bottom"/>
            <w:gridSpan w:val="3"/>
          </w:tcPr>
          <w:p>
            <w:pPr>
              <w:jc w:val="center"/>
              <w:ind w:left="182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160" w:type="dxa"/>
            <w:vAlign w:val="bottom"/>
            <w:gridSpan w:val="3"/>
          </w:tcPr>
          <w:p>
            <w:pPr>
              <w:spacing w:after="0"/>
              <w:rPr>
                <w:sz w:val="8"/>
                <w:szCs w:val="8"/>
                <w:color w:val="auto"/>
              </w:rPr>
            </w:pPr>
          </w:p>
        </w:tc>
        <w:tc>
          <w:tcPr>
            <w:tcW w:w="1280" w:type="dxa"/>
            <w:vAlign w:val="bottom"/>
            <w:vMerge w:val="restart"/>
          </w:tcPr>
          <w:p>
            <w:pPr>
              <w:jc w:val="center"/>
              <w:ind w:left="144"/>
              <w:spacing w:after="0" w:line="184" w:lineRule="exact"/>
              <w:rPr>
                <w:sz w:val="20"/>
                <w:szCs w:val="20"/>
                <w:color w:val="auto"/>
              </w:rPr>
            </w:pPr>
            <w:r>
              <w:rPr>
                <w:rFonts w:ascii="Times New Roman" w:cs="Times New Roman" w:eastAsia="Times New Roman" w:hAnsi="Times New Roman"/>
                <w:sz w:val="16"/>
                <w:szCs w:val="16"/>
                <w:b w:val="1"/>
                <w:bCs w:val="1"/>
                <w:color w:val="auto"/>
              </w:rPr>
              <w:t>81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3563824</w:t>
            </w:r>
          </w:p>
        </w:tc>
        <w:tc>
          <w:tcPr>
            <w:tcW w:w="0" w:type="dxa"/>
            <w:vAlign w:val="bottom"/>
          </w:tcPr>
          <w:p>
            <w:pPr>
              <w:spacing w:after="0"/>
              <w:rPr>
                <w:sz w:val="1"/>
                <w:szCs w:val="1"/>
                <w:color w:val="auto"/>
              </w:rPr>
            </w:pPr>
          </w:p>
        </w:tc>
      </w:tr>
      <w:tr>
        <w:trPr>
          <w:trHeight w:val="212"/>
        </w:trPr>
        <w:tc>
          <w:tcPr>
            <w:tcW w:w="2820" w:type="dxa"/>
            <w:vAlign w:val="bottom"/>
          </w:tcPr>
          <w:p>
            <w:pPr>
              <w:jc w:val="center"/>
              <w:ind w:right="44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40" w:type="dxa"/>
            <w:vAlign w:val="bottom"/>
            <w:tcBorders>
              <w:top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160" w:type="dxa"/>
            <w:vAlign w:val="bottom"/>
            <w:gridSpan w:val="3"/>
          </w:tcPr>
          <w:p>
            <w:pPr>
              <w:jc w:val="center"/>
              <w:ind w:right="3860"/>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State of</w:t>
            </w:r>
          </w:p>
        </w:tc>
        <w:tc>
          <w:tcPr>
            <w:tcW w:w="1280" w:type="dxa"/>
            <w:vAlign w:val="bottom"/>
          </w:tcPr>
          <w:p>
            <w:pPr>
              <w:jc w:val="center"/>
              <w:ind w:left="164"/>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616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i w:val="1"/>
                <w:iCs w:val="1"/>
                <w:color w:val="auto"/>
              </w:rPr>
              <w:t>incorporation</w:t>
            </w:r>
            <w:r>
              <w:rPr>
                <w:rFonts w:ascii="Times New Roman" w:cs="Times New Roman" w:eastAsia="Times New Roman" w:hAnsi="Times New Roman"/>
                <w:sz w:val="14"/>
                <w:szCs w:val="14"/>
                <w:color w:val="auto"/>
              </w:rPr>
              <w:t>)</w:t>
            </w:r>
          </w:p>
        </w:tc>
        <w:tc>
          <w:tcPr>
            <w:tcW w:w="1280" w:type="dxa"/>
            <w:vAlign w:val="bottom"/>
          </w:tcPr>
          <w:p>
            <w:pPr>
              <w:jc w:val="center"/>
              <w:ind w:left="144"/>
              <w:spacing w:after="0"/>
              <w:rPr>
                <w:sz w:val="20"/>
                <w:szCs w:val="20"/>
                <w:color w:val="auto"/>
              </w:rPr>
            </w:pPr>
            <w:r>
              <w:rPr>
                <w:rFonts w:ascii="Times New Roman" w:cs="Times New Roman" w:eastAsia="Times New Roman" w:hAnsi="Times New Roman"/>
                <w:sz w:val="14"/>
                <w:szCs w:val="14"/>
                <w:i w:val="1"/>
                <w:iCs w:val="1"/>
                <w:color w:val="auto"/>
              </w:rPr>
              <w:t>Identification No.</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6"/>
        </w:trPr>
        <w:tc>
          <w:tcPr>
            <w:tcW w:w="6160" w:type="dxa"/>
            <w:vAlign w:val="bottom"/>
            <w:gridSpan w:val="3"/>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1150 North Alma School Road</w:t>
            </w:r>
          </w:p>
        </w:tc>
        <w:tc>
          <w:tcPr>
            <w:tcW w:w="128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85201</w:t>
            </w:r>
          </w:p>
        </w:tc>
        <w:tc>
          <w:tcPr>
            <w:tcW w:w="0" w:type="dxa"/>
            <w:vAlign w:val="bottom"/>
          </w:tcPr>
          <w:p>
            <w:pPr>
              <w:spacing w:after="0"/>
              <w:rPr>
                <w:sz w:val="1"/>
                <w:szCs w:val="1"/>
                <w:color w:val="auto"/>
              </w:rPr>
            </w:pPr>
          </w:p>
        </w:tc>
      </w:tr>
      <w:tr>
        <w:trPr>
          <w:trHeight w:val="211"/>
        </w:trPr>
        <w:tc>
          <w:tcPr>
            <w:tcW w:w="6160" w:type="dxa"/>
            <w:vAlign w:val="bottom"/>
            <w:gridSpan w:val="3"/>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Mesa, Arizona</w:t>
            </w:r>
          </w:p>
        </w:tc>
        <w:tc>
          <w:tcPr>
            <w:tcW w:w="1280" w:type="dxa"/>
            <w:vAlign w:val="bottom"/>
          </w:tcPr>
          <w:p>
            <w:pPr>
              <w:jc w:val="center"/>
              <w:ind w:left="144"/>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Zip Code</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160" w:type="dxa"/>
            <w:vAlign w:val="bottom"/>
            <w:gridSpan w:val="3"/>
          </w:tcPr>
          <w:p>
            <w:pPr>
              <w:jc w:val="center"/>
              <w:ind w:right="3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Address of Principal Executive Offices</w:t>
            </w:r>
            <w:r>
              <w:rPr>
                <w:rFonts w:ascii="Times New Roman" w:cs="Times New Roman" w:eastAsia="Times New Roman" w:hAnsi="Times New Roman"/>
                <w:sz w:val="14"/>
                <w:szCs w:val="14"/>
                <w:color w:val="auto"/>
              </w:rPr>
              <w:t>)</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260" w:type="dxa"/>
            <w:vAlign w:val="bottom"/>
            <w:gridSpan w:val="2"/>
          </w:tcPr>
          <w:p>
            <w:pPr>
              <w:jc w:val="center"/>
              <w:ind w:left="2721"/>
              <w:spacing w:after="0"/>
              <w:rPr>
                <w:sz w:val="20"/>
                <w:szCs w:val="20"/>
                <w:color w:val="auto"/>
              </w:rPr>
            </w:pPr>
            <w:r>
              <w:rPr>
                <w:rFonts w:ascii="Times New Roman" w:cs="Times New Roman" w:eastAsia="Times New Roman" w:hAnsi="Times New Roman"/>
                <w:sz w:val="16"/>
                <w:szCs w:val="16"/>
                <w:b w:val="1"/>
                <w:bCs w:val="1"/>
                <w:color w:val="auto"/>
              </w:rPr>
              <w:t>(480) 443-7000</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60" w:type="dxa"/>
            <w:vAlign w:val="bottom"/>
            <w:gridSpan w:val="3"/>
          </w:tcPr>
          <w:p>
            <w:pPr>
              <w:jc w:val="center"/>
              <w:ind w:left="1821"/>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Registrant’s telephone number, including area code</w:t>
            </w:r>
            <w:r>
              <w:rPr>
                <w:rFonts w:ascii="Times New Roman" w:cs="Times New Roman" w:eastAsia="Times New Roman" w:hAnsi="Times New Roman"/>
                <w:sz w:val="18"/>
                <w:szCs w:val="18"/>
                <w:color w:val="auto"/>
                <w:w w:val="98"/>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440" w:type="dxa"/>
            <w:vAlign w:val="bottom"/>
          </w:tcPr>
          <w:p>
            <w:pPr>
              <w:ind w:left="332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440" w:type="dxa"/>
            <w:vAlign w:val="bottom"/>
          </w:tcPr>
          <w:p>
            <w:pPr>
              <w:ind w:left="3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440" w:type="dxa"/>
            <w:vAlign w:val="bottom"/>
          </w:tcPr>
          <w:p>
            <w:pPr>
              <w:ind w:left="33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r>
        <w:rPr>
          <w:rFonts w:ascii="MS PGothic" w:cs="MS PGothic" w:eastAsia="MS PGothic" w:hAnsi="MS PGothic"/>
          <w:sz w:val="16"/>
          <w:szCs w:val="16"/>
          <w:color w:val="auto"/>
        </w:rPr>
        <w: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(Title of each class)</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tc>
        <w:tc>
          <w:tcPr>
            <w:tcW w:w="0" w:type="dxa"/>
            <w:vAlign w:val="bottom"/>
          </w:tcPr>
          <w:p>
            <w:pPr>
              <w:spacing w:after="0"/>
              <w:rPr>
                <w:sz w:val="1"/>
                <w:szCs w:val="1"/>
                <w:color w:val="auto"/>
              </w:rPr>
            </w:pPr>
          </w:p>
        </w:tc>
      </w:tr>
      <w:tr>
        <w:trPr>
          <w:trHeight w:val="24"/>
        </w:trPr>
        <w:tc>
          <w:tcPr>
            <w:tcW w:w="4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160" w:type="dxa"/>
            <w:vAlign w:val="bottom"/>
            <w:vMerge w:val="continue"/>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VRRM</w:t>
            </w:r>
          </w:p>
        </w:tc>
        <w:tc>
          <w:tcPr>
            <w:tcW w:w="160" w:type="dxa"/>
            <w:vAlign w:val="bottom"/>
            <w:vMerge w:val="continue"/>
          </w:tcPr>
          <w:p>
            <w:pPr>
              <w:spacing w:after="0"/>
              <w:rPr>
                <w:sz w:val="17"/>
                <w:szCs w:val="17"/>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Capital Market</w:t>
            </w:r>
          </w:p>
        </w:tc>
        <w:tc>
          <w:tcPr>
            <w:tcW w:w="0" w:type="dxa"/>
            <w:vAlign w:val="bottom"/>
          </w:tcPr>
          <w:p>
            <w:pPr>
              <w:spacing w:after="0"/>
              <w:rPr>
                <w:sz w:val="1"/>
                <w:szCs w:val="1"/>
                <w:color w:val="auto"/>
              </w:rPr>
            </w:pPr>
          </w:p>
        </w:tc>
      </w:tr>
    </w:tbl>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03, 2019, there were 158,556,642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471170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0" w:type="dxa"/>
            <w:vAlign w:val="bottom"/>
            <w:gridSpan w:val="8"/>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200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6"/>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0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20" w:type="dxa"/>
            <w:vAlign w:val="bottom"/>
            <w:gridSpan w:val="9"/>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2019</w:t>
            </w:r>
          </w:p>
        </w:tc>
        <w:tc>
          <w:tcPr>
            <w:tcW w:w="20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20" w:type="dxa"/>
            <w:vAlign w:val="bottom"/>
            <w:gridSpan w:val="7"/>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00" w:type="dxa"/>
            <w:vAlign w:val="bottom"/>
          </w:tcPr>
          <w:p>
            <w:pPr>
              <w:spacing w:after="0"/>
              <w:rPr>
                <w:sz w:val="24"/>
                <w:szCs w:val="24"/>
                <w:color w:val="auto"/>
              </w:rPr>
            </w:pPr>
          </w:p>
        </w:tc>
      </w:tr>
      <w:tr>
        <w:trPr>
          <w:trHeight w:val="419"/>
        </w:trPr>
        <w:tc>
          <w:tcPr>
            <w:tcW w:w="9440" w:type="dxa"/>
            <w:vAlign w:val="bottom"/>
            <w:gridSpan w:val="2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I—FINANCIAL INFORMATION</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23"/>
        </w:trPr>
        <w:tc>
          <w:tcPr>
            <w:tcW w:w="340" w:type="dxa"/>
            <w:vAlign w:val="bottom"/>
            <w:tcBorders>
              <w:top w:val="single" w:sz="8" w:color="0000EE"/>
            </w:tcBorders>
          </w:tcPr>
          <w:p>
            <w:pPr>
              <w:spacing w:after="0"/>
              <w:rPr>
                <w:sz w:val="19"/>
                <w:szCs w:val="19"/>
                <w:color w:val="auto"/>
              </w:rPr>
            </w:pPr>
          </w:p>
        </w:tc>
        <w:tc>
          <w:tcPr>
            <w:tcW w:w="282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r>
              <w:rPr>
                <w:rFonts w:ascii="Times New Roman" w:cs="Times New Roman" w:eastAsia="Times New Roman" w:hAnsi="Times New Roman"/>
                <w:sz w:val="18"/>
                <w:szCs w:val="18"/>
                <w:color w:val="000000"/>
              </w:rPr>
              <w:t>.</w:t>
            </w:r>
          </w:p>
        </w:tc>
        <w:tc>
          <w:tcPr>
            <w:tcW w:w="6280" w:type="dxa"/>
            <w:vAlign w:val="bottom"/>
            <w:gridSpan w:val="10"/>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54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and Comprehensive Income (Loss)</w:t>
              </w:r>
            </w:hyperlink>
          </w:p>
        </w:tc>
        <w:tc>
          <w:tcPr>
            <w:tcW w:w="2300" w:type="dxa"/>
            <w:vAlign w:val="bottom"/>
            <w:gridSpan w:val="2"/>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54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w:t>
              </w:r>
            </w:hyperlink>
          </w:p>
        </w:tc>
        <w:tc>
          <w:tcPr>
            <w:tcW w:w="4140" w:type="dxa"/>
            <w:vAlign w:val="bottom"/>
            <w:gridSpan w:val="3"/>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540" w:type="dxa"/>
            <w:vAlign w:val="bottom"/>
            <w:gridSpan w:val="20"/>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340" w:type="dxa"/>
            <w:vAlign w:val="bottom"/>
          </w:tcPr>
          <w:p>
            <w:pPr>
              <w:spacing w:after="0"/>
              <w:rPr>
                <w:sz w:val="19"/>
                <w:szCs w:val="19"/>
                <w:color w:val="auto"/>
              </w:rPr>
            </w:pPr>
          </w:p>
        </w:tc>
        <w:tc>
          <w:tcPr>
            <w:tcW w:w="492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3. Quantitative and Qualitative Disclosures About Market Risk</w:t>
              </w:r>
            </w:hyperlink>
          </w:p>
        </w:tc>
        <w:tc>
          <w:tcPr>
            <w:tcW w:w="2080" w:type="dxa"/>
            <w:vAlign w:val="bottom"/>
            <w:tcBorders>
              <w:top w:val="single" w:sz="8" w:color="0000EE"/>
            </w:tcBorders>
            <w:gridSpan w:val="3"/>
          </w:tcPr>
          <w:p>
            <w:pPr>
              <w:spacing w:after="0"/>
              <w:rPr>
                <w:sz w:val="19"/>
                <w:szCs w:val="19"/>
                <w:color w:val="auto"/>
              </w:rPr>
            </w:pPr>
          </w:p>
        </w:tc>
        <w:tc>
          <w:tcPr>
            <w:tcW w:w="2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340" w:type="dxa"/>
            <w:vAlign w:val="bottom"/>
          </w:tcPr>
          <w:p>
            <w:pPr>
              <w:spacing w:after="0"/>
              <w:rPr>
                <w:sz w:val="19"/>
                <w:szCs w:val="19"/>
                <w:color w:val="auto"/>
              </w:rPr>
            </w:pPr>
          </w:p>
        </w:tc>
        <w:tc>
          <w:tcPr>
            <w:tcW w:w="23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4. Controls and Procedures</w:t>
              </w:r>
            </w:hyperlink>
          </w:p>
        </w:tc>
        <w:tc>
          <w:tcPr>
            <w:tcW w:w="6760" w:type="dxa"/>
            <w:vAlign w:val="bottom"/>
            <w:gridSpan w:val="12"/>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9440" w:type="dxa"/>
            <w:vAlign w:val="bottom"/>
            <w:gridSpan w:val="22"/>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PART II—OTHER INFORMATION</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23"/>
        </w:trPr>
        <w:tc>
          <w:tcPr>
            <w:tcW w:w="34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1. Legal Proceedings</w:t>
              </w:r>
            </w:hyperlink>
          </w:p>
        </w:tc>
        <w:tc>
          <w:tcPr>
            <w:tcW w:w="6580" w:type="dxa"/>
            <w:vAlign w:val="bottom"/>
            <w:gridSpan w:val="11"/>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340" w:type="dxa"/>
            <w:vAlign w:val="bottom"/>
          </w:tcPr>
          <w:p>
            <w:pPr>
              <w:spacing w:after="0"/>
              <w:rPr>
                <w:sz w:val="19"/>
                <w:szCs w:val="19"/>
                <w:color w:val="auto"/>
              </w:rPr>
            </w:pPr>
          </w:p>
        </w:tc>
        <w:tc>
          <w:tcPr>
            <w:tcW w:w="18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1A. Risk Factors</w:t>
              </w:r>
            </w:hyperlink>
          </w:p>
        </w:tc>
        <w:tc>
          <w:tcPr>
            <w:tcW w:w="7220" w:type="dxa"/>
            <w:vAlign w:val="bottom"/>
            <w:gridSpan w:val="15"/>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4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2. Unregistered Sales of Equity Securities and Use of Proceeds</w:t>
              </w:r>
            </w:hyperlink>
          </w:p>
        </w:tc>
        <w:tc>
          <w:tcPr>
            <w:tcW w:w="4200" w:type="dxa"/>
            <w:vAlign w:val="bottom"/>
            <w:gridSpan w:val="5"/>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340" w:type="dxa"/>
            <w:vAlign w:val="bottom"/>
          </w:tcPr>
          <w:p>
            <w:pPr>
              <w:spacing w:after="0"/>
              <w:rPr>
                <w:sz w:val="19"/>
                <w:szCs w:val="19"/>
                <w:color w:val="auto"/>
              </w:rPr>
            </w:pPr>
          </w:p>
        </w:tc>
        <w:tc>
          <w:tcPr>
            <w:tcW w:w="2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3. Defaults Upon Senior Securities</w:t>
              </w:r>
            </w:hyperlink>
          </w:p>
        </w:tc>
        <w:tc>
          <w:tcPr>
            <w:tcW w:w="6220" w:type="dxa"/>
            <w:vAlign w:val="bottom"/>
            <w:gridSpan w:val="9"/>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340" w:type="dxa"/>
            <w:vAlign w:val="bottom"/>
          </w:tcPr>
          <w:p>
            <w:pPr>
              <w:spacing w:after="0"/>
              <w:rPr>
                <w:sz w:val="19"/>
                <w:szCs w:val="19"/>
                <w:color w:val="auto"/>
              </w:rPr>
            </w:pPr>
          </w:p>
        </w:tc>
        <w:tc>
          <w:tcPr>
            <w:tcW w:w="23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Item 4. Mine Safety Disclosures</w:t>
              </w:r>
            </w:hyperlink>
          </w:p>
        </w:tc>
        <w:tc>
          <w:tcPr>
            <w:tcW w:w="6780" w:type="dxa"/>
            <w:vAlign w:val="bottom"/>
            <w:gridSpan w:val="13"/>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340" w:type="dxa"/>
            <w:vAlign w:val="bottom"/>
          </w:tcPr>
          <w:p>
            <w:pPr>
              <w:spacing w:after="0"/>
              <w:rPr>
                <w:sz w:val="19"/>
                <w:szCs w:val="19"/>
                <w:color w:val="auto"/>
              </w:rPr>
            </w:pP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5. Other Information</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340" w:type="dxa"/>
            <w:vAlign w:val="bottom"/>
          </w:tcPr>
          <w:p>
            <w:pPr>
              <w:spacing w:after="0"/>
              <w:rPr>
                <w:sz w:val="19"/>
                <w:szCs w:val="19"/>
                <w:color w:val="auto"/>
              </w:rPr>
            </w:pPr>
          </w:p>
        </w:tc>
        <w:tc>
          <w:tcPr>
            <w:tcW w:w="186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6. Exhibits</w:t>
              </w:r>
            </w:hyperlink>
          </w:p>
        </w:tc>
        <w:tc>
          <w:tcPr>
            <w:tcW w:w="7240" w:type="dxa"/>
            <w:vAlign w:val="bottom"/>
            <w:gridSpan w:val="16"/>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960" w:type="dxa"/>
            <w:vAlign w:val="bottom"/>
            <w:gridSpan w:val="1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9440" w:type="dxa"/>
            <w:vAlign w:val="bottom"/>
            <w:gridSpan w:val="22"/>
          </w:tcPr>
          <w:p>
            <w:pPr>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SIGNATURES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723"/>
        </w:trPr>
        <w:tc>
          <w:tcPr>
            <w:tcW w:w="1160" w:type="dxa"/>
            <w:vAlign w:val="bottom"/>
            <w:tcBorders>
              <w:top w:val="single" w:sz="8" w:color="0000EE"/>
            </w:tcBorders>
            <w:gridSpan w:val="3"/>
          </w:tcPr>
          <w:p>
            <w:pPr>
              <w:spacing w:after="0"/>
              <w:rPr>
                <w:sz w:val="24"/>
                <w:szCs w:val="24"/>
                <w:color w:val="auto"/>
              </w:rPr>
            </w:pPr>
          </w:p>
        </w:tc>
        <w:tc>
          <w:tcPr>
            <w:tcW w:w="5980" w:type="dxa"/>
            <w:vAlign w:val="bottom"/>
            <w:gridSpan w:val="17"/>
          </w:tcPr>
          <w:p>
            <w:pPr>
              <w:jc w:val="center"/>
              <w:ind w:left="30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jc w:val="both"/>
        <w:ind w:firstLine="81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our Annual Report on Form 10-K/A for the year ended December 31, 2018, under Part I, Item 1A, “Risk Factors.”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72"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43"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Quarterly Report on Form 10-Q, the terms “Verra Mobility,” the “Company,” “we,” “us,” and “our” refer to Verra Mobility Corporation, a Delaware corporation, and its subsidiaries taken as a whole, unless otherwise noted.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data)</w:t>
            </w: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642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71"/>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571"/>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408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91,484</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Unbilled receivables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1,365,612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1,344,783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52,239</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and deferred financing costs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Payable related to tax receivable agreement</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contingent consideration</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(110,743)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(113,306)</w:t>
            </w:r>
          </w:p>
        </w:tc>
        <w:tc>
          <w:tcPr>
            <w:tcW w:w="0" w:type="dxa"/>
            <w:vAlign w:val="bottom"/>
          </w:tcPr>
          <w:p>
            <w:pPr>
              <w:spacing w:after="0"/>
              <w:rPr>
                <w:sz w:val="1"/>
                <w:szCs w:val="1"/>
                <w:color w:val="auto"/>
              </w:rPr>
            </w:pPr>
          </w:p>
        </w:tc>
      </w:tr>
      <w:tr>
        <w:trPr>
          <w:trHeight w:val="230"/>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(5,821)</w:t>
            </w: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304,821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47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98,070</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Product sales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Cost of service revenue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product sales</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amortization, impairment and</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Borders>
              <w:bottom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18,544</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4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expense</w:t>
            </w: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040" w:type="dxa"/>
            <w:vAlign w:val="bottom"/>
            <w:gridSpan w:val="2"/>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Income (loss) before income tax (benefit)</w:t>
            </w:r>
          </w:p>
        </w:tc>
        <w:tc>
          <w:tcPr>
            <w:tcW w:w="4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w:t>
            </w:r>
          </w:p>
        </w:tc>
        <w:tc>
          <w:tcPr>
            <w:tcW w:w="4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(28,768)</w:t>
            </w:r>
          </w:p>
        </w:tc>
        <w:tc>
          <w:tcPr>
            <w:tcW w:w="0" w:type="dxa"/>
            <w:vAlign w:val="bottom"/>
          </w:tcPr>
          <w:p>
            <w:pPr>
              <w:spacing w:after="0"/>
              <w:rPr>
                <w:sz w:val="1"/>
                <w:szCs w:val="1"/>
                <w:color w:val="auto"/>
              </w:rPr>
            </w:pPr>
          </w:p>
        </w:tc>
      </w:tr>
      <w:tr>
        <w:trPr>
          <w:trHeight w:val="230"/>
        </w:trPr>
        <w:tc>
          <w:tcPr>
            <w:tcW w:w="7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(6,610)</w:t>
            </w:r>
          </w:p>
        </w:tc>
        <w:tc>
          <w:tcPr>
            <w:tcW w:w="0" w:type="dxa"/>
            <w:vAlign w:val="bottom"/>
          </w:tcPr>
          <w:p>
            <w:pPr>
              <w:spacing w:after="0"/>
              <w:rPr>
                <w:sz w:val="1"/>
                <w:szCs w:val="1"/>
                <w:color w:val="auto"/>
              </w:rPr>
            </w:pPr>
          </w:p>
        </w:tc>
      </w:tr>
      <w:tr>
        <w:trPr>
          <w:trHeight w:val="223"/>
        </w:trPr>
        <w:tc>
          <w:tcPr>
            <w:tcW w:w="70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top w:val="single" w:sz="8" w:color="auto"/>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0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2019</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320" w:type="dxa"/>
            <w:vAlign w:val="bottom"/>
            <w:gridSpan w:val="4"/>
          </w:tcPr>
          <w:p>
            <w:pPr>
              <w:jc w:val="right"/>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8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Contingent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Shareholders'</w:t>
            </w:r>
          </w:p>
        </w:tc>
        <w:tc>
          <w:tcPr>
            <w:tcW w:w="0" w:type="dxa"/>
            <w:vAlign w:val="bottom"/>
          </w:tcPr>
          <w:p>
            <w:pPr>
              <w:spacing w:after="0"/>
              <w:rPr>
                <w:sz w:val="1"/>
                <w:szCs w:val="1"/>
                <w:color w:val="auto"/>
              </w:rPr>
            </w:pPr>
          </w:p>
        </w:tc>
      </w:tr>
      <w:tr>
        <w:trPr>
          <w:trHeight w:val="129"/>
        </w:trPr>
        <w:tc>
          <w:tcPr>
            <w:tcW w:w="308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18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Consideration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8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FF0FC"/>
            </w:tcBorders>
            <w:shd w:val="clear" w:color="auto" w:fill="000000"/>
          </w:tcPr>
          <w:p>
            <w:pPr>
              <w:spacing w:after="0" w:line="20" w:lineRule="exact"/>
              <w:rPr>
                <w:sz w:val="1"/>
                <w:szCs w:val="1"/>
                <w:color w:val="auto"/>
              </w:rPr>
            </w:pPr>
          </w:p>
        </w:tc>
        <w:tc>
          <w:tcPr>
            <w:tcW w:w="230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gridSpan w:val="2"/>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Balance, December 31, 2018</w:t>
            </w:r>
          </w:p>
        </w:tc>
        <w:tc>
          <w:tcPr>
            <w:tcW w:w="9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156,057</w:t>
            </w: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16</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73,150</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348,017</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(113,306)</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(5,821)</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302,056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gridSpan w:val="2"/>
            <w:shd w:val="clear" w:color="auto" w:fill="CFF0FC"/>
          </w:tcPr>
          <w:p>
            <w:pPr>
              <w:ind w:left="240"/>
              <w:spacing w:after="0" w:line="131" w:lineRule="exact"/>
              <w:rPr>
                <w:sz w:val="20"/>
                <w:szCs w:val="20"/>
                <w:color w:val="auto"/>
              </w:rPr>
            </w:pPr>
            <w:r>
              <w:rPr>
                <w:rFonts w:ascii="Times New Roman" w:cs="Times New Roman" w:eastAsia="Times New Roman" w:hAnsi="Times New Roman"/>
                <w:sz w:val="13"/>
                <w:szCs w:val="13"/>
                <w:color w:val="auto"/>
              </w:rPr>
              <w:t>Cumulative effect of adoption of new</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accounting standard</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3"/>
                <w:szCs w:val="13"/>
                <w:color w:val="auto"/>
              </w:rPr>
              <w:t>Adjustment to equity infusion</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from Gores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(6,205)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(6,205)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gridSpan w:val="2"/>
            <w:shd w:val="clear" w:color="auto" w:fill="CFF0FC"/>
          </w:tcPr>
          <w:p>
            <w:pPr>
              <w:ind w:left="240"/>
              <w:spacing w:after="0" w:line="131" w:lineRule="exact"/>
              <w:rPr>
                <w:sz w:val="20"/>
                <w:szCs w:val="20"/>
                <w:color w:val="auto"/>
              </w:rPr>
            </w:pPr>
            <w:r>
              <w:rPr>
                <w:rFonts w:ascii="Times New Roman" w:cs="Times New Roman" w:eastAsia="Times New Roman" w:hAnsi="Times New Roman"/>
                <w:sz w:val="13"/>
                <w:szCs w:val="13"/>
                <w:color w:val="auto"/>
              </w:rPr>
              <w:t>Adjustment to tax receivable</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agreement liability</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gridSpan w:val="3"/>
          </w:tcPr>
          <w:p>
            <w:pPr>
              <w:spacing w:after="0" w:line="143" w:lineRule="exact"/>
              <w:rPr>
                <w:sz w:val="20"/>
                <w:szCs w:val="20"/>
                <w:color w:val="auto"/>
              </w:rPr>
            </w:pPr>
            <w:r>
              <w:rPr>
                <w:rFonts w:ascii="Times New Roman" w:cs="Times New Roman" w:eastAsia="Times New Roman" w:hAnsi="Times New Roman"/>
                <w:sz w:val="13"/>
                <w:szCs w:val="13"/>
                <w:color w:val="auto"/>
              </w:rPr>
              <w:t>Balance, March 31, 2019</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156,057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16</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73,150</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346,895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(110,743)</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(4,497)</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304,821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2018</w:t>
            </w: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08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7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December 31, 2017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60,484</w:t>
            </w:r>
          </w:p>
        </w:tc>
        <w:tc>
          <w:tcPr>
            <w:tcW w:w="26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129,020</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18,238</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Net loss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(22,158)</w:t>
            </w:r>
          </w:p>
        </w:tc>
        <w:tc>
          <w:tcPr>
            <w:tcW w:w="8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(22,158)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gridSpan w:val="2"/>
            <w:shd w:val="clear" w:color="auto" w:fill="CFF0FC"/>
          </w:tcPr>
          <w:p>
            <w:pPr>
              <w:ind w:left="240"/>
              <w:spacing w:after="0" w:line="131" w:lineRule="exact"/>
              <w:rPr>
                <w:sz w:val="20"/>
                <w:szCs w:val="20"/>
                <w:color w:val="auto"/>
              </w:rPr>
            </w:pPr>
            <w:r>
              <w:rPr>
                <w:rFonts w:ascii="Times New Roman" w:cs="Times New Roman" w:eastAsia="Times New Roman" w:hAnsi="Times New Roman"/>
                <w:sz w:val="13"/>
                <w:szCs w:val="13"/>
                <w:color w:val="auto"/>
              </w:rPr>
              <w:t>Stock issued in exchange</w:t>
            </w: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for HTA acquisition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57,270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57,271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Balance, March 31, 2018</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66,535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186,290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(3,920)</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182,377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160" w:type="dxa"/>
            <w:vAlign w:val="bottom"/>
            <w:vMerge w:val="restart"/>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61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1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tcPr>
          <w:p>
            <w:pPr>
              <w:spacing w:after="0"/>
              <w:rPr>
                <w:sz w:val="19"/>
                <w:szCs w:val="19"/>
                <w:color w:val="auto"/>
              </w:rPr>
            </w:pP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(22,158)</w:t>
            </w:r>
          </w:p>
        </w:tc>
        <w:tc>
          <w:tcPr>
            <w:tcW w:w="0" w:type="dxa"/>
            <w:vAlign w:val="bottom"/>
          </w:tcPr>
          <w:p>
            <w:pPr>
              <w:spacing w:after="0"/>
              <w:rPr>
                <w:sz w:val="1"/>
                <w:szCs w:val="1"/>
                <w:color w:val="auto"/>
              </w:rPr>
            </w:pPr>
          </w:p>
        </w:tc>
      </w:tr>
      <w:tr>
        <w:trPr>
          <w:trHeight w:val="211"/>
        </w:trPr>
        <w:tc>
          <w:tcPr>
            <w:tcW w:w="7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activities:</w:t>
            </w:r>
          </w:p>
        </w:tc>
        <w:tc>
          <w:tcPr>
            <w:tcW w:w="7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Accretion expense</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Write-downs of installation and service parts and (gain) loss on disposal of</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Installation and service parts expense</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Bad debt expense</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30"/>
        </w:trPr>
        <w:tc>
          <w:tcPr>
            <w:tcW w:w="7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Unbilled receivables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(4,171)</w:t>
            </w:r>
          </w:p>
        </w:tc>
        <w:tc>
          <w:tcPr>
            <w:tcW w:w="0" w:type="dxa"/>
            <w:vAlign w:val="bottom"/>
          </w:tcPr>
          <w:p>
            <w:pPr>
              <w:spacing w:after="0"/>
              <w:rPr>
                <w:sz w:val="1"/>
                <w:szCs w:val="1"/>
                <w:color w:val="auto"/>
              </w:rPr>
            </w:pPr>
          </w:p>
        </w:tc>
      </w:tr>
      <w:tr>
        <w:trPr>
          <w:trHeight w:val="230"/>
        </w:trPr>
        <w:tc>
          <w:tcPr>
            <w:tcW w:w="7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7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Acquisition of business, net of cash and restricted cash acquired</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(531,741)</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(9,219)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Cash proceeds from the sale of assets and insurance recoveries</w:t>
            </w:r>
          </w:p>
        </w:tc>
        <w:tc>
          <w:tcPr>
            <w:tcW w:w="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Borrowings on revolver</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Repayment on revolver</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(448,375)</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(29,242)</w:t>
            </w:r>
          </w:p>
        </w:tc>
        <w:tc>
          <w:tcPr>
            <w:tcW w:w="0" w:type="dxa"/>
            <w:vAlign w:val="bottom"/>
          </w:tcPr>
          <w:p>
            <w:pPr>
              <w:spacing w:after="0"/>
              <w:rPr>
                <w:sz w:val="1"/>
                <w:szCs w:val="1"/>
                <w:color w:val="auto"/>
              </w:rPr>
            </w:pPr>
          </w:p>
        </w:tc>
      </w:tr>
      <w:tr>
        <w:trPr>
          <w:trHeight w:val="230"/>
        </w:trPr>
        <w:tc>
          <w:tcPr>
            <w:tcW w:w="7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Payment of debt extinguishment costs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(8,187)</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0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paid</w:t>
            </w:r>
          </w:p>
        </w:tc>
        <w:tc>
          <w:tcPr>
            <w:tcW w:w="20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160" w:type="dxa"/>
            <w:vAlign w:val="bottom"/>
          </w:tcPr>
          <w:p>
            <w:pPr>
              <w:spacing w:after="0"/>
              <w:rPr>
                <w:sz w:val="19"/>
                <w:szCs w:val="19"/>
                <w:color w:val="auto"/>
              </w:rPr>
            </w:pPr>
          </w:p>
        </w:tc>
        <w:tc>
          <w:tcPr>
            <w:tcW w:w="11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1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(4,710)</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additions (reductions) to ARO, property and equipment, and other</w:t>
            </w:r>
          </w:p>
        </w:tc>
        <w:tc>
          <w:tcPr>
            <w:tcW w:w="1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 at period end</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20" w:type="dxa"/>
            <w:vAlign w:val="bottom"/>
          </w:tcPr>
          <w:p>
            <w:pPr>
              <w:spacing w:after="0"/>
              <w:rPr>
                <w:sz w:val="20"/>
                <w:szCs w:val="20"/>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contribution received in Parent common stock</w:t>
            </w:r>
          </w:p>
        </w:tc>
        <w:tc>
          <w:tcPr>
            <w:tcW w:w="1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57,270</w:t>
            </w:r>
          </w:p>
        </w:tc>
        <w:tc>
          <w:tcPr>
            <w:tcW w:w="120" w:type="dxa"/>
            <w:vAlign w:val="bottom"/>
            <w:shd w:val="clear" w:color="auto" w:fill="CFF0FC"/>
          </w:tcPr>
          <w:p>
            <w:pPr>
              <w:spacing w:after="0"/>
              <w:rPr>
                <w:sz w:val="19"/>
                <w:szCs w:val="19"/>
                <w:color w:val="auto"/>
              </w:rPr>
            </w:pPr>
          </w:p>
        </w:tc>
      </w:tr>
      <w:tr>
        <w:trPr>
          <w:trHeight w:val="234"/>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Payable to seller in connection with business acquisition</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20" w:type="dxa"/>
            <w:vAlign w:val="bottom"/>
          </w:tcPr>
          <w:p>
            <w:pPr>
              <w:spacing w:after="0"/>
              <w:rPr>
                <w:sz w:val="20"/>
                <w:szCs w:val="20"/>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5"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Description of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3" w:lineRule="exact"/>
        <w:rPr>
          <w:sz w:val="20"/>
          <w:szCs w:val="20"/>
          <w:color w:val="auto"/>
        </w:rPr>
      </w:pPr>
    </w:p>
    <w:p>
      <w:pPr>
        <w:jc w:val="both"/>
        <w:ind w:firstLine="815"/>
        <w:spacing w:after="0" w:line="259" w:lineRule="auto"/>
        <w:rPr>
          <w:sz w:val="20"/>
          <w:szCs w:val="20"/>
          <w:color w:val="auto"/>
        </w:rPr>
      </w:pPr>
      <w:r>
        <w:rPr>
          <w:rFonts w:ascii="Times New Roman" w:cs="Times New Roman" w:eastAsia="Times New Roman" w:hAnsi="Times New Roman"/>
          <w:sz w:val="18"/>
          <w:szCs w:val="18"/>
          <w:color w:val="auto"/>
        </w:rPr>
        <w:t>Verra Mobility Corporation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Verra Mobility</w:t>
      </w:r>
      <w:r>
        <w:rPr>
          <w:rFonts w:ascii="Times New Roman" w:cs="Times New Roman" w:eastAsia="Times New Roman" w:hAnsi="Times New Roman"/>
          <w:sz w:val="18"/>
          <w:szCs w:val="18"/>
          <w:color w:val="auto"/>
        </w:rPr>
        <w:t>”), formerly known as Gores Holdings II, Inc. (“</w:t>
      </w:r>
      <w:r>
        <w:rPr>
          <w:rFonts w:ascii="Times New Roman" w:cs="Times New Roman" w:eastAsia="Times New Roman" w:hAnsi="Times New Roman"/>
          <w:sz w:val="18"/>
          <w:szCs w:val="18"/>
          <w:b w:val="1"/>
          <w:bCs w:val="1"/>
          <w:i w:val="1"/>
          <w:iCs w:val="1"/>
          <w:color w:val="auto"/>
        </w:rPr>
        <w:t>Gores</w:t>
      </w:r>
      <w:r>
        <w:rPr>
          <w:rFonts w:ascii="Times New Roman" w:cs="Times New Roman" w:eastAsia="Times New Roman" w:hAnsi="Times New Roman"/>
          <w:sz w:val="18"/>
          <w:szCs w:val="18"/>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following which its shares began trading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On June 21, 2018, Gores, AM Merger Sub I, Inc., a direct, wholly-owned subsidiary of Gores (“</w:t>
      </w:r>
      <w:r>
        <w:rPr>
          <w:rFonts w:ascii="Times New Roman" w:cs="Times New Roman" w:eastAsia="Times New Roman" w:hAnsi="Times New Roman"/>
          <w:sz w:val="18"/>
          <w:szCs w:val="18"/>
          <w:b w:val="1"/>
          <w:bCs w:val="1"/>
          <w:i w:val="1"/>
          <w:iCs w:val="1"/>
          <w:color w:val="auto"/>
        </w:rPr>
        <w:t>First Merger Sub</w:t>
      </w:r>
      <w:r>
        <w:rPr>
          <w:rFonts w:ascii="Times New Roman" w:cs="Times New Roman" w:eastAsia="Times New Roman" w:hAnsi="Times New Roman"/>
          <w:sz w:val="18"/>
          <w:szCs w:val="18"/>
          <w:color w:val="auto"/>
        </w:rPr>
        <w:t>”), AM Merger Sub II, LLC, a direct, wholly-owned subsidiary of Gores (“</w:t>
      </w:r>
      <w:r>
        <w:rPr>
          <w:rFonts w:ascii="Times New Roman" w:cs="Times New Roman" w:eastAsia="Times New Roman" w:hAnsi="Times New Roman"/>
          <w:sz w:val="18"/>
          <w:szCs w:val="18"/>
          <w:b w:val="1"/>
          <w:bCs w:val="1"/>
          <w:i w:val="1"/>
          <w:iCs w:val="1"/>
          <w:color w:val="auto"/>
        </w:rPr>
        <w:t>Second Merger Sub</w:t>
      </w:r>
      <w:r>
        <w:rPr>
          <w:rFonts w:ascii="Times New Roman" w:cs="Times New Roman" w:eastAsia="Times New Roman" w:hAnsi="Times New Roman"/>
          <w:sz w:val="18"/>
          <w:szCs w:val="18"/>
          <w:color w:val="auto"/>
        </w:rPr>
        <w:t>”), Greenlight Holding II Corporation (“</w:t>
      </w:r>
      <w:r>
        <w:rPr>
          <w:rFonts w:ascii="Times New Roman" w:cs="Times New Roman" w:eastAsia="Times New Roman" w:hAnsi="Times New Roman"/>
          <w:sz w:val="18"/>
          <w:szCs w:val="18"/>
          <w:b w:val="1"/>
          <w:bCs w:val="1"/>
          <w:i w:val="1"/>
          <w:iCs w:val="1"/>
          <w:color w:val="auto"/>
        </w:rPr>
        <w:t>Greenlight</w:t>
      </w:r>
      <w:r>
        <w:rPr>
          <w:rFonts w:ascii="Times New Roman" w:cs="Times New Roman" w:eastAsia="Times New Roman" w:hAnsi="Times New Roman"/>
          <w:sz w:val="18"/>
          <w:szCs w:val="18"/>
          <w:color w:val="auto"/>
        </w:rPr>
        <w:t>”), and PE Greenlight Holdings, LLC entered into an Agreement and Plan of Merger as amended on August 23, 2018 by that certain Amendment No. 1 to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which provided for, among other things, (i) the merger of First Merger Sub with and into Greenlight, with Greenlight continuing as the surviving corporation (the “</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Times New Roman" w:cs="Times New Roman" w:eastAsia="Times New Roman" w:hAnsi="Times New Roman"/>
          <w:sz w:val="18"/>
          <w:szCs w:val="18"/>
          <w:b w:val="1"/>
          <w:bCs w:val="1"/>
          <w:i w:val="1"/>
          <w:iCs w:val="1"/>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and, together with the other transactions contemplated by the Merger Agreement,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on October 17, 2018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Gores changed its name from Gores Holdings II, Inc. to Verra Mobility Corporation, changed its trading symbols on Nasdaq from “GSHT,” and “GSHTW,” to “VRRM” and “VRRMW,” and Second Merger Sub changed its name from AM Merger Sub II, LLC to Verra Mobility Holdings, LLC. As a result of the Business Combination, Verra Mobility Corporation became the owner, directly or indirectly, of all of the equity interests of Verra Mobility Holdings, LLC and its subsidiaries. The Business Combination is treated as a reverse acquisition and recapitalization in which Greenlight is treated as the accounting acquirer (and legal acquiree) and Gores is treated as the accounting acquiree (and legal acquirer). Accordingly, as of the Closing Date, Greenlight’s historical results of operations replaced Gores’ historical results of operations for periods prior to the Business Combination, and the results of operations of both companies are included in the accompanying condensed consolidated financial statements for periods following the Merger (see Note 3).</w:t>
      </w:r>
    </w:p>
    <w:p>
      <w:pPr>
        <w:spacing w:after="0" w:line="145" w:lineRule="exact"/>
        <w:rPr>
          <w:sz w:val="20"/>
          <w:szCs w:val="20"/>
          <w:color w:val="auto"/>
        </w:rPr>
      </w:pPr>
    </w:p>
    <w:p>
      <w:pPr>
        <w:jc w:val="both"/>
        <w:ind w:firstLine="815"/>
        <w:spacing w:after="0" w:line="259" w:lineRule="auto"/>
        <w:rPr>
          <w:sz w:val="20"/>
          <w:szCs w:val="20"/>
          <w:color w:val="auto"/>
        </w:rPr>
      </w:pPr>
      <w:r>
        <w:rPr>
          <w:rFonts w:ascii="Times New Roman" w:cs="Times New Roman" w:eastAsia="Times New Roman" w:hAnsi="Times New Roman"/>
          <w:sz w:val="18"/>
          <w:szCs w:val="18"/>
          <w:color w:val="auto"/>
        </w:rPr>
        <w:t>On May 31, 2017, Greenlight Acquisition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acquired ATS Consolidated Inc. (“</w:t>
      </w:r>
      <w:r>
        <w:rPr>
          <w:rFonts w:ascii="Times New Roman" w:cs="Times New Roman" w:eastAsia="Times New Roman" w:hAnsi="Times New Roman"/>
          <w:sz w:val="18"/>
          <w:szCs w:val="18"/>
          <w:b w:val="1"/>
          <w:bCs w:val="1"/>
          <w:i w:val="1"/>
          <w:iCs w:val="1"/>
          <w:color w:val="auto"/>
        </w:rPr>
        <w:t>ATS</w:t>
      </w:r>
      <w:r>
        <w:rPr>
          <w:rFonts w:ascii="Times New Roman" w:cs="Times New Roman" w:eastAsia="Times New Roman" w:hAnsi="Times New Roman"/>
          <w:sz w:val="18"/>
          <w:szCs w:val="18"/>
          <w:color w:val="auto"/>
        </w:rPr>
        <w:t>”) pursuant to the Agreement and Plan of Merger, dated April 15, 2017 by and among ATS, Greenlight Merger Corporation, a wholly-owned subsidiary of Parent (“</w:t>
      </w:r>
      <w:r>
        <w:rPr>
          <w:rFonts w:ascii="Times New Roman" w:cs="Times New Roman" w:eastAsia="Times New Roman" w:hAnsi="Times New Roman"/>
          <w:sz w:val="18"/>
          <w:szCs w:val="18"/>
          <w:b w:val="1"/>
          <w:bCs w:val="1"/>
          <w:i w:val="1"/>
          <w:iCs w:val="1"/>
          <w:color w:val="auto"/>
        </w:rPr>
        <w:t>ATS Merger Sub</w:t>
      </w:r>
      <w:r>
        <w:rPr>
          <w:rFonts w:ascii="Times New Roman" w:cs="Times New Roman" w:eastAsia="Times New Roman" w:hAnsi="Times New Roman"/>
          <w:sz w:val="18"/>
          <w:szCs w:val="18"/>
          <w:color w:val="auto"/>
        </w:rPr>
        <w:t>”) and Parent whereby ATS Consolidated merged with and into Merger Sub with the former surviving (the “</w:t>
      </w:r>
      <w:r>
        <w:rPr>
          <w:rFonts w:ascii="Times New Roman" w:cs="Times New Roman" w:eastAsia="Times New Roman" w:hAnsi="Times New Roman"/>
          <w:sz w:val="18"/>
          <w:szCs w:val="18"/>
          <w:b w:val="1"/>
          <w:bCs w:val="1"/>
          <w:i w:val="1"/>
          <w:iCs w:val="1"/>
          <w:color w:val="auto"/>
        </w:rPr>
        <w:t>ATS Merger</w:t>
      </w:r>
      <w:r>
        <w:rPr>
          <w:rFonts w:ascii="Times New Roman" w:cs="Times New Roman" w:eastAsia="Times New Roman" w:hAnsi="Times New Roman"/>
          <w:sz w:val="18"/>
          <w:szCs w:val="18"/>
          <w:color w:val="auto"/>
        </w:rPr>
        <w:t>”). Prior to the Business Combination, Parent was ultimately owned by Greenlight, which in turn was owned by certain private equity investment vehicles sponsored by Platinum Equity, LLC (collectively, “</w:t>
      </w:r>
      <w:r>
        <w:rPr>
          <w:rFonts w:ascii="Times New Roman" w:cs="Times New Roman" w:eastAsia="Times New Roman" w:hAnsi="Times New Roman"/>
          <w:sz w:val="18"/>
          <w:szCs w:val="18"/>
          <w:b w:val="1"/>
          <w:bCs w:val="1"/>
          <w:i w:val="1"/>
          <w:iCs w:val="1"/>
          <w:color w:val="auto"/>
        </w:rPr>
        <w:t>Platinum</w:t>
      </w:r>
      <w:r>
        <w:rPr>
          <w:rFonts w:ascii="Times New Roman" w:cs="Times New Roman" w:eastAsia="Times New Roman" w:hAnsi="Times New Roman"/>
          <w:sz w:val="18"/>
          <w:szCs w:val="18"/>
          <w:color w:val="auto"/>
        </w:rPr>
        <w:t>”) (See Note 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200"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Verra Mobility is a technology-enabled services company offering traffic safety and mobility solutions for state and local governments, commercial fleets and rental car companies. The Company has customers located throughout the United States, Canada and Europe. The Company is organized into two operating divisions: Government Solutions and Commercial Services (See Note 14).</w:t>
      </w:r>
    </w:p>
    <w:p>
      <w:pPr>
        <w:spacing w:after="0" w:line="136"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Government Solutions division provides complete, end-to-end red-light, speed, school bus stop arm and bus lane enforcement solutions. The Company’s programs are designed to reduce traffic violations and resulting collisions, injuries, and fatalities. The Company implements and administers traffic safety programs for municipalities and agencies of all sizes.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The Commercial Services division offers toll and violation management solutions for the commercial fleet and rental car industries by partnering with the leading fleet management and rental car companies in North America and Europe. Electronic toll payment services enable fleet drivers and rental car customers to use high-speed cashless toll lanes or cashless all-electronic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w:t>
      </w:r>
    </w:p>
    <w:p>
      <w:pPr>
        <w:spacing w:after="0" w:line="157"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Principles and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87"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interim condensed consolidated financial statements reflect all adjustments, which are normal and recurring in nature, necessary for fair financial statement presentation.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00"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interim condensed consolidated financial statements and accompanying notes. Significant items subject to such estimates and assumptions include the fair values assigned to net assets acquired (including identifiable intangibles) in business combinations, the carrying amounts of long-lived assets and goodwill, the carrying amount of installation and service parts, the allowance for doubtful accounts, valuation allowances on deferred tax assets, asset retirement obligations, contingent consideration and the recognition and measurement of loss contingencies.</w:t>
      </w:r>
    </w:p>
    <w:p>
      <w:pPr>
        <w:spacing w:after="0" w:line="143" w:lineRule="exact"/>
        <w:rPr>
          <w:sz w:val="20"/>
          <w:szCs w:val="20"/>
          <w:color w:val="auto"/>
        </w:rPr>
      </w:pPr>
    </w:p>
    <w:p>
      <w:pPr>
        <w:jc w:val="both"/>
        <w:ind w:right="20" w:firstLine="815"/>
        <w:spacing w:after="0" w:line="282"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Adopted</w:t>
      </w:r>
    </w:p>
    <w:p>
      <w:pPr>
        <w:spacing w:after="0" w:line="183" w:lineRule="exact"/>
        <w:rPr>
          <w:sz w:val="20"/>
          <w:szCs w:val="20"/>
          <w:color w:val="auto"/>
        </w:rPr>
      </w:pPr>
    </w:p>
    <w:p>
      <w:pPr>
        <w:jc w:val="both"/>
        <w:ind w:firstLine="815"/>
        <w:spacing w:after="0" w:line="259" w:lineRule="auto"/>
        <w:rPr>
          <w:sz w:val="20"/>
          <w:szCs w:val="20"/>
          <w:color w:val="auto"/>
        </w:rPr>
      </w:pPr>
      <w:r>
        <w:rPr>
          <w:rFonts w:ascii="Times New Roman" w:cs="Times New Roman" w:eastAsia="Times New Roman" w:hAnsi="Times New Roman"/>
          <w:sz w:val="18"/>
          <w:szCs w:val="18"/>
          <w:color w:val="auto"/>
        </w:rPr>
        <w:t>In November 2016, the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2016-18, </w:t>
      </w:r>
      <w:r>
        <w:rPr>
          <w:rFonts w:ascii="Times New Roman" w:cs="Times New Roman" w:eastAsia="Times New Roman" w:hAnsi="Times New Roman"/>
          <w:sz w:val="18"/>
          <w:szCs w:val="18"/>
          <w:i w:val="1"/>
          <w:iCs w:val="1"/>
          <w:color w:val="auto"/>
        </w:rPr>
        <w:t>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 Flows (Topic 230): Restricted Cash</w:t>
      </w:r>
      <w:r>
        <w:rPr>
          <w:rFonts w:ascii="Times New Roman" w:cs="Times New Roman" w:eastAsia="Times New Roman" w:hAnsi="Times New Roman"/>
          <w:sz w:val="18"/>
          <w:szCs w:val="18"/>
          <w:color w:val="auto"/>
        </w:rPr>
        <w:t>, which requires that restricted cash be included with cash and cash equivalents when reconciling the beginning-of-period and end-of-period total amounts shown on the statement of cash flows. We elected to early adopt the requirements of the new standard in the fourth quarter of 2018 using the retrospective transition method, as required by the new standard. The adoption of this ASU had an immaterial impact to the condensed consolidated statements of cash flows.</w:t>
      </w:r>
    </w:p>
    <w:p>
      <w:pPr>
        <w:spacing w:after="0" w:line="143"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 as of March 31, 2018 that sums to the total of such amounts in the condensed consolidated statements of cash flows for the three months ended March 31,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0" w:type="dxa"/>
            <w:vAlign w:val="bottom"/>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 cash in the condensed consolidated statements of</w:t>
            </w: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flows</w:t>
            </w:r>
          </w:p>
        </w:tc>
        <w:tc>
          <w:tcPr>
            <w:tcW w:w="23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682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94" w:lineRule="exact"/>
        <w:rPr>
          <w:sz w:val="20"/>
          <w:szCs w:val="20"/>
          <w:color w:val="auto"/>
        </w:rPr>
      </w:pPr>
    </w:p>
    <w:p>
      <w:pPr>
        <w:jc w:val="both"/>
        <w:ind w:firstLine="815"/>
        <w:spacing w:after="0" w:line="268" w:lineRule="auto"/>
        <w:rPr>
          <w:sz w:val="20"/>
          <w:szCs w:val="20"/>
          <w:color w:val="auto"/>
        </w:rPr>
      </w:pPr>
      <w:r>
        <w:rPr>
          <w:rFonts w:ascii="Times New Roman" w:cs="Times New Roman" w:eastAsia="Times New Roman" w:hAnsi="Times New Roman"/>
          <w:sz w:val="18"/>
          <w:szCs w:val="18"/>
          <w:color w:val="auto"/>
        </w:rPr>
        <w:t>On January 1, 2019, the Company adopted ASU 2014-09</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Topic 606 (“</w:t>
      </w:r>
      <w:r>
        <w:rPr>
          <w:rFonts w:ascii="Times New Roman" w:cs="Times New Roman" w:eastAsia="Times New Roman" w:hAnsi="Times New Roman"/>
          <w:sz w:val="18"/>
          <w:szCs w:val="18"/>
          <w:b w:val="1"/>
          <w:bCs w:val="1"/>
          <w:i w:val="1"/>
          <w:iCs w:val="1"/>
          <w:color w:val="auto"/>
        </w:rPr>
        <w:t>ASC 606</w:t>
      </w:r>
      <w:r>
        <w:rPr>
          <w:rFonts w:ascii="Times New Roman" w:cs="Times New Roman" w:eastAsia="Times New Roman" w:hAnsi="Times New Roman"/>
          <w:sz w:val="18"/>
          <w:szCs w:val="18"/>
          <w:color w:val="auto"/>
        </w:rPr>
        <w:t xml:space="preserve">”) using the modified retrospective method applied to those contracts that were not completed as of the adoption date. Results for 2019 are presented under ASC 606, while prior periods were not adjusted and are reported under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ASC 605</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10" w:name="page11"/>
    <w:bookmarkEnd w:id="10"/>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The Company has evaluated its current accounting practices to the requirements of ASC 606. This evaluation included an assessment of representative contracts from each of the Company’s revenue streams. The adoption of this standard did not have a material impact on the Company’s financial position, results of operations or cash flows, however, there have been additions and modification to its existing financial disclosures. While the overall revenue, systems and controls were minimally impacted by the new standard, the underlying recognition methodology has changed.</w:t>
      </w:r>
    </w:p>
    <w:p>
      <w:pPr>
        <w:spacing w:after="0" w:line="234"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Under the new standard, the Company now recognizes revenue when the Company satisfies the performance obligation, including, for some of its contracts, the processing of the violation on the customer’s behalf. The primary difference under ASC 606 within the Government Solutions segment is the deferral of revenue related to certain variable price contracts, until citation payment. The Company recorded a $0.3 million reduction to opening retained earnings as of January 1, 2019 for the cumulative impact of adoption related to the recognition of revenue in its Government Solutions segment. There was no cumulative impact of adoption related to the Commercial Services segment.</w:t>
      </w:r>
    </w:p>
    <w:p>
      <w:pPr>
        <w:spacing w:after="0" w:line="143"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The comparative information was not restated and continues to be presented under ASC 605 for those periods. There was no material impact upon adoption related to the costs of obtaining or fulfilling a contract.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is a description of principal activities – separated by reportable segments – from which the Company generates revenue:</w:t>
      </w:r>
    </w:p>
    <w:p>
      <w:pPr>
        <w:spacing w:after="0" w:line="117" w:lineRule="exact"/>
        <w:rPr>
          <w:sz w:val="20"/>
          <w:szCs w:val="20"/>
          <w:color w:val="auto"/>
        </w:rPr>
      </w:pPr>
    </w:p>
    <w:p>
      <w:pPr>
        <w:jc w:val="both"/>
        <w:ind w:left="820" w:hanging="407"/>
        <w:spacing w:after="0" w:line="258"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Solutions Segment: The Government Solutions segment principally generates revenue from providing complete, end-to-end red light, speed, school bus stop arm, and bus lane enforcement solutions. Products, when sold, are typically sold together with the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43"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For bundled packages, the Company accounts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(“SSP”). The Company estimates the SSP of its services based upon observable evidence, market conditions and other relevant inputs.</w:t>
      </w:r>
    </w:p>
    <w:p>
      <w:pPr>
        <w:spacing w:after="0" w:line="72" w:lineRule="exact"/>
        <w:rPr>
          <w:sz w:val="20"/>
          <w:szCs w:val="20"/>
          <w:color w:val="auto"/>
        </w:rPr>
      </w:pPr>
    </w:p>
    <w:p>
      <w:pPr>
        <w:jc w:val="both"/>
        <w:ind w:left="820" w:hanging="407"/>
        <w:spacing w:after="0" w:line="26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(sale of camera and installation) – The Company recognizes revenue when the installation process is completed and the camera is ready to perform the services as expected by the customer. Generally, it occurs at site acceptance or first citation. The Company recognizes revenue for the sale of the camera and installation services at a point in time.</w:t>
      </w:r>
    </w:p>
    <w:p>
      <w:pPr>
        <w:spacing w:after="0" w:line="68" w:lineRule="exact"/>
        <w:rPr>
          <w:rFonts w:ascii="Times New Roman" w:cs="Times New Roman" w:eastAsia="Times New Roman" w:hAnsi="Times New Roman"/>
          <w:sz w:val="18"/>
          <w:szCs w:val="18"/>
          <w:color w:val="auto"/>
        </w:rPr>
      </w:pPr>
    </w:p>
    <w:p>
      <w:pPr>
        <w:jc w:val="both"/>
        <w:ind w:left="820" w:hanging="407"/>
        <w:spacing w:after="0" w:line="254"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The Company determined its performance obligation is to provide a complete end-to-end safety and enforcement solution. Promises include providing a system to capture images, processing images taken by the camera, forwarding eligible images to the local police department and processing payments on behalf of the municipality. The Company determined that certain of the promises to its customers are capable of being distinct, as they may provide some measure of benefit to the customer either on their own or together with other resources that are readily available to the customer. However, the Company determined that the promises to its customers do not meet the criterion of being distinct within the context of its contracts. The Company would not be able to fulfill its promises individually, as its customers could not obtain the intended benefit from the contract without the Company fulfilling all promises. Accordingly, the Company concluded that each contract represents one service offering and is a single performance obligation to our customer. Further, the Company accounts for all the services as a single continuous service. The Company applies the series guidance for those services as the nature of the service is to provide a service for a period of time with distinct time increments. The Company recognizes revenue from services over time, as they are performed.</w:t>
      </w:r>
    </w:p>
    <w:p>
      <w:pPr>
        <w:spacing w:after="0" w:line="78" w:lineRule="exact"/>
        <w:rPr>
          <w:sz w:val="20"/>
          <w:szCs w:val="20"/>
          <w:color w:val="auto"/>
        </w:rPr>
      </w:pPr>
    </w:p>
    <w:p>
      <w:pPr>
        <w:jc w:val="both"/>
        <w:ind w:left="820" w:hanging="407"/>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Services Segment: The Commercial Services segment offers toll and violation management solutions for the commercial fleet and rental car industries by partnering with the leading fleet management and rental car companies in North America and Europe.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11" w:name="page12"/>
    <w:bookmarkEnd w:id="11"/>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Therefore, all services provided within the Commercial Services segment are accounted for as a single performance obligation, of a series of distinct items, with distinct time increments, as a stand-ready obligation. Payment terms for contracts with commercial fleet and rental car companies vary, but are usually billed as services are performed. Revenue from services provided in the Commercial Services segment is recognized over time as the customer simultaneously receives and consumes the benefits provided by the Company and as the Company performs the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00"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As of March 31, 2019, the Company had approximately $0.3 million of remaining performance obligations in the Government Solutions segment, which include amounts that will be invoiced and recognized in future periods. The remaining performance obligations are limited only to arrangements that meet the definition of a contract under ASC 606 as of March 31, 2019. As these amounts relate to the initial deferral of revenue under a contract, the Company expects to recognize these amounts over a two month period at the end of the contract.</w:t>
      </w:r>
    </w:p>
    <w:p>
      <w:pPr>
        <w:spacing w:after="0" w:line="140"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Company applies the practical expedient in paragraph 606-10-50-14A of ASC 606 and does not disclose variable consideration allocated entirely to wholly unsatisfied stand-ready performance obligations for certain Government Solutions and Commercial Services contracts as part of the information about remaining performance obligations. The duration for these contracts ranges between 3 and 5 years for new contracts.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254"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Under the new revenue standard, significant judgments are required in order to identify contracts with customers and estimate transaction prices. Additional judgments are required for the identification of distinct performance obligations, the estimation of standalone selling prices and the allocation of the transaction price by relative standalone selling prices. Assumptions regarding timing of when control transfers to the customer requires significant judgment in order to recognize revenue. The Company makes significant judgments related to identifying the performance obligation and determining whether the services provided are able to be distinct, determining the transaction price, specifically as it is related to the different variable consideration structures identified in the Company’s contracts, and in determining the timing of revenue recognition.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Not Yet Adopted</w:t>
      </w:r>
    </w:p>
    <w:p>
      <w:pPr>
        <w:spacing w:after="0" w:line="185"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Financial Liabilities</w:t>
      </w:r>
      <w:r>
        <w:rPr>
          <w:rFonts w:ascii="Times New Roman" w:cs="Times New Roman" w:eastAsia="Times New Roman" w:hAnsi="Times New Roman"/>
          <w:sz w:val="18"/>
          <w:szCs w:val="18"/>
          <w:color w:val="auto"/>
        </w:rPr>
        <w:t>. The main objective of this update is to enhance the reporting model for financial instruments to provide users of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with more decision-useful information. The new guidance addresses certain aspects of recognition, measurement, presentation, and disclosure of financial instruments. Most notably, ASU 2016-01 requires the change in fair value of available for sale securities to be recognized in net income. The pronouncement also requires the use of the exit price notion, the separate presentation of financial assets and liabilities by measurement category and form of asset, and the separate presentation in other comprehensive income of changes in fair value resulting from a change in the instrument-specific credit risk. ASU 2016-01 is effective for fiscal years beginning after December 15, 2019, including interim periods within those fiscal years. The impact of the implementation of this standard is still being determined by the Company.</w:t>
      </w:r>
    </w:p>
    <w:p>
      <w:pPr>
        <w:spacing w:after="0" w:line="145" w:lineRule="exact"/>
        <w:rPr>
          <w:sz w:val="20"/>
          <w:szCs w:val="20"/>
          <w:color w:val="auto"/>
        </w:rPr>
      </w:pPr>
    </w:p>
    <w:p>
      <w:pPr>
        <w:jc w:val="both"/>
        <w:ind w:firstLine="815"/>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issued certain amendments within ASU 2018-01, 2018-10, 2018-11 and ASU 2019-01, respectively and collectively Topic 842 to increase transparency and comparability among organizations by recognizing lease assets and lease liabilities on the balance sheet and disclosing key information about leasing arrangements. ASU 2016-02 is effective for annual reporting periods beginning after December 15, 2019, and early adoption is permitted. The Company does not plan to early adopt this standard. The impact of the implementation of this standard is still being determined by the Company.</w:t>
      </w:r>
    </w:p>
    <w:p>
      <w:pPr>
        <w:spacing w:after="0" w:line="153" w:lineRule="exact"/>
        <w:rPr>
          <w:sz w:val="20"/>
          <w:szCs w:val="20"/>
          <w:color w:val="auto"/>
        </w:rPr>
      </w:pPr>
    </w:p>
    <w:p>
      <w:pPr>
        <w:jc w:val="both"/>
        <w:ind w:firstLine="815"/>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which requires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collectability. The guidance will be effective for fiscal years and interim periods beginning after December 15, 2019 and early adoption is permitted. Different components of the guidance require modified retrospective or prospective adoption. The impact of the implementation of this standard is still being determined by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both"/>
        <w:ind w:firstLine="815"/>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ASU 2017-04 simplifies the accounting for goodwill impairment and removes Step 2 of the goodwill impairment test. Goodwill impairment will now be the amount by which a reporting unit’s carrying value exceeds its fair value limited to the total amount of goodwill allocated to that reporting unit. Entities will continue to have the option to perform a qualitative assessment to determine if a quantitative impairment test is necessary. The same one-step impairment test will be applied to goodwill at all reporting units, even those with zero or negative carrying amounts. The amendments in this ASU are effective for goodwill impairment tests in fiscal years beginning after December 15, 2021. The impact of the implementation of this standard is still being determined by the Company.</w:t>
      </w:r>
    </w:p>
    <w:p>
      <w:pPr>
        <w:spacing w:after="0" w:line="156" w:lineRule="exact"/>
        <w:rPr>
          <w:sz w:val="20"/>
          <w:szCs w:val="20"/>
          <w:color w:val="auto"/>
        </w:rPr>
      </w:pPr>
    </w:p>
    <w:p>
      <w:pPr>
        <w:jc w:val="both"/>
        <w:ind w:firstLine="815"/>
        <w:spacing w:after="0" w:line="257"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Improvements to Nonemployee Share-Based Payment Accounting. These amendments expand the scope of Topic 718, Compensation—Stock Compensation (which currently only includes share-based payments to employees) to include share-based payments issued to nonemployees for goods or services. ASU 2018-07 is effective beginning after December 15, 2019, and interim periods within fiscal years beginning after December 15, 2020. Early adoption is permitted, but no earlier than a company’s adoption date of Topic 606, Revenue from Contracts with Customers. At this time, the Company does not expect this standard to have a material effect on the Company’s financial position, results of operations or cash flows and disclosures.</w:t>
      </w:r>
    </w:p>
    <w:p>
      <w:pPr>
        <w:spacing w:after="0" w:line="142"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(Topic 820) Disclosure Framework—Changes to the Disclosure Requirements for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The amendments in this update modify the disclosure requirements on fair value measurements in Topic 820, Fair Value Measurement.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are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An entity is permitted to early adopt any removed or modified disclosures upon issuance of this update and delay adoption of the additional disclosures until their effective date. The impact of the implementation of this standard is still being determined by the Company.</w:t>
      </w:r>
    </w:p>
    <w:p>
      <w:pPr>
        <w:spacing w:after="0" w:line="143"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Verra Mobility Merger</w:t>
      </w:r>
    </w:p>
    <w:p>
      <w:pPr>
        <w:spacing w:after="0" w:line="200" w:lineRule="exact"/>
        <w:rPr>
          <w:sz w:val="20"/>
          <w:szCs w:val="20"/>
          <w:color w:val="auto"/>
        </w:rPr>
      </w:pPr>
    </w:p>
    <w:p>
      <w:pPr>
        <w:jc w:val="both"/>
        <w:ind w:firstLine="815"/>
        <w:spacing w:after="0" w:line="253" w:lineRule="auto"/>
        <w:rPr>
          <w:sz w:val="20"/>
          <w:szCs w:val="20"/>
          <w:color w:val="auto"/>
        </w:rPr>
      </w:pPr>
      <w:r>
        <w:rPr>
          <w:rFonts w:ascii="Times New Roman" w:cs="Times New Roman" w:eastAsia="Times New Roman" w:hAnsi="Times New Roman"/>
          <w:sz w:val="18"/>
          <w:szCs w:val="18"/>
          <w:color w:val="auto"/>
        </w:rPr>
        <w:t xml:space="preserve">As described in Note 1, Gores and Greenlight consummated the Business Combination on October 17, 2018. Pursuant to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805)</w:t>
      </w:r>
      <w:r>
        <w:rPr>
          <w:rFonts w:ascii="Times New Roman" w:cs="Times New Roman" w:eastAsia="Times New Roman" w:hAnsi="Times New Roman"/>
          <w:sz w:val="18"/>
          <w:szCs w:val="18"/>
          <w:color w:val="auto"/>
        </w:rPr>
        <w:t>, the Business Combination qualified as a reverse acquisition because immediately following completion of the transaction the stockholders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Greenlight immediately prior to the Business Combination maintained effective control of Verra Mobility, the post-combination company. For accounting purposes, Greenlight is deemed the accounting acquirer in the transaction and, consequently, the transaction is treated as recapitalization of Greenlight (i.e. a capital transaction involving the issuance of stock by Greenlight in exchange for the payment of cash by Gores to the selling shareholders of Greenlight). Accordingly, the consolidated assets, liabilities and results of operations of Greenlight are the historical financial statements of Verra Mobility and the Gores assets, liabilities and results of operations are consolidated with Greenlight beginning on the acquisition date. No step-up in basis of intangible assets or goodwill was recorded for this transaction. The Company effected this treatment through opening stockholders’ equity by adjusting the number of common shares outstanding. Other than underwriting and professional fees paid to consummate the transaction, the Business Combination primarily involved the exchange of cash and equity between Gores, Greenlight and the stockholders of the respective companies. During the three months ended March 31, 2019, the Company recorded a $6.2 million payable to Platinum, a related party, for the recapitalization related to the working capital adjustment required by the merger agreements. This resulted in a decrease to the additional paid-in capital account for $6.2 million, and a corresponding increase to accrued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ATS Merger</w:t>
      </w:r>
    </w:p>
    <w:p>
      <w:pPr>
        <w:spacing w:after="0" w:line="189"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On May 31, 2017, ATS was acquired by Parent through the merger of ATS Merger Sub with and into ATS for a total purchase price of $548.2 million ($550.0 million less adjustments set forth in the ATS Merger agreement). The Company recognized approximately $9.9 million of costs related to the ATS Merger, which consisted of $8.0 million of payments for acquisition services to Platinum Equity Advisors, LLC, an affiliate of Platinum (“</w:t>
      </w:r>
      <w:r>
        <w:rPr>
          <w:rFonts w:ascii="Times New Roman" w:cs="Times New Roman" w:eastAsia="Times New Roman" w:hAnsi="Times New Roman"/>
          <w:sz w:val="18"/>
          <w:szCs w:val="18"/>
          <w:b w:val="1"/>
          <w:bCs w:val="1"/>
          <w:i w:val="1"/>
          <w:iCs w:val="1"/>
          <w:color w:val="auto"/>
        </w:rPr>
        <w:t>Advisors</w:t>
      </w:r>
      <w:r>
        <w:rPr>
          <w:rFonts w:ascii="Times New Roman" w:cs="Times New Roman" w:eastAsia="Times New Roman" w:hAnsi="Times New Roman"/>
          <w:sz w:val="18"/>
          <w:szCs w:val="18"/>
          <w:color w:val="auto"/>
        </w:rPr>
        <w:t>”), and $1.9 million of professional fees and other expenses related to the ATS Merger.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13" w:name="page14"/>
    <w:bookmarkEnd w:id="13"/>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On May 31, 2017, ATS Merger Sub obtained debt financing pursuant to a credit agreement entered into with a syndicate of lenders. ATS Merger Sub was merged with and into ATS on the same date, effectively making ATS the sole borrower (see Note 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HTA Merger</w:t>
      </w:r>
    </w:p>
    <w:p>
      <w:pPr>
        <w:spacing w:after="0" w:line="189"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On March 1, 2018, the Company acquired all of the issued and outstanding membership interests of Highway Toll Administration, LLC, and Canada Highway Toll Administration (collectively, “</w:t>
      </w:r>
      <w:r>
        <w:rPr>
          <w:rFonts w:ascii="Times New Roman" w:cs="Times New Roman" w:eastAsia="Times New Roman" w:hAnsi="Times New Roman"/>
          <w:sz w:val="18"/>
          <w:szCs w:val="18"/>
          <w:b w:val="1"/>
          <w:bCs w:val="1"/>
          <w:i w:val="1"/>
          <w:iCs w:val="1"/>
          <w:color w:val="auto"/>
        </w:rPr>
        <w:t>HTA</w:t>
      </w:r>
      <w:r>
        <w:rPr>
          <w:rFonts w:ascii="Times New Roman" w:cs="Times New Roman" w:eastAsia="Times New Roman" w:hAnsi="Times New Roman"/>
          <w:sz w:val="18"/>
          <w:szCs w:val="18"/>
          <w:color w:val="auto"/>
        </w:rPr>
        <w:t>”), pursuant to a unit purchase agreement (“</w:t>
      </w:r>
      <w:r>
        <w:rPr>
          <w:rFonts w:ascii="Times New Roman" w:cs="Times New Roman" w:eastAsia="Times New Roman" w:hAnsi="Times New Roman"/>
          <w:sz w:val="18"/>
          <w:szCs w:val="18"/>
          <w:b w:val="1"/>
          <w:bCs w:val="1"/>
          <w:i w:val="1"/>
          <w:iCs w:val="1"/>
          <w:color w:val="auto"/>
        </w:rPr>
        <w:t>Unit Agreement</w:t>
      </w:r>
      <w:r>
        <w:rPr>
          <w:rFonts w:ascii="Times New Roman" w:cs="Times New Roman" w:eastAsia="Times New Roman" w:hAnsi="Times New Roman"/>
          <w:sz w:val="18"/>
          <w:szCs w:val="18"/>
          <w:color w:val="auto"/>
        </w:rPr>
        <w:t>”) for a cash purchase price of $525.0 million subject to adjustments set forth in the Unit Agreement which aggregated $9.7 million, a $11.3 million payable to the HTA sellers for certain tax items and the issuance of 5.26 shares of Greenlight common stock resulting in an aggregate purchase price of $603.3 million (the “</w:t>
      </w:r>
      <w:r>
        <w:rPr>
          <w:rFonts w:ascii="Times New Roman" w:cs="Times New Roman" w:eastAsia="Times New Roman" w:hAnsi="Times New Roman"/>
          <w:sz w:val="18"/>
          <w:szCs w:val="18"/>
          <w:b w:val="1"/>
          <w:bCs w:val="1"/>
          <w:i w:val="1"/>
          <w:iCs w:val="1"/>
          <w:color w:val="auto"/>
        </w:rPr>
        <w:t>HTA Merger</w:t>
      </w:r>
      <w:r>
        <w:rPr>
          <w:rFonts w:ascii="Times New Roman" w:cs="Times New Roman" w:eastAsia="Times New Roman" w:hAnsi="Times New Roman"/>
          <w:sz w:val="18"/>
          <w:szCs w:val="18"/>
          <w:color w:val="auto"/>
        </w:rPr>
        <w:t>”). The Greenlight shares issued to the Company were determined to have a fair value of $57.3 million. The Company reflected the receipt of the Greenlight common shares as a capital contribution from Parent and then delivered these shares to the HTA sellers as non-cash purchase consideration.</w:t>
      </w:r>
    </w:p>
    <w:p>
      <w:pPr>
        <w:spacing w:after="0" w:line="147"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The Company estimated the fair value of the Greenlight common shares issued in connection with this transaction with input from management and a contemporaneous third-party valuation of the Company. Management determined the fair value of Greenlight was the same as the Company as Greenlight’s only holdings were the Company. The valuation advisory firm prepared a valuation report as of March 1, 2018. The assumptions and inputs used in connection with the valuation reflected management’s best estimate of the Company’s business condition, prospects and operating performance on the valuation date. The Company averaged the results of a discounted cash flow analysis, comparable public company analysis and comparable acquisitions analysis to determine an enterprise value of $2.1 billion. The Company then deducted debt of $1.0 billion to arrive at a concluded equity value of $1.1 billion, which was used to derive a per share value.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acquired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3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Installation and service parts</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Customer relationships</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242,500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Non-compete agreements</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31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233,271</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622,345</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3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31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100" w:type="dxa"/>
            <w:vAlign w:val="bottom"/>
            <w:tcBorders>
              <w:bottom w:val="single" w:sz="8" w:color="CFF0FC"/>
            </w:tcBorders>
          </w:tcPr>
          <w:p>
            <w:pPr>
              <w:spacing w:after="0"/>
              <w:rPr>
                <w:sz w:val="19"/>
                <w:szCs w:val="19"/>
                <w:color w:val="auto"/>
              </w:rPr>
            </w:pP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3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The excess of cost of the HTA Merger over the net amounts assigned to the fair value of the net assets acquired was recorded as goodwill and was assigned to the Company’s Commercial Services segment. The Company made certain immaterial adjustments to the preliminary purchase price allocation resulting in a $1.2 million net reduction to goodwill. The goodwill consists largely of the expected cash flows and future growth anticipated for the Company. Most of the goodwill is expected to be deductible for tax purposes. The customer relationship value was based on an excess earnings methodology utilizing projected cash flows. The non-compete agreement values were based on the with-or-without method. The trademark and the developed technology values were based on a relief from royalty method. The customer relationship, developed technology, non-compete and trademark intangibles were assigned useful lives of 9 years, 5.5 years, 5 years and 3 years,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14" w:name="page15"/>
    <w:bookmarkEnd w:id="14"/>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Company recognized $15.6 million of costs related to the HTA Merger, which were included in selling, general and administrative expenses in the condensed consolidated statement of operations in the three months ended March 31, 2018. These costs consisted of $7.2 million for acquisition services to Advisors and $8.4 million of professional fees and other expenses related to the transaction.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EPC Merger</w:t>
      </w:r>
    </w:p>
    <w:p>
      <w:pPr>
        <w:spacing w:after="0" w:line="185" w:lineRule="exact"/>
        <w:rPr>
          <w:sz w:val="20"/>
          <w:szCs w:val="20"/>
          <w:color w:val="auto"/>
        </w:rPr>
      </w:pPr>
    </w:p>
    <w:p>
      <w:pPr>
        <w:jc w:val="both"/>
        <w:ind w:firstLine="815"/>
        <w:spacing w:after="0" w:line="259" w:lineRule="auto"/>
        <w:rPr>
          <w:sz w:val="20"/>
          <w:szCs w:val="20"/>
          <w:color w:val="auto"/>
        </w:rPr>
      </w:pPr>
      <w:r>
        <w:rPr>
          <w:rFonts w:ascii="Times New Roman" w:cs="Times New Roman" w:eastAsia="Times New Roman" w:hAnsi="Times New Roman"/>
          <w:sz w:val="18"/>
          <w:szCs w:val="18"/>
          <w:color w:val="auto"/>
        </w:rPr>
        <w:t>On April 6, 2018, the Company acquired all of the issued and outstanding capital stock of Euro Parking Collection plc (“</w:t>
      </w:r>
      <w:r>
        <w:rPr>
          <w:rFonts w:ascii="Times New Roman" w:cs="Times New Roman" w:eastAsia="Times New Roman" w:hAnsi="Times New Roman"/>
          <w:sz w:val="18"/>
          <w:szCs w:val="18"/>
          <w:b w:val="1"/>
          <w:bCs w:val="1"/>
          <w:i w:val="1"/>
          <w:iCs w:val="1"/>
          <w:color w:val="auto"/>
        </w:rPr>
        <w:t>EPC</w:t>
      </w:r>
      <w:r>
        <w:rPr>
          <w:rFonts w:ascii="Times New Roman" w:cs="Times New Roman" w:eastAsia="Times New Roman" w:hAnsi="Times New Roman"/>
          <w:sz w:val="18"/>
          <w:szCs w:val="18"/>
          <w:color w:val="auto"/>
        </w:rPr>
        <w:t>”), pursuant to a stock purchase agreement for purchase consideration of 5.54 shares of Greenlight common stock and working capital adjustments set forth in the share purchase agreement, which aggregated $2.6 million, resulting in an aggregate purchase price of $62.9 million (the “</w:t>
      </w:r>
      <w:r>
        <w:rPr>
          <w:rFonts w:ascii="Times New Roman" w:cs="Times New Roman" w:eastAsia="Times New Roman" w:hAnsi="Times New Roman"/>
          <w:sz w:val="18"/>
          <w:szCs w:val="18"/>
          <w:b w:val="1"/>
          <w:bCs w:val="1"/>
          <w:i w:val="1"/>
          <w:iCs w:val="1"/>
          <w:color w:val="auto"/>
        </w:rPr>
        <w:t>EPC Merger</w:t>
      </w:r>
      <w:r>
        <w:rPr>
          <w:rFonts w:ascii="Times New Roman" w:cs="Times New Roman" w:eastAsia="Times New Roman" w:hAnsi="Times New Roman"/>
          <w:sz w:val="18"/>
          <w:szCs w:val="18"/>
          <w:color w:val="auto"/>
        </w:rPr>
        <w:t>”). The Company reflected the receipt of the Greenlight II common shares as a capital contribution from Parent and then delivered these shares to the EPC sellers as non-cash purchase consideration.</w:t>
      </w:r>
    </w:p>
    <w:p>
      <w:pPr>
        <w:spacing w:after="0" w:line="143" w:lineRule="exact"/>
        <w:rPr>
          <w:sz w:val="20"/>
          <w:szCs w:val="20"/>
          <w:color w:val="auto"/>
        </w:rPr>
      </w:pPr>
    </w:p>
    <w:p>
      <w:pPr>
        <w:jc w:val="both"/>
        <w:ind w:right="20" w:firstLine="815"/>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Greenlight common shares issued in connection with this transaction with input from management and a contemporaneous third-party valuation of the Company.</w:t>
      </w:r>
    </w:p>
    <w:p>
      <w:pPr>
        <w:spacing w:after="0" w:line="135"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Management determined the fair value of Greenlight was the same as the Company as Greenlight’s only holdings were the Company. The valuation advisory firm prepared a valuation report as of March 1, 2018. The assumptions and inputs used in connection with the valuation reflected management’s best estimate of the Company’s business condition, prospects and operating performance on the valuation date. The Company averaged the results of a discounted cash flow analysis, comparable public company analysis and comparable acquisitions analysis to determine an enterprise value of $2.1 billion. The Company then deducted debt of $1.0 billion to arrive at a concluded equity value of $1.1 billion, which was used to derive a per share value.</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allocation of the purchase consideration is summarized as follows: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acquired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38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Customer relationships</w:t>
            </w:r>
          </w:p>
        </w:tc>
        <w:tc>
          <w:tcPr>
            <w:tcW w:w="3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3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76,203</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3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3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Borders>
              <w:bottom w:val="single" w:sz="8" w:color="CFF0FC"/>
            </w:tcBorders>
          </w:tcPr>
          <w:p>
            <w:pPr>
              <w:spacing w:after="0"/>
              <w:rPr>
                <w:sz w:val="19"/>
                <w:szCs w:val="19"/>
                <w:color w:val="auto"/>
              </w:rPr>
            </w:pP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3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Goodwill arising from the EPC Merger was assigned to the Company’s Commercial Services segment and consists largely of the expected cash flows and future growth anticipated for the Company. The goodwill is not expected to be deductible for tax purposes. The customer relationship value was based on an excess earnings methodology utilizing projected cash flows. The trademark and the developed technology values were based on a relief from royalty method. The customer relationship, trademark, and developed technology intangibles were preliminarily assigned useful lives of 10 years, 5 years and 4.5 years, respectively.</w:t>
      </w:r>
    </w:p>
    <w:p>
      <w:pPr>
        <w:spacing w:after="0" w:line="143"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The Company recognized $3.0 million of costs related to the EPC Merger in the three months ended June 30, 2018, which consisted of $2.5 million for acquisition services to Advisors and $0.5 million of professional fees and other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198" w:lineRule="exact"/>
        <w:rPr>
          <w:sz w:val="20"/>
          <w:szCs w:val="20"/>
          <w:color w:val="auto"/>
        </w:rPr>
      </w:pPr>
    </w:p>
    <w:p>
      <w:pPr>
        <w:jc w:val="both"/>
        <w:ind w:right="20" w:firstLine="815"/>
        <w:spacing w:after="0" w:line="256" w:lineRule="auto"/>
        <w:rPr>
          <w:sz w:val="20"/>
          <w:szCs w:val="20"/>
          <w:color w:val="auto"/>
        </w:rPr>
      </w:pPr>
      <w:r>
        <w:rPr>
          <w:rFonts w:ascii="Times New Roman" w:cs="Times New Roman" w:eastAsia="Times New Roman" w:hAnsi="Times New Roman"/>
          <w:sz w:val="18"/>
          <w:szCs w:val="18"/>
          <w:color w:val="auto"/>
        </w:rPr>
        <w:t>The pro forma information below gives effect to the Merger, the HTA Merger and the EPC Merger (collectively,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as if they had been completed on the first day of the period presented. The pro forma results of operations are presented for information purposes only. As such, they are not necessarily indicative of the Company’s results had the Transactions been completed on the first day of the period presented, nor do they intend to represent the Company’s future results. The pro forma information does not reflect any cost savings from operating efficiencies or synergies that could result from the acquisitions and does not reflect additional revenue opportunities following the Transactions. The pro forma information includes adjustments to record the assets and liabilities associated with the Transactions at their respective fair values based on available information and to give effect to the financing for the Transactions.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940" w:type="dxa"/>
            <w:vAlign w:val="bottom"/>
            <w:vMerge w:val="restart"/>
          </w:tcPr>
          <w:p>
            <w:pPr>
              <w:spacing w:after="0"/>
              <w:rPr>
                <w:sz w:val="15"/>
                <w:szCs w:val="15"/>
                <w:color w:val="auto"/>
              </w:rPr>
            </w:pPr>
          </w:p>
        </w:tc>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4940" w:type="dxa"/>
            <w:vAlign w:val="bottom"/>
            <w:vMerge w:val="continue"/>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9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88,462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3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(14,774)</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(11,752)</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 - basic</w:t>
            </w:r>
          </w:p>
        </w:tc>
        <w:tc>
          <w:tcPr>
            <w:tcW w:w="3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815"/>
        <w:spacing w:after="0" w:line="282" w:lineRule="auto"/>
        <w:rPr>
          <w:sz w:val="20"/>
          <w:szCs w:val="20"/>
          <w:color w:val="auto"/>
        </w:rPr>
      </w:pPr>
      <w:r>
        <w:rPr>
          <w:rFonts w:ascii="Times New Roman" w:cs="Times New Roman" w:eastAsia="Times New Roman" w:hAnsi="Times New Roman"/>
          <w:sz w:val="18"/>
          <w:szCs w:val="18"/>
          <w:color w:val="auto"/>
        </w:rPr>
        <w:t>The pro forma results include adjustments to reflect additional amortization of intangibles associated with the acquired businesses and additional interest expense for debt issued in connection with the HTA Merger.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at:</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840" w:type="dxa"/>
            <w:vAlign w:val="bottom"/>
            <w:vMerge w:val="restart"/>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gridSpan w:val="2"/>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73"/>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73"/>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10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tolls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computer maintenance</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97"/>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37"/>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5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159,746</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404,977</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564,723</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2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159,746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405,850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565,596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2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93" w:right="219" w:bottom="1440" w:gutter="0" w:footer="0" w:header="0"/>
        </w:sectPr>
      </w:pPr>
    </w:p>
    <w:bookmarkStart w:id="16" w:name="page17"/>
    <w:bookmarkEnd w:id="16"/>
    <w:p>
      <w:pPr>
        <w:ind w:left="82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 ends: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0" w:type="dxa"/>
            <w:vAlign w:val="bottom"/>
          </w:tcPr>
          <w:p>
            <w:pPr>
              <w:spacing w:after="0"/>
              <w:rPr>
                <w:sz w:val="15"/>
                <w:szCs w:val="15"/>
                <w:color w:val="auto"/>
              </w:rPr>
            </w:pPr>
          </w:p>
        </w:tc>
        <w:tc>
          <w:tcPr>
            <w:tcW w:w="11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5"/>
                <w:szCs w:val="15"/>
                <w:color w:val="auto"/>
              </w:rPr>
            </w:pPr>
          </w:p>
        </w:tc>
        <w:tc>
          <w:tcPr>
            <w:tcW w:w="11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1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7"/>
        </w:trPr>
        <w:tc>
          <w:tcPr>
            <w:tcW w:w="38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2.4 years</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31,324</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3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2.7 years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31,302</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3.8 years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3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 years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7.6 years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52,349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7.9 years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8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4.0 years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43,367</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4.3 years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160,852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614,512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122,659</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614,022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(122,659)</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(99,480)</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amortization expense was $23.1 million and $12.3 million for the three months ended March 31, 2019 and 2018, respectively.</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4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0" w:type="dxa"/>
            <w:vAlign w:val="bottom"/>
            <w:shd w:val="clear" w:color="auto" w:fill="CFF0FC"/>
          </w:tcPr>
          <w:p>
            <w:pPr>
              <w:spacing w:after="0"/>
              <w:rPr>
                <w:sz w:val="19"/>
                <w:szCs w:val="19"/>
                <w:color w:val="auto"/>
              </w:rPr>
            </w:pPr>
          </w:p>
        </w:tc>
        <w:tc>
          <w:tcPr>
            <w:tcW w:w="5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Remainder of 2019</w:t>
            </w:r>
          </w:p>
        </w:tc>
        <w:tc>
          <w:tcPr>
            <w:tcW w:w="2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69,159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4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446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83,998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4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79,274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446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50,813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4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CFF0FC"/>
          </w:tcPr>
          <w:p>
            <w:pPr>
              <w:spacing w:after="0"/>
              <w:rPr>
                <w:sz w:val="19"/>
                <w:szCs w:val="19"/>
                <w:color w:val="auto"/>
              </w:rPr>
            </w:pPr>
          </w:p>
        </w:tc>
        <w:tc>
          <w:tcPr>
            <w:tcW w:w="5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Thereafter</w:t>
            </w:r>
          </w:p>
        </w:tc>
        <w:tc>
          <w:tcPr>
            <w:tcW w:w="2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75,998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0" w:type="dxa"/>
            <w:vAlign w:val="bottom"/>
            <w:vMerge w:val="continue"/>
          </w:tcPr>
          <w:p>
            <w:pPr>
              <w:spacing w:after="0"/>
              <w:rPr>
                <w:sz w:val="24"/>
                <w:szCs w:val="24"/>
                <w:color w:val="auto"/>
              </w:rPr>
            </w:pPr>
          </w:p>
        </w:tc>
        <w:tc>
          <w:tcPr>
            <w:tcW w:w="5260" w:type="dxa"/>
            <w:vAlign w:val="bottom"/>
            <w:gridSpan w:val="2"/>
            <w:vMerge w:val="continue"/>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5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Accrued liabilities consist of the following at:</w:t>
            </w: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460" w:type="dxa"/>
            <w:vAlign w:val="bottom"/>
            <w:vMerge w:val="restart"/>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gridSpan w:val="2"/>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533"/>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72"/>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4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4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deposits payable</w:t>
            </w:r>
          </w:p>
        </w:tc>
        <w:tc>
          <w:tcPr>
            <w:tcW w:w="2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Gores equity infusion working capital adjustment payable to related party</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related party TRA liability</w:t>
            </w:r>
          </w:p>
        </w:tc>
        <w:tc>
          <w:tcPr>
            <w:tcW w:w="2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sales commissions</w:t>
            </w:r>
          </w:p>
        </w:tc>
        <w:tc>
          <w:tcPr>
            <w:tcW w:w="2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6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The following table provides a summary of the Company’s long-term debt at:</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140" w:type="dxa"/>
            <w:vAlign w:val="bottom"/>
            <w:vMerge w:val="restart"/>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gridSpan w:val="2"/>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74"/>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574"/>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1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term loan, due February 28, 2025</w:t>
            </w:r>
          </w:p>
        </w:tc>
        <w:tc>
          <w:tcPr>
            <w:tcW w:w="7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901,248</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903,524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original issue discounts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(5,819)</w:t>
            </w: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(26,842)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(28,352)</w:t>
            </w:r>
          </w:p>
        </w:tc>
        <w:tc>
          <w:tcPr>
            <w:tcW w:w="0" w:type="dxa"/>
            <w:vAlign w:val="bottom"/>
          </w:tcPr>
          <w:p>
            <w:pPr>
              <w:spacing w:after="0"/>
              <w:rPr>
                <w:sz w:val="1"/>
                <w:szCs w:val="1"/>
                <w:color w:val="auto"/>
              </w:rPr>
            </w:pPr>
          </w:p>
        </w:tc>
      </w:tr>
      <w:tr>
        <w:trPr>
          <w:trHeight w:val="223"/>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debt</w:t>
            </w:r>
          </w:p>
        </w:tc>
        <w:tc>
          <w:tcPr>
            <w:tcW w:w="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(9,104)</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7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In connection with the ATS Merger, ATS Consolidated, Inc., subsequently renamed VM Consolidated, Inc., a wholly owned subsidiary of the Company, entered into a First Lien Term Loan Credit Agreement (the “</w:t>
      </w:r>
      <w:r>
        <w:rPr>
          <w:rFonts w:ascii="Times New Roman" w:cs="Times New Roman" w:eastAsia="Times New Roman" w:hAnsi="Times New Roman"/>
          <w:sz w:val="18"/>
          <w:szCs w:val="18"/>
          <w:b w:val="1"/>
          <w:bCs w:val="1"/>
          <w:i w:val="1"/>
          <w:iCs w:val="1"/>
          <w:color w:val="auto"/>
        </w:rPr>
        <w:t>Old First Lien</w:t>
      </w:r>
      <w:r>
        <w:rPr>
          <w:rFonts w:ascii="Times New Roman" w:cs="Times New Roman" w:eastAsia="Times New Roman" w:hAnsi="Times New Roman"/>
          <w:sz w:val="18"/>
          <w:szCs w:val="18"/>
          <w:color w:val="auto"/>
        </w:rPr>
        <w:t>”), a Second Lien Term Loan Credit Agreement (the “</w:t>
      </w:r>
      <w:r>
        <w:rPr>
          <w:rFonts w:ascii="Times New Roman" w:cs="Times New Roman" w:eastAsia="Times New Roman" w:hAnsi="Times New Roman"/>
          <w:sz w:val="18"/>
          <w:szCs w:val="18"/>
          <w:b w:val="1"/>
          <w:bCs w:val="1"/>
          <w:i w:val="1"/>
          <w:iCs w:val="1"/>
          <w:color w:val="auto"/>
        </w:rPr>
        <w:t>Old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Old Term Loans</w:t>
      </w:r>
      <w:r>
        <w:rPr>
          <w:rFonts w:ascii="Times New Roman" w:cs="Times New Roman" w:eastAsia="Times New Roman" w:hAnsi="Times New Roman"/>
          <w:sz w:val="18"/>
          <w:szCs w:val="18"/>
          <w:color w:val="auto"/>
        </w:rPr>
        <w:t>”), and a Revolving Credit Agreement (the “</w:t>
      </w:r>
      <w:r>
        <w:rPr>
          <w:rFonts w:ascii="Times New Roman" w:cs="Times New Roman" w:eastAsia="Times New Roman" w:hAnsi="Times New Roman"/>
          <w:sz w:val="18"/>
          <w:szCs w:val="18"/>
          <w:b w:val="1"/>
          <w:bCs w:val="1"/>
          <w:i w:val="1"/>
          <w:iCs w:val="1"/>
          <w:color w:val="auto"/>
        </w:rPr>
        <w:t>Old Revolver</w:t>
      </w:r>
      <w:r>
        <w:rPr>
          <w:rFonts w:ascii="Times New Roman" w:cs="Times New Roman" w:eastAsia="Times New Roman" w:hAnsi="Times New Roman"/>
          <w:sz w:val="18"/>
          <w:szCs w:val="18"/>
          <w:color w:val="auto"/>
        </w:rPr>
        <w:t>”) with a syndicate of lenders (collectively, the “</w:t>
      </w:r>
      <w:r>
        <w:rPr>
          <w:rFonts w:ascii="Times New Roman" w:cs="Times New Roman" w:eastAsia="Times New Roman" w:hAnsi="Times New Roman"/>
          <w:sz w:val="18"/>
          <w:szCs w:val="18"/>
          <w:b w:val="1"/>
          <w:bCs w:val="1"/>
          <w:i w:val="1"/>
          <w:iCs w:val="1"/>
          <w:color w:val="auto"/>
        </w:rPr>
        <w:t>2017 Credit Facilities</w:t>
      </w:r>
      <w:r>
        <w:rPr>
          <w:rFonts w:ascii="Times New Roman" w:cs="Times New Roman" w:eastAsia="Times New Roman" w:hAnsi="Times New Roman"/>
          <w:sz w:val="18"/>
          <w:szCs w:val="18"/>
          <w:color w:val="auto"/>
        </w:rPr>
        <w:t>”). The 2017 Credit Facilities provided for committed senior secured financing of $490.0 million, consisting of the following: the Old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in an aggregate principal amount of $450.0 million; and the Revolver, available for loans and letters of credit with an aggregate revolving commitment of up to $40.0 million (based on borrowing based eligibility as described below).</w:t>
      </w:r>
    </w:p>
    <w:p>
      <w:pPr>
        <w:spacing w:after="0" w:line="188"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In connection with the HTA Merger, the Company replaced the 2017 Credit Facilities by entering into a First Lien Term Loan Credit Agreement (the “</w:t>
      </w:r>
      <w:r>
        <w:rPr>
          <w:rFonts w:ascii="Times New Roman" w:cs="Times New Roman" w:eastAsia="Times New Roman" w:hAnsi="Times New Roman"/>
          <w:sz w:val="18"/>
          <w:szCs w:val="18"/>
          <w:b w:val="1"/>
          <w:bCs w:val="1"/>
          <w:i w:val="1"/>
          <w:iCs w:val="1"/>
          <w:color w:val="auto"/>
        </w:rPr>
        <w:t>New First Lien Term Loan</w:t>
      </w:r>
      <w:r>
        <w:rPr>
          <w:rFonts w:ascii="Times New Roman" w:cs="Times New Roman" w:eastAsia="Times New Roman" w:hAnsi="Times New Roman"/>
          <w:sz w:val="18"/>
          <w:szCs w:val="18"/>
          <w:color w:val="auto"/>
        </w:rPr>
        <w:t>”), a Second Lien Term Loan Credit Agreement (the “</w:t>
      </w:r>
      <w:r>
        <w:rPr>
          <w:rFonts w:ascii="Times New Roman" w:cs="Times New Roman" w:eastAsia="Times New Roman" w:hAnsi="Times New Roman"/>
          <w:sz w:val="18"/>
          <w:szCs w:val="18"/>
          <w:b w:val="1"/>
          <w:bCs w:val="1"/>
          <w:i w:val="1"/>
          <w:iCs w:val="1"/>
          <w:color w:val="auto"/>
        </w:rPr>
        <w:t>New Second Lien Term Loan</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New Term Loans</w:t>
      </w:r>
      <w:r>
        <w:rPr>
          <w:rFonts w:ascii="Times New Roman" w:cs="Times New Roman" w:eastAsia="Times New Roman" w:hAnsi="Times New Roman"/>
          <w:sz w:val="18"/>
          <w:szCs w:val="18"/>
          <w:color w:val="auto"/>
        </w:rPr>
        <w:t>”) and a Revolving Credit Facility Agreement (the “</w:t>
      </w:r>
      <w:r>
        <w:rPr>
          <w:rFonts w:ascii="Times New Roman" w:cs="Times New Roman" w:eastAsia="Times New Roman" w:hAnsi="Times New Roman"/>
          <w:sz w:val="18"/>
          <w:szCs w:val="18"/>
          <w:b w:val="1"/>
          <w:bCs w:val="1"/>
          <w:i w:val="1"/>
          <w:iCs w:val="1"/>
          <w:color w:val="auto"/>
        </w:rPr>
        <w:t>New Revolver</w:t>
      </w:r>
      <w:r>
        <w:rPr>
          <w:rFonts w:ascii="Times New Roman" w:cs="Times New Roman" w:eastAsia="Times New Roman" w:hAnsi="Times New Roman"/>
          <w:sz w:val="18"/>
          <w:szCs w:val="18"/>
          <w:color w:val="auto"/>
        </w:rPr>
        <w:t>”) with a syndicate of lenders (collectively, the “</w:t>
      </w:r>
      <w:r>
        <w:rPr>
          <w:rFonts w:ascii="Times New Roman" w:cs="Times New Roman" w:eastAsia="Times New Roman" w:hAnsi="Times New Roman"/>
          <w:sz w:val="18"/>
          <w:szCs w:val="18"/>
          <w:b w:val="1"/>
          <w:bCs w:val="1"/>
          <w:i w:val="1"/>
          <w:iCs w:val="1"/>
          <w:color w:val="auto"/>
        </w:rPr>
        <w:t>2018 Credit Facilities</w:t>
      </w:r>
      <w:r>
        <w:rPr>
          <w:rFonts w:ascii="Times New Roman" w:cs="Times New Roman" w:eastAsia="Times New Roman" w:hAnsi="Times New Roman"/>
          <w:sz w:val="18"/>
          <w:szCs w:val="18"/>
          <w:color w:val="auto"/>
        </w:rPr>
        <w:t>”). The 2018 Credit Facilities provide for committed senior secured financing of $1.115 billion, consisting of the New Term Loans in an aggregate principal amount of $1.04 billion and the New Revolver available for loans and letters of credit with an aggregate revolving commitment of up to $75 million (based on borrowing based eligibility as described below).</w:t>
      </w:r>
    </w:p>
    <w:p>
      <w:pPr>
        <w:spacing w:after="0" w:line="161"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preexisting Old Term Loans were repaid concurrent with the closing on the 2018 Credit Facilities and the preexisting Old Revolver was undrawn at close. The outstanding balances at the date of close on the Old Term Loans, which were repaid with proceeds from the 2018 Credit Facilities, were $323.4 million and $125 million, respectively.</w:t>
      </w:r>
    </w:p>
    <w:p>
      <w:pPr>
        <w:spacing w:after="0" w:line="132" w:lineRule="exact"/>
        <w:rPr>
          <w:sz w:val="20"/>
          <w:szCs w:val="20"/>
          <w:color w:val="auto"/>
        </w:rPr>
      </w:pPr>
    </w:p>
    <w:p>
      <w:pPr>
        <w:jc w:val="both"/>
        <w:ind w:firstLine="815"/>
        <w:spacing w:after="0" w:line="259" w:lineRule="auto"/>
        <w:rPr>
          <w:sz w:val="20"/>
          <w:szCs w:val="20"/>
          <w:color w:val="auto"/>
        </w:rPr>
      </w:pPr>
      <w:r>
        <w:rPr>
          <w:rFonts w:ascii="Times New Roman" w:cs="Times New Roman" w:eastAsia="Times New Roman" w:hAnsi="Times New Roman"/>
          <w:sz w:val="18"/>
          <w:szCs w:val="18"/>
          <w:color w:val="auto"/>
        </w:rPr>
        <w:t>In July 2018, the Company amended the New First Lien Term Loan (the “</w:t>
      </w:r>
      <w:r>
        <w:rPr>
          <w:rFonts w:ascii="Times New Roman" w:cs="Times New Roman" w:eastAsia="Times New Roman" w:hAnsi="Times New Roman"/>
          <w:sz w:val="18"/>
          <w:szCs w:val="18"/>
          <w:b w:val="1"/>
          <w:bCs w:val="1"/>
          <w:i w:val="1"/>
          <w:iCs w:val="1"/>
          <w:color w:val="auto"/>
        </w:rPr>
        <w:t>New First Lien Term Loan Amendment</w:t>
      </w:r>
      <w:r>
        <w:rPr>
          <w:rFonts w:ascii="Times New Roman" w:cs="Times New Roman" w:eastAsia="Times New Roman" w:hAnsi="Times New Roman"/>
          <w:sz w:val="18"/>
          <w:szCs w:val="18"/>
          <w:color w:val="auto"/>
        </w:rPr>
        <w:t>”) to expand the aggregate principal loan amount under the New First Lien Term Loan from $840 million to $910 million and to modify certain defined terms. In connection with this amendment, the Company incurred a consent fee of $0.4 million, which was capitalized as deferred financing costs and is being amortized over the remaining life of the New First Lien Term Loan. The additional $70 million along with funds contributed by Platinum were used to repay the $200 million New Second Lien Term Loan in full contemporaneously with the close of the Business Combination on October 17, 2018.</w:t>
      </w:r>
    </w:p>
    <w:p>
      <w:pPr>
        <w:spacing w:after="0" w:line="143"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The New First Lien Term Loan is repayable in quarterly installments of 1.0% per annum of the amount initially borrowed. The New First Lien Loan matures on February 28, 2025. The New First Lien Term Loan bears interest based, at our option, on either (1) LIBOR plus an applicable margin of 3.75% per annum, or (2) an alternate base rate plus an applicable margin of 2.75% per annum. At March 31, 2019, the interest rate on the New First Lien Term Loan was 6.25%.</w:t>
      </w:r>
    </w:p>
    <w:p>
      <w:pPr>
        <w:spacing w:after="0" w:line="153"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In addition, the New First Term Loan contains provisions that require mandatory prepayments equal to 50% of excess cash flow (as defined by the New First Lien Term Loan agreement); provided that, at any time the consolidated first lien net leverage ratio (as defined by the New Term First Lien Loan agreement) on the last day of the fiscal year is less than or equal to 3.70:1.00 but greater than 3.20:1.00, the mandatory prepayment of the New First Lien Term Loan is equal to 25% of excess cash flow, and if less than 3.20:1.00, the mandatory prepayment is zero.</w:t>
      </w:r>
    </w:p>
    <w:p>
      <w:pPr>
        <w:spacing w:after="0" w:line="140"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The New Revolver matures on February 28, 2023. Borrowing eligibility under the New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March 31, 2019, the Company had no outstanding borrowings on the New Revolver and availability to borrow under the New Revolver was $70.0 million, net of $1.0 million of outstanding letters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 w:name="page19"/>
    <w:bookmarkEnd w:id="18"/>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New Revolver is payable quarterly at 0.375% at March 31, 2019. The Company also is required to pay participation and fronting fees on $1.0 million in outstanding letters of credit at 1.38% as of March 31, 2019.</w:t>
      </w:r>
    </w:p>
    <w:p>
      <w:pPr>
        <w:spacing w:after="0" w:line="135"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March 31, 2019, the Company was compliant with the 2018 Credit Facilities covenants. Substantially all of the Company’s assets are pledged as collateral to secure the Company’s indebtedness under the 2018 Credit Facilities.</w:t>
      </w:r>
    </w:p>
    <w:p>
      <w:pPr>
        <w:spacing w:after="0" w:line="140"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Company recognized a charge of $10.2 million in the three months ended March 31, 2018 consisting of a $3.8 million prepayment penalty on the Old Term Loan balances, a $2.0 million write-off of preexisting deferred financing costs and $4.4 million of lender and third-party costs associated with the issuance of the 2018 Credit Facilities.</w:t>
      </w:r>
    </w:p>
    <w:p>
      <w:pPr>
        <w:spacing w:after="0" w:line="136"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$16.0 million and $12.6 million for the three months ended March 31, 2019 and March 31, 2018, respectively.</w:t>
      </w:r>
    </w:p>
    <w:p>
      <w:pPr>
        <w:spacing w:after="0" w:line="1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weighted average effective interest rate of the Company’s outstanding borrowings under the 2018 Credit Facilities was 6.25% at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162"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of March 31, 2019 and December 31, 2018, the amounts of our assets and liabilities that were accounted for at fair value were immaterial.</w:t>
      </w:r>
    </w:p>
    <w:p>
      <w:pPr>
        <w:spacing w:after="0" w:line="185"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ASC Topic 820, Fair Value Measurement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1 – Fair value is based on observable inputs such as quoted prices for identical assets or liabilities in active markets.</w:t>
      </w:r>
    </w:p>
    <w:p>
      <w:pPr>
        <w:spacing w:after="0" w:line="117"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Level 2 – 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spacing w:after="0" w:line="54"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Level 3 – Fair value is determined using one or more significant inputs that are unobservable in active markets at the measurement date, such as a pricing model, discounted cash flow or similar technique.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87"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our unaudited interim condensed consolidated balance sheets for cash, accounts receivable, accounts payable and accrued expenses approximate fair value due to the immediate to short-term maturity of these financial instruments. The estimated fair value of our First Lien Term Loan as of March 31, 2019 and December 31, 2018 is categorized in Level 2 of the fair value hierarchy and was calculated based upon available market information. The carrying value and fair value of our long-term debt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6"/>
                <w:szCs w:val="16"/>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260" w:type="dxa"/>
            <w:vAlign w:val="bottom"/>
          </w:tcPr>
          <w:p>
            <w:pPr>
              <w:spacing w:after="0"/>
              <w:rPr>
                <w:sz w:val="15"/>
                <w:szCs w:val="15"/>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04"/>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11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5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868,872</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905,754</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869,353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889,971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89"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19" w:name="page20"/>
    <w:bookmarkEnd w:id="19"/>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The Company has not included the effect of 19,999,967 warrants, 10,000,000 contingently issuable shares and 86,106 restricted stock units in the calculation of diluted net income per share for the three months ended March 31, 2019 because the inclusion of such shares would be antidilutive. The Company has not included the effect of 19,999,967 warrants in the calculation of diluted net loss for the three months ended March 31, 2018 because the inclusion of such shares would be antidilutive based on the net loss reported. Warrants are considered anti-dilutive and excluded when the exercise price exceeds the average market value of the Company’s common stock price during the applicable period.</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components of basic and diluted net income (loss) per share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7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8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ind w:right="7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2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(22,158)</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156,057</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7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156,458</w:t>
            </w: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21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16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2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Antidilutive shares excluded</w:t>
            </w:r>
          </w:p>
        </w:tc>
        <w:tc>
          <w:tcPr>
            <w:tcW w:w="1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Our interim income tax provision is determined using an estimated annual effective tax rate, adjusted for discrete items arising in that period. The estimated annual effective tax rate requires judgment and is dependent upon several factors. We provide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40"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We provide a valuation allowance for deferred tax assets if it is more likely than not that these items will expire before we are able to realize their benefit.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53"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31.9% and (23.0)% for the three months ended March 31, 2019 and 2018, respectively. The increase, compared to the same period in 2018, was primarily due to higher pretax income across multiple jurisdictions, and an increase in permanent differences between book and taxable income, including the 162(m) executive compensation limitation and the Global Intangible Low Tax Income inclusion.</w:t>
      </w:r>
    </w:p>
    <w:p>
      <w:pPr>
        <w:spacing w:after="0" w:line="136"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as of March 31, 2019 was $2.7 million, of which $2.5 million would affect our effective tax rate if recognized. We recognize interest and penalties related to unrecognized tax benefits through income tax expense. As of March 31, 2019, we had $0.8 million accrued for the payment of interest and penalties.</w:t>
      </w:r>
    </w:p>
    <w:p>
      <w:pPr>
        <w:spacing w:after="0" w:line="136"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taxing authorities in various states. The Company’s U.S. federal income tax return remains subject to income tax examinations by tax authorities for the years 2015 to 2018. The Company’s state income tax return is currently under examination by the State of Maryland Compliance Division for years 2015 to 2017. Various other state income tax returns for the years 2014 to 2018 are subject to income tax examination, and tax years prior to 2014 remain open in certain states due to tax attributes generated but not utilized yet. The Company regularly assesses the likelihood of additional tax deficiencies in each of the tax jurisdictions and, accordingly, makes appropriate adjustments to the tax provision as deemed necessary.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20" w:name="page21"/>
    <w:bookmarkEnd w:id="20"/>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details the components of stock-based compensation for the three months ended March 31, 2019:</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3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80" w:type="dxa"/>
            <w:vAlign w:val="bottom"/>
            <w:gridSpan w:val="2"/>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There were no corresponding stock compensation amounts in the three months ended March 31, 2018.</w:t>
      </w:r>
    </w:p>
    <w:p>
      <w:pPr>
        <w:spacing w:after="0" w:line="194"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5" w:lineRule="exact"/>
        <w:rPr>
          <w:sz w:val="20"/>
          <w:szCs w:val="20"/>
          <w:color w:val="auto"/>
        </w:rPr>
      </w:pPr>
    </w:p>
    <w:p>
      <w:pPr>
        <w:jc w:val="both"/>
        <w:ind w:firstLine="815"/>
        <w:spacing w:after="0" w:line="254" w:lineRule="auto"/>
        <w:rPr>
          <w:sz w:val="20"/>
          <w:szCs w:val="20"/>
          <w:color w:val="auto"/>
        </w:rPr>
      </w:pPr>
      <w:r>
        <w:rPr>
          <w:rFonts w:ascii="Times New Roman" w:cs="Times New Roman" w:eastAsia="Times New Roman" w:hAnsi="Times New Roman"/>
          <w:sz w:val="18"/>
          <w:szCs w:val="18"/>
          <w:color w:val="auto"/>
        </w:rPr>
        <w:t>At the closing of the Business Combination,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the PE Greenlight Holdings, LLC (the “</w:t>
      </w:r>
      <w:r>
        <w:rPr>
          <w:rFonts w:ascii="Times New Roman" w:cs="Times New Roman" w:eastAsia="Times New Roman" w:hAnsi="Times New Roman"/>
          <w:sz w:val="18"/>
          <w:szCs w:val="18"/>
          <w:b w:val="1"/>
          <w:bCs w:val="1"/>
          <w:i w:val="1"/>
          <w:iCs w:val="1"/>
          <w:color w:val="auto"/>
        </w:rPr>
        <w:t>Platinum Stockholder</w:t>
      </w:r>
      <w:r>
        <w:rPr>
          <w:rFonts w:ascii="Times New Roman" w:cs="Times New Roman" w:eastAsia="Times New Roman" w:hAnsi="Times New Roman"/>
          <w:sz w:val="18"/>
          <w:szCs w:val="18"/>
          <w:color w:val="auto"/>
        </w:rPr>
        <w:t>”) and Greenlight as the stockholder representative (the “</w:t>
      </w:r>
      <w:r>
        <w:rPr>
          <w:rFonts w:ascii="Times New Roman" w:cs="Times New Roman" w:eastAsia="Times New Roman" w:hAnsi="Times New Roman"/>
          <w:sz w:val="18"/>
          <w:szCs w:val="18"/>
          <w:b w:val="1"/>
          <w:bCs w:val="1"/>
          <w:i w:val="1"/>
          <w:iCs w:val="1"/>
          <w:color w:val="auto"/>
        </w:rPr>
        <w:t>Stockholder Representative</w:t>
      </w:r>
      <w:r>
        <w:rPr>
          <w:rFonts w:ascii="Times New Roman" w:cs="Times New Roman" w:eastAsia="Times New Roman" w:hAnsi="Times New Roman"/>
          <w:sz w:val="18"/>
          <w:szCs w:val="18"/>
          <w:color w:val="auto"/>
        </w:rPr>
        <w:t>”).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of HTA which resulted from the acquisition of HTA by Verra Mobility prior to the Business Combination. The post-closing company generally will retain the benefit of the remaining 50% of these cash savings. The Company estimated the potential maximum benefit to be paid will be approximately $70 million. The Company recorded an initial liability and corresponding charge to equity of $70 million at the closing of the Business Combination. Subsequently, the Company adjusted this amount. At March 31, 2019, the TRA was approximately $66 million. Future adjustments to the liability under the TRA will be based upon changes to future anticipated taxable income and tax rates and will be recorded in the statement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Agreement</w:t>
      </w:r>
    </w:p>
    <w:p>
      <w:pPr>
        <w:spacing w:after="0" w:line="198" w:lineRule="exact"/>
        <w:rPr>
          <w:sz w:val="20"/>
          <w:szCs w:val="20"/>
          <w:color w:val="auto"/>
        </w:rPr>
      </w:pPr>
    </w:p>
    <w:p>
      <w:pPr>
        <w:jc w:val="both"/>
        <w:ind w:firstLine="815"/>
        <w:spacing w:after="0" w:line="262" w:lineRule="auto"/>
        <w:rPr>
          <w:sz w:val="20"/>
          <w:szCs w:val="20"/>
          <w:color w:val="auto"/>
        </w:rPr>
      </w:pPr>
      <w:r>
        <w:rPr>
          <w:rFonts w:ascii="Times New Roman" w:cs="Times New Roman" w:eastAsia="Times New Roman" w:hAnsi="Times New Roman"/>
          <w:sz w:val="18"/>
          <w:szCs w:val="18"/>
          <w:color w:val="auto"/>
        </w:rPr>
        <w:t>Under the Merger Agreement, the Platinum Stockholder will be entitled to receive additional shares of Class A Common Stock (the “</w:t>
      </w:r>
      <w:r>
        <w:rPr>
          <w:rFonts w:ascii="Times New Roman" w:cs="Times New Roman" w:eastAsia="Times New Roman" w:hAnsi="Times New Roman"/>
          <w:sz w:val="18"/>
          <w:szCs w:val="18"/>
          <w:b w:val="1"/>
          <w:bCs w:val="1"/>
          <w:i w:val="1"/>
          <w:iCs w:val="1"/>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if the volume weighted average closing sale price of one share of Class A Stock on the Nasdaq exceeds certain thresholds for a period of at least 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out of 20 consecutive trading days at any time during the five-year period following the closing of the Business Combination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Earn-Out Shares will be issued by the Company to the Platinum Stockholder as follows:</w:t>
      </w:r>
    </w:p>
    <w:p>
      <w:pPr>
        <w:spacing w:after="0" w:line="117" w:lineRule="exact"/>
        <w:rPr>
          <w:sz w:val="20"/>
          <w:szCs w:val="20"/>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issuance of 2,500,000 shares if the Common Stock Price is greater than $13.00;</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issuance of 2,500,000 shares if the Common Stock Price is greater than $15.50;</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issuance of 2,500,000 shares if the Common Stock Price is greater than $18.00;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issuance of 2,500,000 shares if the Common Stock Price is greater than $20.50.</w:t>
      </w:r>
    </w:p>
    <w:p>
      <w:pPr>
        <w:spacing w:after="0" w:line="181" w:lineRule="exact"/>
        <w:rPr>
          <w:sz w:val="20"/>
          <w:szCs w:val="20"/>
          <w:color w:val="auto"/>
        </w:rPr>
      </w:pPr>
    </w:p>
    <w:p>
      <w:pPr>
        <w:jc w:val="both"/>
        <w:ind w:firstLine="815"/>
        <w:spacing w:after="0" w:line="268" w:lineRule="auto"/>
        <w:rPr>
          <w:sz w:val="20"/>
          <w:szCs w:val="20"/>
          <w:color w:val="auto"/>
        </w:rPr>
      </w:pPr>
      <w:r>
        <w:rPr>
          <w:rFonts w:ascii="Times New Roman" w:cs="Times New Roman" w:eastAsia="Times New Roman" w:hAnsi="Times New Roman"/>
          <w:sz w:val="18"/>
          <w:szCs w:val="18"/>
          <w:color w:val="auto"/>
        </w:rPr>
        <w:t>If any of the Common Stock Price thresholds described in the foregoing clauses (each, a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48"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If, during the earn-out period, there is a change of control (as defined in the Merger Agreement) that will result in the holders of Parent Class A Common Stock receiving a per share price equal to or in excess of the applicable Common Stock Price required in connection with any Triggering Event (an “</w:t>
      </w:r>
      <w:r>
        <w:rPr>
          <w:rFonts w:ascii="Times New Roman" w:cs="Times New Roman" w:eastAsia="Times New Roman" w:hAnsi="Times New Roman"/>
          <w:sz w:val="18"/>
          <w:szCs w:val="18"/>
          <w:b w:val="1"/>
          <w:bCs w:val="1"/>
          <w:i w:val="1"/>
          <w:iCs w:val="1"/>
          <w:color w:val="auto"/>
        </w:rPr>
        <w:t>Acceleration Event</w:t>
      </w:r>
      <w:r>
        <w:rPr>
          <w:rFonts w:ascii="Times New Roman" w:cs="Times New Roman" w:eastAsia="Times New Roman" w:hAnsi="Times New Roman"/>
          <w:sz w:val="18"/>
          <w:szCs w:val="18"/>
          <w:color w:val="auto"/>
        </w:rPr>
        <w:t>”), then immediately prior to the consummation of such change of control: (a) any such Triggering Event that has not previously occurred shall be deemed to have occurred; and (b) Parent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The Company has estimated the fair value of the contingently issuable shares to be $73.15 million. The Company used a Monte Carlo simulation option-pricing model to arrive at this estimate. Each tranche was valued separately giving specific consideration to the tranche’s price target. The simulation considered volatility and risk free rates utilizing a peer group based on a five year term. This is initially recorded as a distribution to shareholders and is presented as contingently issuable shares. Upon the occurrence of a Triggering Event, any issuable shares would be transferred from contingently issuable shares to common stock and additional paid in capital. Any contingently issuable shares not issued as a result of a Triggering Event not being attained by the end of earn-out period will be cancelled.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Services Agreement</w:t>
      </w:r>
    </w:p>
    <w:p>
      <w:pPr>
        <w:spacing w:after="0" w:line="185" w:lineRule="exact"/>
        <w:rPr>
          <w:sz w:val="20"/>
          <w:szCs w:val="20"/>
          <w:color w:val="auto"/>
        </w:rPr>
      </w:pPr>
    </w:p>
    <w:p>
      <w:pPr>
        <w:jc w:val="both"/>
        <w:ind w:firstLine="815"/>
        <w:spacing w:after="0" w:line="268" w:lineRule="auto"/>
        <w:rPr>
          <w:sz w:val="20"/>
          <w:szCs w:val="20"/>
          <w:color w:val="auto"/>
        </w:rPr>
      </w:pPr>
      <w:r>
        <w:rPr>
          <w:rFonts w:ascii="Times New Roman" w:cs="Times New Roman" w:eastAsia="Times New Roman" w:hAnsi="Times New Roman"/>
          <w:sz w:val="18"/>
          <w:szCs w:val="18"/>
          <w:color w:val="auto"/>
        </w:rPr>
        <w:t>On January 7, 2019, the Company entered into a new corporate advisory services agreement with Platinum Equity Advisors, LLC (“</w:t>
      </w:r>
      <w:r>
        <w:rPr>
          <w:rFonts w:ascii="Times New Roman" w:cs="Times New Roman" w:eastAsia="Times New Roman" w:hAnsi="Times New Roman"/>
          <w:sz w:val="18"/>
          <w:szCs w:val="18"/>
          <w:b w:val="1"/>
          <w:bCs w:val="1"/>
          <w:i w:val="1"/>
          <w:iCs w:val="1"/>
          <w:color w:val="auto"/>
        </w:rPr>
        <w:t>Advisors</w:t>
      </w:r>
      <w:r>
        <w:rPr>
          <w:rFonts w:ascii="Times New Roman" w:cs="Times New Roman" w:eastAsia="Times New Roman" w:hAnsi="Times New Roman"/>
          <w:sz w:val="18"/>
          <w:szCs w:val="18"/>
          <w:color w:val="auto"/>
        </w:rPr>
        <w:t>”), whereby Advisors will provide certain transactional and corporate advisory services to the Company as mutually agreed by the parties. No fees are payable under the agreement, but the Company must reimburse Advisors for its out-of-pocket expenses incurred in connection with services rendered.</w:t>
      </w:r>
    </w:p>
    <w:p>
      <w:pPr>
        <w:spacing w:after="0" w:line="130"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9"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The Company has issued various letters of credit under contractual arrangements with certain of its vendors and customers. Outstanding letters of credit under these arrangements totaled $1.0 million at March 31, 2019.</w:t>
      </w:r>
    </w:p>
    <w:p>
      <w:pPr>
        <w:spacing w:after="0" w:line="135"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The Company has issued non-cancelable purchase commitments to certain vendors. The aggregate non-cancelable purchase commitments outstanding at March 31, 2019 were $16.5 million.</w:t>
      </w:r>
    </w:p>
    <w:p>
      <w:pPr>
        <w:spacing w:after="0" w:line="121" w:lineRule="exact"/>
        <w:rPr>
          <w:sz w:val="20"/>
          <w:szCs w:val="20"/>
          <w:color w:val="auto"/>
        </w:rPr>
      </w:pPr>
    </w:p>
    <w:p>
      <w:pPr>
        <w:ind w:right="260" w:firstLine="815"/>
        <w:spacing w:after="0" w:line="461" w:lineRule="auto"/>
        <w:rPr>
          <w:sz w:val="20"/>
          <w:szCs w:val="20"/>
          <w:color w:val="auto"/>
        </w:rPr>
      </w:pPr>
      <w:r>
        <w:rPr>
          <w:rFonts w:ascii="Times New Roman" w:cs="Times New Roman" w:eastAsia="Times New Roman" w:hAnsi="Times New Roman"/>
          <w:sz w:val="18"/>
          <w:szCs w:val="18"/>
          <w:color w:val="auto"/>
        </w:rPr>
        <w:t xml:space="preserve">The Company is subject to tax audits in the normal course of business and does not have material contingencies recorded related to such audits. </w:t>
      </w:r>
      <w:r>
        <w:rPr>
          <w:rFonts w:ascii="Times New Roman" w:cs="Times New Roman" w:eastAsia="Times New Roman" w:hAnsi="Times New Roman"/>
          <w:sz w:val="18"/>
          <w:szCs w:val="18"/>
          <w:b w:val="1"/>
          <w:bCs w:val="1"/>
          <w:i w:val="1"/>
          <w:iCs w:val="1"/>
          <w:color w:val="auto"/>
        </w:rPr>
        <w:t>Legal Proceedings</w:t>
      </w:r>
    </w:p>
    <w:p>
      <w:pPr>
        <w:spacing w:after="0" w:line="2"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was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condensed consolidated results of operations, cash flows, or financial position. However, the outcome of litigation is inherently uncertain. As additional information becomes available, the Company reassesses the potential liability.</w:t>
      </w:r>
    </w:p>
    <w:p>
      <w:pPr>
        <w:spacing w:after="0" w:line="143"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89"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The Company has two operating and reportable segments, Government Solutions and Commercial Services. Government Solutions delivers traffic law enforcement services and products to state and local governments. Commercial Services delivers tolling and violation management services to rental car companies, commercial fleet vehicle owners and violation issuing authorities. The Company’s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function is comprised of the Company’s CEO and certain defined representatives of the Company’s executive management team. The Company’s CODM function monitors operating performance, allocates resources and deploys capital based on these two operating and reportable segments.</w:t>
      </w:r>
    </w:p>
    <w:p>
      <w:pPr>
        <w:spacing w:after="0" w:line="143"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Segment performance is based on revenues and income (loss) from operations before depreciation, amortization, impairment and gain (loss) on disposal of assets, stock-based compensation and interest expense and after other (income) expense, net. The table below refers to this measure as Segment profit (loss). Depreciation, amortization, impairment and gain (loss) on disposal of assets, stock-based compensation, interest expense, loss on extinguishment of debt and income taxes are not indicative of operating performance, and, as a result are not included in the measures that are reviewed by the CODM function for the operating and reportable segments. Other (income) expense, net consists primarily of credit card rebates earned on the prepayment of tolling violations and therefore included in Segment profit (loss). There are no significant non-cash items reported in Segment profit (loss).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22" w:name="page23"/>
    <w:bookmarkEnd w:id="22"/>
    <w:p>
      <w:pPr>
        <w:ind w:left="82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three months ended March 31, 2019 and March 31, 2018, respectively: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2019</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200" w:type="dxa"/>
            <w:vAlign w:val="bottom"/>
          </w:tcPr>
          <w:p>
            <w:pPr>
              <w:spacing w:after="0"/>
              <w:rPr>
                <w:sz w:val="12"/>
                <w:szCs w:val="12"/>
                <w:color w:val="auto"/>
              </w:rPr>
            </w:pPr>
          </w:p>
        </w:tc>
        <w:tc>
          <w:tcPr>
            <w:tcW w:w="1600" w:type="dxa"/>
            <w:vAlign w:val="bottom"/>
            <w:gridSpan w:val="2"/>
          </w:tcPr>
          <w:p>
            <w:pPr>
              <w:jc w:val="right"/>
              <w:ind w:right="660"/>
              <w:spacing w:after="0" w:line="14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2"/>
                <w:szCs w:val="12"/>
                <w:color w:val="auto"/>
              </w:rPr>
            </w:pPr>
          </w:p>
        </w:tc>
        <w:tc>
          <w:tcPr>
            <w:tcW w:w="1620" w:type="dxa"/>
            <w:vAlign w:val="bottom"/>
            <w:gridSpan w:val="2"/>
          </w:tcPr>
          <w:p>
            <w:pPr>
              <w:jc w:val="right"/>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160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620" w:type="dxa"/>
            <w:vAlign w:val="bottom"/>
            <w:gridSpan w:val="2"/>
          </w:tcPr>
          <w:p>
            <w:pPr>
              <w:jc w:val="right"/>
              <w:ind w:right="8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5"/>
                <w:szCs w:val="15"/>
                <w:color w:val="auto"/>
              </w:rPr>
            </w:pPr>
          </w:p>
        </w:tc>
        <w:tc>
          <w:tcPr>
            <w:tcW w:w="132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40" w:type="dxa"/>
            <w:vAlign w:val="bottom"/>
            <w:tcBorders>
              <w:top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Service revenue</w:t>
            </w:r>
          </w:p>
        </w:tc>
        <w:tc>
          <w:tcPr>
            <w:tcW w:w="8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35,482</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62,588</w:t>
            </w: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98,070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Product sales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Borders>
              <w:top w:val="single" w:sz="8" w:color="CFF0FC"/>
            </w:tcBorders>
            <w:gridSpan w:val="2"/>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revenue</w:t>
            </w:r>
          </w:p>
        </w:tc>
        <w:tc>
          <w:tcPr>
            <w:tcW w:w="8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35,873</w:t>
            </w:r>
          </w:p>
        </w:tc>
        <w:tc>
          <w:tcPr>
            <w:tcW w:w="2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62,588</w:t>
            </w:r>
          </w:p>
        </w:tc>
        <w:tc>
          <w:tcPr>
            <w:tcW w:w="2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98,461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service revenue</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product sales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7,850</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10,762</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(2,171)</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(2,207)</w:t>
            </w:r>
          </w:p>
        </w:tc>
        <w:tc>
          <w:tcPr>
            <w:tcW w:w="0" w:type="dxa"/>
            <w:vAlign w:val="bottom"/>
          </w:tcPr>
          <w:p>
            <w:pPr>
              <w:spacing w:after="0"/>
              <w:rPr>
                <w:sz w:val="1"/>
                <w:szCs w:val="1"/>
                <w:color w:val="auto"/>
              </w:rPr>
            </w:pPr>
          </w:p>
        </w:tc>
      </w:tr>
      <w:tr>
        <w:trPr>
          <w:trHeight w:val="20"/>
        </w:trPr>
        <w:tc>
          <w:tcPr>
            <w:tcW w:w="35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b w:val="1"/>
                <w:bCs w:val="1"/>
                <w:color w:val="auto"/>
              </w:rPr>
              <w:t>Segment profit (loss)</w:t>
            </w:r>
          </w:p>
        </w:tc>
        <w:tc>
          <w:tcPr>
            <w:tcW w:w="8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gridSpan w:val="2"/>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13,221</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38,037</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FF0FC"/>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51,257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Segment profit (loss)</w:t>
            </w: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13,221</w:t>
            </w:r>
          </w:p>
        </w:tc>
        <w:tc>
          <w:tcPr>
            <w:tcW w:w="280" w:type="dxa"/>
            <w:vAlign w:val="bottom"/>
          </w:tcPr>
          <w:p>
            <w:pPr>
              <w:spacing w:after="0"/>
              <w:rPr>
                <w:sz w:val="12"/>
                <w:szCs w:val="12"/>
                <w:color w:val="auto"/>
              </w:rPr>
            </w:pPr>
          </w:p>
        </w:tc>
        <w:tc>
          <w:tcPr>
            <w:tcW w:w="200" w:type="dxa"/>
            <w:vAlign w:val="bottom"/>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38,037</w:t>
            </w:r>
          </w:p>
        </w:tc>
        <w:tc>
          <w:tcPr>
            <w:tcW w:w="28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tcPr>
          <w:p>
            <w:pPr>
              <w:jc w:val="right"/>
              <w:ind w:right="220"/>
              <w:spacing w:after="0" w:line="143" w:lineRule="exact"/>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51,257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Depreciation, amortization, impairment,</w:t>
            </w: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28,941</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and (gain) loss on disposal of assets, net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6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16,033</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color w:val="auto"/>
              </w:rPr>
              <w:t>Income (loss) before income tax provision</w:t>
            </w:r>
          </w:p>
        </w:tc>
        <w:tc>
          <w:tcPr>
            <w:tcW w:w="8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13,221</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38,037</w:t>
            </w:r>
          </w:p>
        </w:tc>
        <w:tc>
          <w:tcPr>
            <w:tcW w:w="2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(47,118)</w:t>
            </w:r>
          </w:p>
        </w:tc>
        <w:tc>
          <w:tcPr>
            <w:tcW w:w="2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2018</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540"/>
              <w:spacing w:after="0" w:line="145"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560"/>
              <w:spacing w:after="0" w:line="14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right"/>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4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00" w:type="dxa"/>
            <w:vAlign w:val="bottom"/>
            <w:tcBorders>
              <w:top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Service revenue</w:t>
            </w:r>
          </w:p>
        </w:tc>
        <w:tc>
          <w:tcPr>
            <w:tcW w:w="8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36,559</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32,447</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69,006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Product sales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Borders>
              <w:top w:val="single" w:sz="8" w:color="CFF0FC"/>
            </w:tcBorders>
            <w:gridSpan w:val="2"/>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revenue</w:t>
            </w:r>
          </w:p>
        </w:tc>
        <w:tc>
          <w:tcPr>
            <w:tcW w:w="8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36,794</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32,447</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69,241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service revenue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product sales</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21,594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156"/>
        </w:trPr>
        <w:tc>
          <w:tcPr>
            <w:tcW w:w="350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Segment profit (loss)</w:t>
            </w:r>
          </w:p>
        </w:tc>
        <w:tc>
          <w:tcPr>
            <w:tcW w:w="88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15,844</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2,323</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(5,593)</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12,574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Segment profit (loss)</w:t>
            </w:r>
          </w:p>
        </w:tc>
        <w:tc>
          <w:tcPr>
            <w:tcW w:w="1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15,844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2,323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(5,593)</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12,574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Depreciation, amortization, impairment,</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18,544</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and (gain) loss on disposal of assets, net</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color w:val="auto"/>
              </w:rPr>
              <w:t>Income (loss) before income tax (benefit)</w:t>
            </w:r>
          </w:p>
        </w:tc>
        <w:tc>
          <w:tcPr>
            <w:tcW w:w="8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15,844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2,323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(46,935)</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(28,768)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Guarantor/Non-Guarantor Financial Information</w:t>
      </w:r>
    </w:p>
    <w:p>
      <w:pPr>
        <w:spacing w:after="0" w:line="202"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VM Consolidated, Inc. a wholly owned subsidiary of the Company is the lead borrower of the New First Lien Term Loan and the New Revolver. VM Consolidated, Inc. is owned by the Company through a series of holding companies that ultimately end with the Company. VM Consolidated, Inc. is wholly owned by Greenlight Acquisition Corporation, which is wholly owned by Greenlight Intermediate Holding Corporation, which is wholly owned by Greenlight Holding Corporation, which is wholly owned by Verra Mobility Holdings, LLC, which is wholly owned by Verra Mobility Corporation or the Company. Prior to the Business Combination, VM Consolidated, Inc. was known as ATS Consolidated, Inc. and its financial information was the same as the lead borrower. The principal elimination entries relate to investments in subsidiaries and intercompany balances and transactions, including transactions with the Company’s wholly-owned subsidiary guarantors and non-guarantor subsidiaries.</w:t>
      </w:r>
    </w:p>
    <w:p>
      <w:pPr>
        <w:spacing w:after="0" w:line="149"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following financial information presents Condensed Consolidated Balance Sheets as of March 31, 2019 and the related Condensed Consolidated Statements of Operations and Comprehensive Income (Loss) and Condensed Consolidated Statements of Cash Flows for the three months ended March 31, 2019 for the Company, Combined Guarantor Subsidiaries and Combined Non-Guarantor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 March 31, 2019</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VM</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 Inc.</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(Ultimate Parent)</w:t>
            </w:r>
          </w:p>
        </w:tc>
        <w:tc>
          <w:tcPr>
            <w:tcW w:w="160" w:type="dxa"/>
            <w:vAlign w:val="bottom"/>
          </w:tcPr>
          <w:p>
            <w:pPr>
              <w:spacing w:after="0"/>
              <w:rPr>
                <w:sz w:val="15"/>
                <w:szCs w:val="15"/>
                <w:color w:val="auto"/>
              </w:rPr>
            </w:pPr>
          </w:p>
        </w:tc>
        <w:tc>
          <w:tcPr>
            <w:tcW w:w="12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5"/>
                <w:szCs w:val="15"/>
                <w:color w:val="auto"/>
              </w:rPr>
            </w:pPr>
          </w:p>
        </w:tc>
        <w:tc>
          <w:tcPr>
            <w:tcW w:w="11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Unbilled receivables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Investment in subsidiary</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(141,767)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223,583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223,583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491,853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565,596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Due from affiliates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311,026</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1,365,612</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(311,026)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1,365,612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85,586</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 net of current portion and deferred</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financing costs</w:t>
            </w: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859,768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859,768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Payable related to tax receivable agreement</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Due to affiliates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1,223,845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(169,259)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1,060,791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304,821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141,767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(141,767)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304,821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311,026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1,365,612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(311,026)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1,365,612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VM</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 Inc.</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(Ultimate Parent)</w:t>
            </w:r>
          </w:p>
        </w:tc>
        <w:tc>
          <w:tcPr>
            <w:tcW w:w="160" w:type="dxa"/>
            <w:vAlign w:val="bottom"/>
          </w:tcPr>
          <w:p>
            <w:pPr>
              <w:spacing w:after="0"/>
              <w:rPr>
                <w:sz w:val="15"/>
                <w:szCs w:val="15"/>
                <w:color w:val="auto"/>
              </w:rPr>
            </w:pPr>
          </w:p>
        </w:tc>
        <w:tc>
          <w:tcPr>
            <w:tcW w:w="12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5"/>
                <w:szCs w:val="15"/>
                <w:color w:val="auto"/>
              </w:rPr>
            </w:pPr>
          </w:p>
        </w:tc>
        <w:tc>
          <w:tcPr>
            <w:tcW w:w="11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9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0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98,070</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98,461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98,461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impairment and (gain) loss 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disposal of assets, net</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from operations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equity investment</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(2,207)</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0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 (benefit) provision</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VM</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 Inc.</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(Ultimate Parent)</w:t>
            </w:r>
          </w:p>
        </w:tc>
        <w:tc>
          <w:tcPr>
            <w:tcW w:w="160" w:type="dxa"/>
            <w:vAlign w:val="bottom"/>
          </w:tcPr>
          <w:p>
            <w:pPr>
              <w:spacing w:after="0"/>
              <w:rPr>
                <w:sz w:val="15"/>
                <w:szCs w:val="15"/>
                <w:color w:val="auto"/>
              </w:rPr>
            </w:pPr>
          </w:p>
        </w:tc>
        <w:tc>
          <w:tcPr>
            <w:tcW w:w="12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5"/>
                <w:szCs w:val="15"/>
                <w:color w:val="auto"/>
              </w:rPr>
            </w:pPr>
          </w:p>
        </w:tc>
        <w:tc>
          <w:tcPr>
            <w:tcW w:w="11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provided by (used in) operating activities:</w:t>
            </w: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Accretion expense</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Write-downs of installation and service parts and (gain)</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Installation and service parts expense</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Bad debt expense</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(income) from equity investment</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(8,372)</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Unbilled receivables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(3,797)</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Due to affiliates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(3,648)</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equipment</w:t>
            </w: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(9,219)</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proceeds from the sale of assets and insurance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recoveries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(2,276)</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VM</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 Inc.</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960" w:type="dxa"/>
            <w:vAlign w:val="bottom"/>
          </w:tcPr>
          <w:p>
            <w:pPr>
              <w:spacing w:after="0"/>
              <w:rPr>
                <w:sz w:val="15"/>
                <w:szCs w:val="15"/>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5"/>
                <w:szCs w:val="15"/>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paid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(4,710)</w:t>
            </w:r>
          </w:p>
        </w:tc>
        <w:tc>
          <w:tcPr>
            <w:tcW w:w="14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(4,710)</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additions (reductions) to ARO, property and</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equipment, and other</w:t>
            </w:r>
          </w:p>
        </w:tc>
        <w:tc>
          <w:tcPr>
            <w:tcW w:w="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0"/>
                <w:szCs w:val="20"/>
                <w:color w:val="auto"/>
              </w:rPr>
            </w:pPr>
          </w:p>
        </w:tc>
      </w:tr>
      <w:tr>
        <w:trPr>
          <w:trHeight w:val="211"/>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equipment in accounts payable and accrued liabilities at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period end</w:t>
            </w:r>
          </w:p>
        </w:tc>
        <w:tc>
          <w:tcPr>
            <w:tcW w:w="80" w:type="dxa"/>
            <w:vAlign w:val="bottom"/>
          </w:tcPr>
          <w:p>
            <w:pPr>
              <w:spacing w:after="0"/>
              <w:rPr>
                <w:sz w:val="20"/>
                <w:szCs w:val="20"/>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Pr>
          <w:p>
            <w:pPr>
              <w:spacing w:after="0"/>
              <w:rPr>
                <w:sz w:val="20"/>
                <w:szCs w:val="20"/>
                <w:color w:val="auto"/>
              </w:rPr>
            </w:pPr>
          </w:p>
        </w:tc>
      </w:tr>
    </w:tbl>
    <w:p>
      <w:pPr>
        <w:spacing w:after="0" w:line="221"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89"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On April 26, 2019, the triggering event for the issuance of the first tranche of Earn-Out Shares to the Platinum Stockholder (see Note 12) occurred, as the volume weighted average closing price per share of the Company’s Class A Common Stock as of that date had been greater than $13.00 for 10 out of 20 consecutive trading days. This triggering event resulted in the issuance of 2.5 million shares of the Company’s common stock and will result in an increase in the Company’s common stock and additional paid-in capital accounts of $18.2 million, with a corresponding decrease to the common stock contingent consideration account.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ind w:firstLine="815"/>
        <w:spacing w:after="0" w:line="259" w:lineRule="auto"/>
        <w:rPr>
          <w:sz w:val="20"/>
          <w:szCs w:val="20"/>
          <w:color w:val="auto"/>
        </w:rPr>
      </w:pPr>
      <w:r>
        <w:rPr>
          <w:rFonts w:ascii="Times New Roman" w:cs="Times New Roman" w:eastAsia="Times New Roman" w:hAnsi="Times New Roman"/>
          <w:sz w:val="18"/>
          <w:szCs w:val="18"/>
          <w:i w:val="1"/>
          <w:iCs w:val="1"/>
          <w:color w:val="auto"/>
        </w:rPr>
        <w:t>Stockholders should read the following discussion and analysis of our financial condition and results of operations together with our Annual Report on Form 10-K/A for the year ended December 31, 2018 and our financial statements included in Part I, Item 1, of this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the Annual Report on Form 10-K/A for the year ended December 31, 2018.</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We believe we are a leading provider of smart mobility technology solutions and services throughout the United States, Canada and Europe. We provide integrated technology solutions and services, which include toll and violations management, title and registration, automated safety solutions, and other data-driven solutions to our customers, which include rental car companies (“</w:t>
      </w:r>
      <w:r>
        <w:rPr>
          <w:rFonts w:ascii="Times New Roman" w:cs="Times New Roman" w:eastAsia="Times New Roman" w:hAnsi="Times New Roman"/>
          <w:sz w:val="18"/>
          <w:szCs w:val="18"/>
          <w:b w:val="1"/>
          <w:bCs w:val="1"/>
          <w:i w:val="1"/>
          <w:iCs w:val="1"/>
          <w:color w:val="auto"/>
        </w:rPr>
        <w:t>RAC</w:t>
      </w:r>
      <w:r>
        <w:rPr>
          <w:rFonts w:ascii="Times New Roman" w:cs="Times New Roman" w:eastAsia="Times New Roman" w:hAnsi="Times New Roman"/>
          <w:sz w:val="18"/>
          <w:szCs w:val="18"/>
          <w:color w:val="auto"/>
        </w:rPr>
        <w:t>s”), fleet management companies (“</w:t>
      </w:r>
      <w:r>
        <w:rPr>
          <w:rFonts w:ascii="Times New Roman" w:cs="Times New Roman" w:eastAsia="Times New Roman" w:hAnsi="Times New Roman"/>
          <w:sz w:val="18"/>
          <w:szCs w:val="18"/>
          <w:b w:val="1"/>
          <w:bCs w:val="1"/>
          <w:i w:val="1"/>
          <w:iCs w:val="1"/>
          <w:color w:val="auto"/>
        </w:rPr>
        <w:t>FMC</w:t>
      </w:r>
      <w:r>
        <w:rPr>
          <w:rFonts w:ascii="Times New Roman" w:cs="Times New Roman" w:eastAsia="Times New Roman" w:hAnsi="Times New Roman"/>
          <w:sz w:val="18"/>
          <w:szCs w:val="18"/>
          <w:color w:val="auto"/>
        </w:rPr>
        <w:t>s”), other large fleet owners, municipalities,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for hundreds of agencies and millions of end users annually, while also making cities and roadways safer for everyone.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have two operating and reportable segments, Commercial Services and Government Solutions:</w:t>
      </w:r>
    </w:p>
    <w:p>
      <w:pPr>
        <w:spacing w:after="0" w:line="117" w:lineRule="exact"/>
        <w:rPr>
          <w:sz w:val="20"/>
          <w:szCs w:val="20"/>
          <w:color w:val="auto"/>
        </w:rPr>
      </w:pPr>
    </w:p>
    <w:p>
      <w:pPr>
        <w:jc w:val="both"/>
        <w:ind w:left="820" w:hanging="407"/>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Services division offers toll and violation management solutions for the commercial fleet and rental car industries by partnering with the leading fleet management and rental car companies in North America and Europe. The Commercial Services division also offers title and registration services and processing for individuals, rental car companies and fleet management companies.</w:t>
      </w:r>
    </w:p>
    <w:p>
      <w:pPr>
        <w:spacing w:after="0" w:line="68"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Solutions division provides complete, end-to-end red-light, speed, school bus stop arm and bus lane enforcement solutions. The Company implements and administers traffic safety programs for municipalities and agencies of all sizes.</w:t>
      </w:r>
    </w:p>
    <w:p>
      <w:pPr>
        <w:spacing w:after="0" w:line="121"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Segment performance is based on revenues and pre-tax income (loss) before depreciation, amortization, impairment and gain (loss) on disposal of assets, interest expense, stock-based compensation and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02"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We operate with long-term contracts and a highly recurring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68" w:lineRule="exact"/>
        <w:rPr>
          <w:sz w:val="20"/>
          <w:szCs w:val="20"/>
          <w:color w:val="auto"/>
        </w:rPr>
      </w:pPr>
    </w:p>
    <w:p>
      <w:pPr>
        <w:jc w:val="both"/>
        <w:ind w:left="820" w:hanging="407"/>
        <w:spacing w:after="0" w:line="261"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on growth strategies by completing strategic acquisitions: we acquired Highway Toll Administration, LLC, and Canada Highway Toll Administration (collectively, “</w:t>
      </w:r>
      <w:r>
        <w:rPr>
          <w:rFonts w:ascii="Times New Roman" w:cs="Times New Roman" w:eastAsia="Times New Roman" w:hAnsi="Times New Roman"/>
          <w:sz w:val="18"/>
          <w:szCs w:val="18"/>
          <w:b w:val="1"/>
          <w:bCs w:val="1"/>
          <w:i w:val="1"/>
          <w:iCs w:val="1"/>
          <w:color w:val="auto"/>
        </w:rPr>
        <w:t>HTA</w:t>
      </w:r>
      <w:r>
        <w:rPr>
          <w:rFonts w:ascii="Times New Roman" w:cs="Times New Roman" w:eastAsia="Times New Roman" w:hAnsi="Times New Roman"/>
          <w:sz w:val="18"/>
          <w:szCs w:val="18"/>
          <w:color w:val="auto"/>
        </w:rPr>
        <w:t>”), a tolling company which strengthens our position in tolling and related services to RAC and FMC customers, in the first quarter of 2018; and Euro Parking Collection (“</w:t>
      </w:r>
      <w:r>
        <w:rPr>
          <w:rFonts w:ascii="Times New Roman" w:cs="Times New Roman" w:eastAsia="Times New Roman" w:hAnsi="Times New Roman"/>
          <w:sz w:val="18"/>
          <w:szCs w:val="18"/>
          <w:b w:val="1"/>
          <w:bCs w:val="1"/>
          <w:i w:val="1"/>
          <w:iCs w:val="1"/>
          <w:color w:val="auto"/>
        </w:rPr>
        <w:t>EPC</w:t>
      </w:r>
      <w:r>
        <w:rPr>
          <w:rFonts w:ascii="Times New Roman" w:cs="Times New Roman" w:eastAsia="Times New Roman" w:hAnsi="Times New Roman"/>
          <w:sz w:val="18"/>
          <w:szCs w:val="18"/>
          <w:color w:val="auto"/>
        </w:rPr>
        <w:t>”) in the second quarter of 2018, providing a platform to expand our RAC and FMC solutions into Europe.</w:t>
      </w:r>
    </w:p>
    <w:p>
      <w:pPr>
        <w:spacing w:after="0" w:line="71" w:lineRule="exact"/>
        <w:rPr>
          <w:rFonts w:ascii="Times New Roman" w:cs="Times New Roman" w:eastAsia="Times New Roman" w:hAnsi="Times New Roman"/>
          <w:sz w:val="18"/>
          <w:szCs w:val="18"/>
          <w:color w:val="auto"/>
        </w:rPr>
      </w:pPr>
    </w:p>
    <w:p>
      <w:pPr>
        <w:jc w:val="both"/>
        <w:ind w:left="820" w:right="20" w:hanging="407"/>
        <w:spacing w:after="0" w:line="266"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service revenue from $69.0 million in the three months ended March 31, 2018 to $98.1 million for the three months ended March 31, 2019. Acquisitions contributed $21.6 million to the revenue growth, while expansion in existing products or customers contributed $7.5 million to the revenue growth.</w:t>
      </w:r>
    </w:p>
    <w:p>
      <w:pPr>
        <w:spacing w:after="0" w:line="68"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our cost structure, as operating expenses as a percentage of total revenue decreased from 34.2% in the three months ended March 31, 2018 to 29.8% in the three months ended March 31, 2019.</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operating activities of $37.4 million for the three months ended March 31, 2019. Cash flows from operating activities for the three months ended March 31, 2018 were negatively impacted by $15.6 million of expenses associated with the HTA acquisition.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operating results and financial performance are influenced by certain unique events during the periods discussed herein, including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85" w:lineRule="exact"/>
        <w:rPr>
          <w:sz w:val="20"/>
          <w:szCs w:val="20"/>
          <w:color w:val="auto"/>
        </w:rPr>
      </w:pPr>
    </w:p>
    <w:p>
      <w:pPr>
        <w:jc w:val="both"/>
        <w:ind w:firstLine="815"/>
        <w:spacing w:after="0" w:line="262" w:lineRule="auto"/>
        <w:rPr>
          <w:sz w:val="20"/>
          <w:szCs w:val="20"/>
          <w:color w:val="auto"/>
        </w:rPr>
      </w:pPr>
      <w:r>
        <w:rPr>
          <w:rFonts w:ascii="Times New Roman" w:cs="Times New Roman" w:eastAsia="Times New Roman" w:hAnsi="Times New Roman"/>
          <w:sz w:val="18"/>
          <w:szCs w:val="18"/>
          <w:color w:val="auto"/>
        </w:rPr>
        <w:t>We were originally incorporated in Delaware on August 15, 2016 as Gores Holdings II, Inc. (“</w:t>
      </w:r>
      <w:r>
        <w:rPr>
          <w:rFonts w:ascii="Times New Roman" w:cs="Times New Roman" w:eastAsia="Times New Roman" w:hAnsi="Times New Roman"/>
          <w:sz w:val="18"/>
          <w:szCs w:val="18"/>
          <w:b w:val="1"/>
          <w:bCs w:val="1"/>
          <w:i w:val="1"/>
          <w:iCs w:val="1"/>
          <w:color w:val="auto"/>
        </w:rPr>
        <w:t>Gores</w:t>
      </w:r>
      <w:r>
        <w:rPr>
          <w:rFonts w:ascii="Times New Roman" w:cs="Times New Roman" w:eastAsia="Times New Roman" w:hAnsi="Times New Roman"/>
          <w:sz w:val="18"/>
          <w:szCs w:val="18"/>
          <w:color w:val="auto"/>
        </w:rPr>
        <w:t>”), a special purpose acquisition company formed for the purpose of effecting a merger, capital stock exchange, asset acquisition, stock purchase, reorganization, or other similar business combination with one or more target businesses. On January 19, 2017, we consummated our initial public offering, following which our shares began trading on the Nasdaq Capital Market.</w:t>
      </w:r>
    </w:p>
    <w:p>
      <w:pPr>
        <w:spacing w:after="0" w:line="150" w:lineRule="exact"/>
        <w:rPr>
          <w:sz w:val="20"/>
          <w:szCs w:val="20"/>
          <w:color w:val="auto"/>
        </w:rPr>
      </w:pPr>
    </w:p>
    <w:p>
      <w:pPr>
        <w:jc w:val="both"/>
        <w:ind w:firstLine="815"/>
        <w:spacing w:after="0" w:line="254" w:lineRule="auto"/>
        <w:rPr>
          <w:sz w:val="20"/>
          <w:szCs w:val="20"/>
          <w:color w:val="auto"/>
        </w:rPr>
      </w:pPr>
      <w:r>
        <w:rPr>
          <w:rFonts w:ascii="Times New Roman" w:cs="Times New Roman" w:eastAsia="Times New Roman" w:hAnsi="Times New Roman"/>
          <w:sz w:val="18"/>
          <w:szCs w:val="18"/>
          <w:color w:val="auto"/>
        </w:rPr>
        <w:t>On June 21, 2018, Gores, AM Merger Sub I, Inc., a direct, wholly-owned subsidiary of Gores (“</w:t>
      </w:r>
      <w:r>
        <w:rPr>
          <w:rFonts w:ascii="Times New Roman" w:cs="Times New Roman" w:eastAsia="Times New Roman" w:hAnsi="Times New Roman"/>
          <w:sz w:val="18"/>
          <w:szCs w:val="18"/>
          <w:b w:val="1"/>
          <w:bCs w:val="1"/>
          <w:i w:val="1"/>
          <w:iCs w:val="1"/>
          <w:color w:val="auto"/>
        </w:rPr>
        <w:t>First Merger Sub</w:t>
      </w:r>
      <w:r>
        <w:rPr>
          <w:rFonts w:ascii="Times New Roman" w:cs="Times New Roman" w:eastAsia="Times New Roman" w:hAnsi="Times New Roman"/>
          <w:sz w:val="18"/>
          <w:szCs w:val="18"/>
          <w:color w:val="auto"/>
        </w:rPr>
        <w:t>”), AM Merger Sub II, LLC, a direct, wholly-owned subsidiary of Gores (“</w:t>
      </w:r>
      <w:r>
        <w:rPr>
          <w:rFonts w:ascii="Times New Roman" w:cs="Times New Roman" w:eastAsia="Times New Roman" w:hAnsi="Times New Roman"/>
          <w:sz w:val="18"/>
          <w:szCs w:val="18"/>
          <w:b w:val="1"/>
          <w:bCs w:val="1"/>
          <w:i w:val="1"/>
          <w:iCs w:val="1"/>
          <w:color w:val="auto"/>
        </w:rPr>
        <w:t>Second Merger Sub</w:t>
      </w:r>
      <w:r>
        <w:rPr>
          <w:rFonts w:ascii="Times New Roman" w:cs="Times New Roman" w:eastAsia="Times New Roman" w:hAnsi="Times New Roman"/>
          <w:sz w:val="18"/>
          <w:szCs w:val="18"/>
          <w:color w:val="auto"/>
        </w:rPr>
        <w:t>”), Greenlight Holding II Corporation (“</w:t>
      </w:r>
      <w:r>
        <w:rPr>
          <w:rFonts w:ascii="Times New Roman" w:cs="Times New Roman" w:eastAsia="Times New Roman" w:hAnsi="Times New Roman"/>
          <w:sz w:val="18"/>
          <w:szCs w:val="18"/>
          <w:b w:val="1"/>
          <w:bCs w:val="1"/>
          <w:i w:val="1"/>
          <w:iCs w:val="1"/>
          <w:color w:val="auto"/>
        </w:rPr>
        <w:t>Greenlight</w:t>
      </w:r>
      <w:r>
        <w:rPr>
          <w:rFonts w:ascii="Times New Roman" w:cs="Times New Roman" w:eastAsia="Times New Roman" w:hAnsi="Times New Roman"/>
          <w:sz w:val="18"/>
          <w:szCs w:val="18"/>
          <w:color w:val="auto"/>
        </w:rPr>
        <w:t>”), and PE Greenlight Holdings, LLC entered into an Agreement and Plan of Merger as amended on August 23, 2018 by that certain Amendment No. 1 to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which provided for, among other things, (i) the merger of First Merger Sub with and into Greenlight, with Greenlight continuing as the surviving corporation (the “</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Times New Roman" w:cs="Times New Roman" w:eastAsia="Times New Roman" w:hAnsi="Times New Roman"/>
          <w:sz w:val="18"/>
          <w:szCs w:val="18"/>
          <w:b w:val="1"/>
          <w:bCs w:val="1"/>
          <w:i w:val="1"/>
          <w:iCs w:val="1"/>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and, together with the other transactions contemplated by the Merger Agreement,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18"/>
          <w:szCs w:val="18"/>
          <w:color w:val="auto"/>
        </w:rPr>
        <w:t>”). In connection with the closing of the Business Combination on October 17, 2018, we changed our name to Verra Mobility Corporation.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the Business Combination, we became the owner, directly or indirectly, of all of the equity interests of Verra Mobility Holdings, LLC (formerly Second Merger Sub) and its subsidiaries.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HTA Acquisition and Refinancing</w:t>
      </w:r>
    </w:p>
    <w:p>
      <w:pPr>
        <w:spacing w:after="0" w:line="189"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 xml:space="preserve">On March 1, 2018, we acquired HTA for an aggregate purchase price of $603.3 million, consisting of $525.0 million in cash, $9.7 million in purchase price adjustments, a $11.3 million payment to the sellers for certain tax items, and the issuance of equity in Greenlight with a fair value of approximately $57.3 million. The receipt of the equity was treated for accounting purposes as a capital contribution from Greenlight Acquisition Corporation. We recognized $15.6 million of costs related to the transaction, in the three months ended March 31, 2018. HTA contributed approximately $28.1 million and $9.7 million in revenues for the three months ended March 31, 2019 and 2018, respectively. See Note 3, </w:t>
      </w:r>
      <w:r>
        <w:rPr>
          <w:rFonts w:ascii="Times New Roman" w:cs="Times New Roman" w:eastAsia="Times New Roman" w:hAnsi="Times New Roman"/>
          <w:sz w:val="18"/>
          <w:szCs w:val="18"/>
          <w:i w:val="1"/>
          <w:iCs w:val="1"/>
          <w:color w:val="auto"/>
        </w:rPr>
        <w:t>Mergers and Acquisitions,</w:t>
      </w:r>
      <w:r>
        <w:rPr>
          <w:rFonts w:ascii="Times New Roman" w:cs="Times New Roman" w:eastAsia="Times New Roman" w:hAnsi="Times New Roman"/>
          <w:sz w:val="18"/>
          <w:szCs w:val="18"/>
          <w:color w:val="auto"/>
        </w:rPr>
        <w:t xml:space="preserve"> in Item 1, Financial Statements.</w:t>
      </w:r>
    </w:p>
    <w:p>
      <w:pPr>
        <w:spacing w:after="0" w:line="161"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HTA acquisition, we refinanced the 2017 Credit Facilities (defined below) and entered into the 2018 Credit Facilities (defined below), which provided for term loans with an aggregate principal amount of $1.04 billion and a revolver with an aggregate commitment of up to $75.0 million. We recorded a loss on extinguishment of the 2017 Credit Facilities of approximately $10.2 million in the three months ended March 31, 2018, which included a prepayment penalty of $3.8 million related to one of the term loans.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Item 1,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EPC Acquisition</w:t>
      </w:r>
    </w:p>
    <w:p>
      <w:pPr>
        <w:spacing w:after="0" w:line="189"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 xml:space="preserve">On April 6, 2018, we acquired EPC for an aggregate purchase price of $62.9 million. The purchase consideration consisted primarily of equity in Greenlight and working capital adjustments, which aggregated $2.6 million. The receipt of the equity was treated for accounting purposes as a capital contribution from Greenlight Acquisition Corporation. EPC contributed approximately $3.2 million in revenues for the three months ended March 31, 2019. See Note 3, </w:t>
      </w:r>
      <w:r>
        <w:rPr>
          <w:rFonts w:ascii="Times New Roman" w:cs="Times New Roman" w:eastAsia="Times New Roman" w:hAnsi="Times New Roman"/>
          <w:sz w:val="18"/>
          <w:szCs w:val="18"/>
          <w:i w:val="1"/>
          <w:iCs w:val="1"/>
          <w:color w:val="auto"/>
        </w:rPr>
        <w:t>Mergers and Acquisitions,</w:t>
      </w:r>
      <w:r>
        <w:rPr>
          <w:rFonts w:ascii="Times New Roman" w:cs="Times New Roman" w:eastAsia="Times New Roman" w:hAnsi="Times New Roman"/>
          <w:sz w:val="18"/>
          <w:szCs w:val="18"/>
          <w:color w:val="auto"/>
        </w:rPr>
        <w:t xml:space="preserve"> in Item 1,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ATS Merger</w:t>
      </w:r>
    </w:p>
    <w:p>
      <w:pPr>
        <w:spacing w:after="0" w:line="189"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On May 31, 2017, private equity investment vehicles sponsored by Platinum acquired ATS Consolidated, Inc. (now VM Consolidated, Inc.) pursuant to the Agreement and Plan of Merger, dated April 15, 2017, by and among ATS Consolidated, Inc., Greenlight Merger Corporation, a wholly owned subsidiary of Greenlight Acquisition Corporation, and Greenlight Acquisition Corporation, whereby we merged with and into Greenlight Merger Corporation with the former surviving the merger (such transaction, the “</w:t>
      </w:r>
      <w:r>
        <w:rPr>
          <w:rFonts w:ascii="Times New Roman" w:cs="Times New Roman" w:eastAsia="Times New Roman" w:hAnsi="Times New Roman"/>
          <w:sz w:val="18"/>
          <w:szCs w:val="18"/>
          <w:b w:val="1"/>
          <w:bCs w:val="1"/>
          <w:i w:val="1"/>
          <w:iCs w:val="1"/>
          <w:color w:val="auto"/>
        </w:rPr>
        <w:t>ATS 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Primary Components of Operating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Total revenues consist of service revenues generated by our Commercial Services and Government Solutions segments and product sales generated by the Government Solutions segment.</w:t>
      </w:r>
    </w:p>
    <w:p>
      <w:pPr>
        <w:spacing w:after="0" w:line="119" w:lineRule="exact"/>
        <w:rPr>
          <w:sz w:val="20"/>
          <w:szCs w:val="20"/>
          <w:color w:val="auto"/>
        </w:rPr>
      </w:pPr>
    </w:p>
    <w:p>
      <w:pPr>
        <w:jc w:val="both"/>
        <w:ind w:firstLine="81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The Commercial Services segment primarily generates service revenue through the management and operation of tolling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for RACs, FMCs and other large fleet customers. These solutions are full service offerings by which we enroll plates of our customers’ vehicles with tolling authorities, process payments on the customers’ behalf and, through proprietary technology, integrate with customer data to match the toll to the driver and then bill the driver (or our customer, as applicable) for use of the service. The cost of certain tolls, violations and our customers’ share of administration fees are netted against revenue. We also generate service revenue in the Commercial Services segment through processing titles, registrations and violations for our customers.</w:t>
      </w:r>
    </w:p>
    <w:p>
      <w:pPr>
        <w:spacing w:after="0" w:line="158"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The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included the number of systems installed and the monthly revenue per system. Ancillary service revenue is generated in the Government Solutions segment from payment processing, pass-through fees for collection expense, street light maintenance contracts and other fees.</w:t>
      </w:r>
    </w:p>
    <w:p>
      <w:pPr>
        <w:spacing w:after="0" w:line="141" w:lineRule="exact"/>
        <w:rPr>
          <w:sz w:val="20"/>
          <w:szCs w:val="20"/>
          <w:color w:val="auto"/>
        </w:rPr>
      </w:pPr>
    </w:p>
    <w:p>
      <w:pPr>
        <w:jc w:val="both"/>
        <w:ind w:firstLine="81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to certain Government Solutions customers. There are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 number of customers who purchase this equipment, and their buying patterns vary greatly from period to period. Product sales revenue is recognized when the equipment is accepted or installed.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200" w:lineRule="exact"/>
        <w:rPr>
          <w:sz w:val="20"/>
          <w:szCs w:val="20"/>
          <w:color w:val="auto"/>
        </w:rPr>
      </w:pPr>
    </w:p>
    <w:p>
      <w:pPr>
        <w:jc w:val="both"/>
        <w:ind w:firstLine="81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consists of collection and other professional services contracted with third parties and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delivery of certain ancillary services performed by both the Government Solutions and Commercial Services segments.</w:t>
      </w:r>
    </w:p>
    <w:p>
      <w:pPr>
        <w:spacing w:after="0" w:line="118" w:lineRule="exact"/>
        <w:rPr>
          <w:sz w:val="20"/>
          <w:szCs w:val="20"/>
          <w:color w:val="auto"/>
        </w:rPr>
      </w:pPr>
    </w:p>
    <w:p>
      <w:pPr>
        <w:jc w:val="both"/>
        <w:ind w:firstLine="81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Costs of product sales consist of the costs to acquire and install photo enforcement equipment that is purchased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Solutions customers.</w:t>
      </w:r>
    </w:p>
    <w:p>
      <w:pPr>
        <w:spacing w:after="0" w:line="118" w:lineRule="exact"/>
        <w:rPr>
          <w:sz w:val="20"/>
          <w:szCs w:val="20"/>
          <w:color w:val="auto"/>
        </w:rPr>
      </w:pPr>
    </w:p>
    <w:p>
      <w:pPr>
        <w:jc w:val="both"/>
        <w:ind w:right="20" w:firstLine="81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include payroll and payroll-related costs (including stock-based compensation), costs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of our call centers and other operational costs, including transaction processing, print, postage and communication costs.</w:t>
      </w:r>
    </w:p>
    <w:p>
      <w:pPr>
        <w:spacing w:after="0" w:line="131" w:lineRule="exact"/>
        <w:rPr>
          <w:sz w:val="20"/>
          <w:szCs w:val="20"/>
          <w:color w:val="auto"/>
        </w:rPr>
      </w:pPr>
    </w:p>
    <w:p>
      <w:pPr>
        <w:jc w:val="both"/>
        <w:ind w:firstLine="81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includes payroll and payroll-related costs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real estate lease expense, insurance costs, legal fees and general corporate expenses.</w:t>
      </w:r>
    </w:p>
    <w:p>
      <w:pPr>
        <w:spacing w:after="0" w:line="118" w:lineRule="exact"/>
        <w:rPr>
          <w:sz w:val="20"/>
          <w:szCs w:val="20"/>
          <w:color w:val="auto"/>
        </w:rPr>
      </w:pPr>
    </w:p>
    <w:p>
      <w:pPr>
        <w:jc w:val="both"/>
        <w:ind w:firstLine="81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Impairment and (Gain) Loss on Disposal of Assets, Net. </w:t>
      </w:r>
      <w:r>
        <w:rPr>
          <w:rFonts w:ascii="Times New Roman" w:cs="Times New Roman" w:eastAsia="Times New Roman" w:hAnsi="Times New Roman"/>
          <w:sz w:val="18"/>
          <w:szCs w:val="18"/>
          <w:color w:val="auto"/>
        </w:rPr>
        <w:t>Depreciation, amortization, impairment, (gain) loss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of assets, net includes depreciation on property, plant and equipment, and amortization of definite-lived intangible assets. This line item also includes one-time gains or losses incurred in connection with the disposal of certain assets.</w:t>
      </w:r>
    </w:p>
    <w:p>
      <w:pPr>
        <w:spacing w:after="0" w:line="133" w:lineRule="exact"/>
        <w:rPr>
          <w:sz w:val="20"/>
          <w:szCs w:val="20"/>
          <w:color w:val="auto"/>
        </w:rPr>
      </w:pPr>
    </w:p>
    <w:p>
      <w:pPr>
        <w:jc w:val="both"/>
        <w:ind w:firstLine="81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primarily consists of volume rebates from total spend on purchasing cards and gain or loss 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translation.</w:t>
      </w:r>
    </w:p>
    <w:p>
      <w:pPr>
        <w:spacing w:after="0" w:line="131" w:lineRule="exact"/>
        <w:rPr>
          <w:sz w:val="20"/>
          <w:szCs w:val="20"/>
          <w:color w:val="auto"/>
        </w:rPr>
      </w:pPr>
    </w:p>
    <w:p>
      <w:pPr>
        <w:jc w:val="both"/>
        <w:ind w:right="20" w:firstLine="81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generally consists of early payment penalties, the write-off of original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and deferred financing costs associated with debt extinguishment.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Compared to Three Months Ended March 31, 2018</w:t>
      </w:r>
    </w:p>
    <w:p>
      <w:pPr>
        <w:spacing w:after="0" w:line="189"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the periods indicated our statements of operations data and other information and expresses each item as a percentage of total revenues for the periods presented as well as the changes between periods. The tables and information provided were derived from exact numbers and may have immaterial rounding differences.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gridSpan w:val="4"/>
          </w:tcPr>
          <w:p>
            <w:pPr>
              <w:jc w:val="center"/>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26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242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6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98,070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69,006</w:t>
            </w:r>
          </w:p>
        </w:tc>
        <w:tc>
          <w:tcPr>
            <w:tcW w:w="2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99.6%</w:t>
            </w: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99.7%</w:t>
            </w:r>
          </w:p>
        </w:tc>
        <w:tc>
          <w:tcPr>
            <w:tcW w:w="8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29,064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Product sales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6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0.4%</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line="20" w:lineRule="exact"/>
              <w:rPr>
                <w:sz w:val="1"/>
                <w:szCs w:val="1"/>
                <w:color w:val="auto"/>
              </w:rPr>
            </w:pPr>
          </w:p>
        </w:tc>
      </w:tr>
      <w:tr>
        <w:trPr>
          <w:trHeight w:val="156"/>
        </w:trPr>
        <w:tc>
          <w:tcPr>
            <w:tcW w:w="426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98,461</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69,241</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180" w:type="dxa"/>
            <w:vAlign w:val="bottom"/>
            <w:gridSpan w:val="2"/>
            <w:shd w:val="clear" w:color="auto" w:fill="CFF0FC"/>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29,220</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service revenue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26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product sales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23,681</w:t>
            </w:r>
          </w:p>
        </w:tc>
        <w:tc>
          <w:tcPr>
            <w:tcW w:w="26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29.8%</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20,551</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33,276</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20.9%</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(12,725)</w:t>
            </w: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39"/>
        </w:trPr>
        <w:tc>
          <w:tcPr>
            <w:tcW w:w="42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Depreciation, amortization, impairment, and</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28,941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18,544</w:t>
            </w:r>
          </w:p>
        </w:tc>
        <w:tc>
          <w:tcPr>
            <w:tcW w:w="260" w:type="dxa"/>
            <w:vAlign w:val="bottom"/>
          </w:tcPr>
          <w:p>
            <w:pPr>
              <w:spacing w:after="0"/>
              <w:rPr>
                <w:sz w:val="12"/>
                <w:szCs w:val="12"/>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29.4%</w:t>
            </w: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10,397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71"/>
        </w:trPr>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(gain) loss on disposal of assets, net</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line="20" w:lineRule="exact"/>
              <w:rPr>
                <w:sz w:val="1"/>
                <w:szCs w:val="1"/>
                <w:color w:val="auto"/>
              </w:rPr>
            </w:pPr>
          </w:p>
        </w:tc>
      </w:tr>
      <w:tr>
        <w:trPr>
          <w:trHeight w:val="156"/>
        </w:trPr>
        <w:tc>
          <w:tcPr>
            <w:tcW w:w="426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80,495</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76,504</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81.8%</w:t>
            </w:r>
          </w:p>
        </w:tc>
        <w:tc>
          <w:tcPr>
            <w:tcW w:w="1180" w:type="dxa"/>
            <w:vAlign w:val="bottom"/>
            <w:gridSpan w:val="2"/>
            <w:shd w:val="clear" w:color="auto" w:fill="CFF0FC"/>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110.5%</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3,991</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347.4%</w:t>
            </w:r>
          </w:p>
        </w:tc>
        <w:tc>
          <w:tcPr>
            <w:tcW w:w="0" w:type="dxa"/>
            <w:vAlign w:val="bottom"/>
          </w:tcPr>
          <w:p>
            <w:pPr>
              <w:spacing w:after="0" w:line="20" w:lineRule="exact"/>
              <w:rPr>
                <w:sz w:val="1"/>
                <w:szCs w:val="1"/>
                <w:color w:val="auto"/>
              </w:rPr>
            </w:pPr>
          </w:p>
        </w:tc>
      </w:tr>
      <w:tr>
        <w:trPr>
          <w:trHeight w:val="156"/>
        </w:trPr>
        <w:tc>
          <w:tcPr>
            <w:tcW w:w="4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17,966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(7,263)</w:t>
            </w:r>
          </w:p>
        </w:tc>
        <w:tc>
          <w:tcPr>
            <w:tcW w:w="260" w:type="dxa"/>
            <w:vAlign w:val="bottom"/>
            <w:vMerge w:val="continue"/>
          </w:tcPr>
          <w:p>
            <w:pPr>
              <w:spacing w:after="0"/>
              <w:rPr>
                <w:sz w:val="13"/>
                <w:szCs w:val="13"/>
                <w:color w:val="auto"/>
              </w:rPr>
            </w:pPr>
          </w:p>
        </w:tc>
        <w:tc>
          <w:tcPr>
            <w:tcW w:w="12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18.2%</w:t>
            </w:r>
          </w:p>
        </w:tc>
        <w:tc>
          <w:tcPr>
            <w:tcW w:w="118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25,229</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12,647</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16.3%</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26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(10,151)</w:t>
            </w:r>
          </w:p>
        </w:tc>
        <w:tc>
          <w:tcPr>
            <w:tcW w:w="3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(2,207)</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(1,293)</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(914)</w:t>
            </w: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other expense</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line="20" w:lineRule="exact"/>
              <w:rPr>
                <w:sz w:val="1"/>
                <w:szCs w:val="1"/>
                <w:color w:val="auto"/>
              </w:rPr>
            </w:pPr>
          </w:p>
        </w:tc>
      </w:tr>
      <w:tr>
        <w:trPr>
          <w:trHeight w:val="156"/>
        </w:trPr>
        <w:tc>
          <w:tcPr>
            <w:tcW w:w="4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13,826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21,505</w:t>
            </w:r>
          </w:p>
        </w:tc>
        <w:tc>
          <w:tcPr>
            <w:tcW w:w="260" w:type="dxa"/>
            <w:vAlign w:val="bottom"/>
          </w:tcPr>
          <w:p>
            <w:pPr>
              <w:spacing w:after="0"/>
              <w:rPr>
                <w:sz w:val="13"/>
                <w:szCs w:val="13"/>
                <w:color w:val="auto"/>
              </w:rPr>
            </w:pPr>
          </w:p>
        </w:tc>
        <w:tc>
          <w:tcPr>
            <w:tcW w:w="12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14.0%</w:t>
            </w:r>
          </w:p>
        </w:tc>
        <w:tc>
          <w:tcPr>
            <w:tcW w:w="118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(7,679)</w:t>
            </w:r>
          </w:p>
        </w:tc>
        <w:tc>
          <w:tcPr>
            <w:tcW w:w="2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Income (loss) before income tax (benefit)</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260" w:type="dxa"/>
            <w:vAlign w:val="bottom"/>
            <w:gridSpan w:val="2"/>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(28,768)</w:t>
            </w:r>
          </w:p>
        </w:tc>
        <w:tc>
          <w:tcPr>
            <w:tcW w:w="12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4.2%</w:t>
            </w: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32,908</w:t>
            </w: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171"/>
        </w:trPr>
        <w:tc>
          <w:tcPr>
            <w:tcW w:w="4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provision</w:t>
            </w:r>
          </w:p>
        </w:tc>
        <w:tc>
          <w:tcPr>
            <w:tcW w:w="2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(6,610)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line="20" w:lineRule="exact"/>
              <w:rPr>
                <w:sz w:val="1"/>
                <w:szCs w:val="1"/>
                <w:color w:val="auto"/>
              </w:rPr>
            </w:pPr>
          </w:p>
        </w:tc>
      </w:tr>
      <w:tr>
        <w:trPr>
          <w:trHeight w:val="156"/>
        </w:trPr>
        <w:tc>
          <w:tcPr>
            <w:tcW w:w="426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2,820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(22,158)</w:t>
            </w:r>
          </w:p>
        </w:tc>
        <w:tc>
          <w:tcPr>
            <w:tcW w:w="260" w:type="dxa"/>
            <w:vAlign w:val="bottom"/>
            <w:vMerge w:val="continue"/>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1180" w:type="dxa"/>
            <w:vAlign w:val="bottom"/>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(32.0)%</w:t>
            </w:r>
          </w:p>
        </w:tc>
        <w:tc>
          <w:tcPr>
            <w:tcW w:w="8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24,978</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60" w:type="dxa"/>
            <w:vAlign w:val="bottom"/>
            <w:gridSpan w:val="5"/>
            <w:vMerge w:val="restart"/>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900" w:type="dxa"/>
            <w:vAlign w:val="bottom"/>
            <w:gridSpan w:val="4"/>
          </w:tcPr>
          <w:p>
            <w:pPr>
              <w:jc w:val="center"/>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00" w:type="dxa"/>
            <w:vAlign w:val="bottom"/>
            <w:vMerge w:val="restart"/>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260" w:type="dxa"/>
            <w:vAlign w:val="bottom"/>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2"/>
                <w:szCs w:val="12"/>
                <w:color w:val="auto"/>
              </w:rPr>
              <w:t>(1)</w:t>
            </w:r>
          </w:p>
        </w:tc>
        <w:tc>
          <w:tcPr>
            <w:tcW w:w="15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gridSpan w:val="2"/>
            <w:vMerge w:val="continue"/>
            <w:shd w:val="clear" w:color="auto" w:fill="CFF0FC"/>
          </w:tcPr>
          <w:p>
            <w:pPr>
              <w:spacing w:after="0"/>
              <w:rPr>
                <w:sz w:val="12"/>
                <w:szCs w:val="12"/>
                <w:color w:val="auto"/>
              </w:rPr>
            </w:pPr>
          </w:p>
        </w:tc>
        <w:tc>
          <w:tcPr>
            <w:tcW w:w="15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51,255</w:t>
            </w:r>
          </w:p>
        </w:tc>
        <w:tc>
          <w:tcPr>
            <w:tcW w:w="24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33,781</w:t>
            </w:r>
          </w:p>
        </w:tc>
        <w:tc>
          <w:tcPr>
            <w:tcW w:w="240" w:type="dxa"/>
            <w:vAlign w:val="bottom"/>
            <w:vMerge w:val="continue"/>
            <w:shd w:val="clear" w:color="auto" w:fill="CFF0FC"/>
          </w:tcPr>
          <w:p>
            <w:pPr>
              <w:spacing w:after="0"/>
              <w:rPr>
                <w:sz w:val="12"/>
                <w:szCs w:val="12"/>
                <w:color w:val="auto"/>
              </w:rPr>
            </w:pPr>
          </w:p>
        </w:tc>
        <w:tc>
          <w:tcPr>
            <w:tcW w:w="12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12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17,474</w:t>
            </w:r>
          </w:p>
        </w:tc>
        <w:tc>
          <w:tcPr>
            <w:tcW w:w="26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60" w:hanging="547"/>
        <w:spacing w:after="0" w:line="262" w:lineRule="auto"/>
        <w:tabs>
          <w:tab w:leader="none" w:pos="9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measure. Refer to the section entitled Non-GAAP Financial Data for a reconciliation of Adjusted EBITDA to net income (loss), the most directly comparable GAAP measure, as well as a discussion of why management believes this information is useful to investors and its limitations.</w:t>
      </w:r>
    </w:p>
    <w:p>
      <w:pPr>
        <w:spacing w:after="0" w:line="124" w:lineRule="exact"/>
        <w:rPr>
          <w:sz w:val="20"/>
          <w:szCs w:val="20"/>
          <w:color w:val="auto"/>
        </w:rPr>
      </w:pPr>
    </w:p>
    <w:p>
      <w:pPr>
        <w:jc w:val="both"/>
        <w:ind w:firstLine="81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$29.1 million, or 42.1%, to $98.1 million for the three months ended March 31, 2019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$69.0 million for the three months ended March 31, 2018, representing 99.6% and 99.7% of total revenue, respectively. The following table depicts service revenue by segment: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60" w:type="dxa"/>
            <w:vAlign w:val="bottom"/>
          </w:tcPr>
          <w:p>
            <w:pPr>
              <w:spacing w:after="0"/>
              <w:rPr>
                <w:sz w:val="11"/>
                <w:szCs w:val="11"/>
                <w:color w:val="auto"/>
              </w:rPr>
            </w:pPr>
          </w:p>
        </w:tc>
        <w:tc>
          <w:tcPr>
            <w:tcW w:w="1860" w:type="dxa"/>
            <w:vAlign w:val="bottom"/>
            <w:gridSpan w:val="4"/>
          </w:tcPr>
          <w:p>
            <w:pPr>
              <w:jc w:val="center"/>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60" w:type="dxa"/>
            <w:vAlign w:val="bottom"/>
            <w:vMerge w:val="restart"/>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248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 Services</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62,588</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32,447</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Solutions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36,559</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(1,077)</w:t>
            </w: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1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line="20" w:lineRule="exact"/>
              <w:rPr>
                <w:sz w:val="1"/>
                <w:szCs w:val="1"/>
                <w:color w:val="auto"/>
              </w:rPr>
            </w:pPr>
          </w:p>
        </w:tc>
      </w:tr>
      <w:tr>
        <w:trPr>
          <w:trHeight w:val="223"/>
        </w:trPr>
        <w:tc>
          <w:tcPr>
            <w:tcW w:w="306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98,070</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69,006</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Commercial Services service revenue increased by $30.1 million, or 92.9%, from $32.4 million for the three months ended March 31, 2018 to $62.6 million for the three months ended March 31, 2019. We acquired HTA, a toll and violation processor, on March 1, 2018, and EPC, a European violations processor, on April 6, 2018. These acquisitions contributed $21.6 million to year over year service revenue growth. Title and registration service revenue grew $1.4 million year over year representing a nearly 48% increase in revenue. The majority of this increase is related to the timing of transaction flow from our customers and should not be viewed as the go-forward growth rate for this product. The remaining difference of $7.1 million resulted from improved volumes in both billable days and tolls processed across our tolling products.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1" w:name="page32"/>
    <w:bookmarkEnd w:id="31"/>
    <w:p>
      <w:pPr>
        <w:jc w:val="both"/>
        <w:ind w:right="20" w:firstLine="815"/>
        <w:spacing w:after="0" w:line="255" w:lineRule="auto"/>
        <w:rPr>
          <w:sz w:val="20"/>
          <w:szCs w:val="20"/>
          <w:color w:val="auto"/>
        </w:rPr>
      </w:pPr>
      <w:r>
        <w:rPr>
          <w:rFonts w:ascii="Times New Roman" w:cs="Times New Roman" w:eastAsia="Times New Roman" w:hAnsi="Times New Roman"/>
          <w:sz w:val="18"/>
          <w:szCs w:val="18"/>
          <w:color w:val="auto"/>
        </w:rPr>
        <w:t>Government Solutions service revenue includes revenue from red light, speed, school bus arm and bus lane photo enforcement systems. Service revenue decreased slightly by $1.1 million, or 2.9%, to $35.5 million for the three months ended March 31, 2019 from $36.6 million for the three months ended March 31, 2018. Revenue from operation of our red light programs represents 52% of segment service revenue and declined $1.8 million year over year. This decline was driven by transaction volume declines of approximately $0.8 million primarily due to the Miami, Florida program loss, with the remaining decline resulting from lower price per system in variable contracts. Pricing of red light programs can be impacted by timing of transaction volume in our variable contracts as well as the pricing of contract renewals. We believe that red light will be a stable product but we do not expect meaningful growth in the future. Speed programs which make up 26% of service revenue, grew approximately $0.9 million year over year due to increases in the total number of camera systems installed and higher average pricing. We believe that school zone speed programs will continue to be a growth product in fiscal 2019.</w:t>
      </w:r>
    </w:p>
    <w:p>
      <w:pPr>
        <w:spacing w:after="0" w:line="158" w:lineRule="exact"/>
        <w:rPr>
          <w:sz w:val="20"/>
          <w:szCs w:val="20"/>
          <w:color w:val="auto"/>
        </w:rPr>
      </w:pPr>
    </w:p>
    <w:p>
      <w:pPr>
        <w:jc w:val="both"/>
        <w:ind w:right="20" w:firstLine="815"/>
        <w:spacing w:after="0" w:line="258" w:lineRule="auto"/>
        <w:rPr>
          <w:sz w:val="20"/>
          <w:szCs w:val="20"/>
          <w:color w:val="auto"/>
        </w:rPr>
      </w:pPr>
      <w:r>
        <w:rPr>
          <w:rFonts w:ascii="Times New Roman" w:cs="Times New Roman" w:eastAsia="Times New Roman" w:hAnsi="Times New Roman"/>
          <w:sz w:val="18"/>
          <w:szCs w:val="18"/>
          <w:color w:val="auto"/>
        </w:rPr>
        <w:t>Our previous reporting of installed camera systems included systems connected to suspended programs or spare systems at client locations. We re-evaluated our metric, and going forward we will report only installed camera systems that are generating revenue, as we believe this is a more meaningful presentation. There were 4,604 camera systems installed at March 31, 2019 compared to 4,252 at March 31, 2018. The increase in systems was primarily due to new installations of school bus arm systems and to a lesser extent the expansion of speed systems at existing customers. This increase was partially offset by a decline in red light systems primarily due to the loss of the Miami, Florida program noted above.</w:t>
      </w:r>
    </w:p>
    <w:p>
      <w:pPr>
        <w:spacing w:after="0" w:line="141" w:lineRule="exact"/>
        <w:rPr>
          <w:sz w:val="20"/>
          <w:szCs w:val="20"/>
          <w:color w:val="auto"/>
        </w:rPr>
      </w:pPr>
    </w:p>
    <w:p>
      <w:pPr>
        <w:jc w:val="both"/>
        <w:ind w:right="20" w:firstLine="81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includes revenue generated from Government Solutions customers who purchased their equipment. 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$0.2 million, from $0.2 million for the three months ended March 31, 2018 to $0.4 million for the same period in 2019. There are a small number of customers who purchase this equipment, and their buying patterns vary greatly from period to period.</w:t>
      </w:r>
    </w:p>
    <w:p>
      <w:pPr>
        <w:spacing w:after="0" w:line="133" w:lineRule="exact"/>
        <w:rPr>
          <w:sz w:val="20"/>
          <w:szCs w:val="20"/>
          <w:color w:val="auto"/>
        </w:rPr>
      </w:pPr>
    </w:p>
    <w:p>
      <w:pPr>
        <w:jc w:val="both"/>
        <w:ind w:right="20" w:firstLine="81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increased by $0.6 million, to $1.4 million for the three months ended March 31, 2019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$0.8 million for the three months ended March 31, 2018. The increase is primarily due to the inclusion of EPC operations for the entire period in the three months ended March 31, 2019 for which there were no comparable amounts in the prior period.</w:t>
      </w:r>
    </w:p>
    <w:p>
      <w:pPr>
        <w:spacing w:after="0" w:line="147" w:lineRule="exact"/>
        <w:rPr>
          <w:sz w:val="20"/>
          <w:szCs w:val="20"/>
          <w:color w:val="auto"/>
        </w:rPr>
      </w:pPr>
    </w:p>
    <w:p>
      <w:pPr>
        <w:jc w:val="both"/>
        <w:ind w:right="20" w:firstLine="81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slightly by $0.1 million from $0.2 million in the quarter ended March 31, 2018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$0.3 million in the same period in 2019, and was directly in line with the change in product sales.</w:t>
      </w:r>
    </w:p>
    <w:p>
      <w:pPr>
        <w:spacing w:after="0" w:line="118" w:lineRule="exact"/>
        <w:rPr>
          <w:sz w:val="20"/>
          <w:szCs w:val="20"/>
          <w:color w:val="auto"/>
        </w:rPr>
      </w:pPr>
    </w:p>
    <w:p>
      <w:pPr>
        <w:jc w:val="both"/>
        <w:ind w:right="20" w:firstLine="81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$5.7 million, or 23.9%, from $23.7 million for the three months ended March 31, 2018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$29.3 million for the three months ended March 31, 2019. The increase is primarily due to the inclusion of the HTA and EPC operations for the entire period in the three months ended March 31, 2019 compared to one month of expenses for HTA in the three months ended March 31, 2018. Operating expenses as a percentage of revenue decreased from 34.2% to 29.8% for the three months ended March 31, 2018 and 2019, respectively, reflecting management's focus on operational efficiency. Operating expenses by segment appear in the table below: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8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60" w:type="dxa"/>
            <w:vAlign w:val="bottom"/>
          </w:tcPr>
          <w:p>
            <w:pPr>
              <w:spacing w:after="0"/>
              <w:rPr>
                <w:sz w:val="11"/>
                <w:szCs w:val="11"/>
                <w:color w:val="auto"/>
              </w:rPr>
            </w:pPr>
          </w:p>
        </w:tc>
        <w:tc>
          <w:tcPr>
            <w:tcW w:w="1840" w:type="dxa"/>
            <w:vAlign w:val="bottom"/>
            <w:gridSpan w:val="4"/>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3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248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Solutions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Total operating expenses before stock-based</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2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2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97" w:right="219" w:bottom="1440" w:gutter="0" w:footer="0" w:header="0"/>
        </w:sectPr>
      </w:pPr>
    </w:p>
    <w:bookmarkStart w:id="32" w:name="page33"/>
    <w:bookmarkEnd w:id="32"/>
    <w:p>
      <w:pPr>
        <w:jc w:val="both"/>
        <w:ind w:firstLine="81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for the three months ended March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$12.7 million to $20.6 million compared to $33.3 million for the three months ended March 31, 2018. The decrease was primarily related to $18.1 million of cost associated with the HTA acquisition of which $15.6 million was recorded directly to the Commercial Services segment and $2.5 million was recorded to Corporate in the quarter ended March 31, 2018 for which there are no comparable amounts in the current period. Additionally, we incurred $1.4 million of other non-recurring expenses primarily associated with the HTA integration in the three months ended March 31, 2018 for which there are no comparable amounts in the current period. These decreases were partially offset by the inclusion of the HTA and EPC operations for the entire period in the three months ended March 31, 2019 compared to one month of expenses for HTA in the three months ended March 31, 2018. Selling, general and administrative expenses as a percentage of revenue decreased from 48.1% to 20.9% for the three months ended March 31, 2018 and 2019, respectively. Selling, general and administrative expenses by segment appear in the table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gridSpan w:val="4"/>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32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23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21,594</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(10,832)</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 Solutions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(5,560)</w:t>
            </w:r>
          </w:p>
        </w:tc>
        <w:tc>
          <w:tcPr>
            <w:tcW w:w="3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5"/>
        </w:trPr>
        <w:tc>
          <w:tcPr>
            <w:tcW w:w="4320" w:type="dxa"/>
            <w:vAlign w:val="bottom"/>
            <w:tcBorders>
              <w:top w:val="single" w:sz="8" w:color="CFF0FC"/>
            </w:tcBorders>
            <w:gridSpan w:val="2"/>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expenses before stock-based compensation</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(14,664)</w:t>
            </w:r>
          </w:p>
        </w:tc>
        <w:tc>
          <w:tcPr>
            <w:tcW w:w="3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vMerge w:val="restart"/>
            <w:shd w:val="clear" w:color="auto" w:fill="CFF0FC"/>
          </w:tcPr>
          <w:p>
            <w:pPr>
              <w:spacing w:after="0" w:line="20" w:lineRule="exact"/>
              <w:rPr>
                <w:sz w:val="1"/>
                <w:szCs w:val="1"/>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line="20" w:lineRule="exact"/>
              <w:rPr>
                <w:sz w:val="1"/>
                <w:szCs w:val="1"/>
                <w:color w:val="auto"/>
              </w:rPr>
            </w:pPr>
          </w:p>
        </w:tc>
      </w:tr>
      <w:tr>
        <w:trPr>
          <w:trHeight w:val="223"/>
        </w:trPr>
        <w:tc>
          <w:tcPr>
            <w:tcW w:w="43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2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240" w:type="dxa"/>
            <w:vAlign w:val="bottom"/>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Impairment, and Gain or Loss on Disposal of Assets, Net. </w:t>
      </w:r>
      <w:r>
        <w:rPr>
          <w:rFonts w:ascii="Times New Roman" w:cs="Times New Roman" w:eastAsia="Times New Roman" w:hAnsi="Times New Roman"/>
          <w:sz w:val="18"/>
          <w:szCs w:val="18"/>
          <w:color w:val="auto"/>
        </w:rPr>
        <w:t>Depreciation, amortization, impairment, and gain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disposal of assets, net, increased by $10.4 million, or 56.1%, from $18.5 million for the three months ended March 31, 2018 to $28.9 million for the same period in 2019. The increase is primarily due to the increased amortization expense resulting from the HTA and EPC acquisitions inclusion for the entire period in the three months ended March 31, 2019 compared to one month of amortization for HTA in the three months ended March 31, 2018.</w:t>
      </w:r>
    </w:p>
    <w:p>
      <w:pPr>
        <w:spacing w:after="0" w:line="140"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$3.4 million from $12.6 million for the three months ended March 31, 2018 to $16.0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2019. The increase is due to higher average debt balances quarter over quarter primarily related to the acquisition of HTA. The average debt balance for the three months ended March 31, 2018 was $744.2 million compared to $902.4 million for the same period in 2019.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of $10.2 million in the three months ended March 31, 2018 was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Credit Facilities replaced with the 2018 Credit Facilities in connection with the HTA acquisition. The loss consisted of a $3.8 million prepayment penalty on the Old Term Loan balances, a $2.0 million write-off of preexisting deferred financing costs, and $4.4 million of lender and third-party costs associated with the issuance of the 2018 Credit Facilities.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for the three months ended March 31, 2019 was $2.2 million compared to $1.3 million in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2018. The is primarily due to the increased purchasing card rebates resulting from the inclusion of the HTA acquisition for the entire period in the three months ended March 31, 2019 compared to one month in the three months ended March 31, 2018. We pay a high volume of tolls on behalf of our customers with purchasing cards which generate rebates based on volume, payment terms and rebate frequency.</w:t>
      </w:r>
    </w:p>
    <w:p>
      <w:pPr>
        <w:spacing w:after="0" w:line="140"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(Benefit). </w:t>
      </w:r>
      <w:r>
        <w:rPr>
          <w:rFonts w:ascii="Times New Roman" w:cs="Times New Roman" w:eastAsia="Times New Roman" w:hAnsi="Times New Roman"/>
          <w:sz w:val="18"/>
          <w:szCs w:val="18"/>
          <w:color w:val="auto"/>
        </w:rPr>
        <w:t>Income tax (benefit) changed by $7.9 million from $(6.6) million, representing an effective tax rate of (23.0%),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2018 to a tax of $1.3 million, representing an effective tax rate of 31.9% for the same period in 2019. The effective tax rate change was primarily due to higher pretax income across multiple jurisdictions, and an increase in permanent differences between book and taxable income, including the 162(m) executive compensation limitation and the Global Intangible Low Tax Income inclusion.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3" w:name="page34"/>
    <w:bookmarkEnd w:id="33"/>
    <w:p>
      <w:pPr>
        <w:jc w:val="both"/>
        <w:ind w:firstLine="81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We had net income of $2.8 million for the three months ended March 31, 2019, as compared to a net loss of $22.2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2018. The increase in net income was primarily due to expenses in the first quarter of fiscal 2018 related to an aggregate of $30 million of acquisition, refinancing and integration costs associated with the HTA acquisition for which there no comparable amounts in the three months ended March 31, 2019. This increase was partially offset by related increased interest expense and amortization expense noted above.</w:t>
      </w:r>
    </w:p>
    <w:p>
      <w:pPr>
        <w:spacing w:after="0" w:line="153" w:lineRule="exact"/>
        <w:rPr>
          <w:sz w:val="20"/>
          <w:szCs w:val="20"/>
          <w:color w:val="auto"/>
        </w:rPr>
      </w:pPr>
    </w:p>
    <w:p>
      <w:pPr>
        <w:jc w:val="both"/>
        <w:ind w:firstLine="81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For the three months ended March 31, 2019 adjusted EBITDA was $51.3 million, an increase of $17.5 million or 51.7%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2018. The growth was in line with the income statement activity discussed above, adjusted for certain transactions and non-recurring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principal sources of liquidity are cash flow from operations, long-term borrowings and borrowings under revolving credit facilities.</w:t>
      </w:r>
    </w:p>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We have incurred significant long-term debt, as described below, to fund the ATS Merger and the HTA acquisition.</w:t>
      </w:r>
    </w:p>
    <w:p>
      <w:pPr>
        <w:spacing w:after="0" w:line="185"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We believe that the existing cash and cash equivalents and cash flows provided by operating activities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that it undertakes, including strategic acquisitions. Should we pursue additional strategic acquisitions, we may need to raise additional capital, which may be in the form of additional long-term debt, which may not be available to us on favorable terms, borrowings on the revolver under the 2018 Credit Facilities, equity financings or at all.</w:t>
      </w:r>
    </w:p>
    <w:p>
      <w:pPr>
        <w:spacing w:after="0" w:line="149"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We have the ability to borrow under our revolving credit facility to meet obligations as they come due. At March 31, 2019, we had $70.0 million available for borrowing, net of letters of credit, under the New Revolver.</w:t>
      </w:r>
    </w:p>
    <w:p>
      <w:pPr>
        <w:spacing w:after="0" w:line="1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760" w:type="dxa"/>
            <w:vAlign w:val="bottom"/>
            <w:vMerge w:val="restart"/>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47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37,351</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(9,167)</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(537,441)</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(2,313)</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9"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Cash provided by (used in) operating activities increased $40.6 million from $(3.2) million for the three months ended March 31, 2018 to $37.4 million for the three months ended March 31, 2019.</w:t>
      </w:r>
    </w:p>
    <w:p>
      <w:pPr>
        <w:spacing w:after="0" w:line="121"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The change in cash provided by (used in) operating activities year over year was primarily due to net income increase of $25.0 million from a loss of $22.2 million in the three months ended March 31, 2018 to income of $2.8 million in the three months ended March 31, 2019. The growth in net income was driven by the inclusion of the results of HTA and EPC operations for the full three month period in 2019 versus only the HTA results for one month in the three month period in 2018, the $18.1 million of transaction expenses in March 31, 2018 for which there is no comparable amount and the $10.2 million loss on extinguishment of debt in the three months ended March 31, 2018 for which there is no comparable amount in the current period.</w:t>
      </w:r>
    </w:p>
    <w:p>
      <w:pPr>
        <w:spacing w:after="0" w:line="157"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operations increased $8.6 million due to inclusion of the amortization of intangibles associated with the HTA and EPC acquisitions for the full three month period in 2019 versus only the HTA results for one month in the three month period in 2018, the $10.2 million loss on extinguishment of debt in the three months ended March 31, 2018 for which there is no comparable amount in the current period and a $5.7 million decrease in deferred income taxes as a result of the lower rates enacted as part of the December 2017 passage of H.R.1, “An Act to provide for Reconciliation Pursuant to Titles II and V of the Concurrent Resolution on the Budget for Fiscal Year 2018”.</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34" w:name="page35"/>
    <w:bookmarkEnd w:id="34"/>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The aggregate change in operating assets and liabilities represents an aggregate increase of $7.0 million for the three months ended March 31, 2019 versus the three months ended March 31, 2018. The increase was primarily driven by the timing of receipts related to certain advanced deposit payment liabilities received from our customers and payments related to income tax payables.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89"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$(9.2) million and $(537.4) million for the three months ended March 31, 2019 and March 31, 2018, respectively. The change in cash used in investing activities year over year was primarily due to net cash paid in connection with the HTA acquisition during the three months ended March 31, 2018. Cash consideration for the HTA acquisition was $531.7 million and was net of $3.0 million of cash acquired. Additionally, purchases of installation and service parts and property plant and equipment increased from $5.9 million in the three months ended March 31, 2018 to $9.2 million in the three months ended March 31, 2019.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02"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Cash provided by (used in) financing activities was $(2.3) million and $548.0 million for the three months ended March 31, 2019 and March 31, 2018, respectively. The change in cash provided by (used in) financing activities year over year was primarily due to the Company entering into the 2018 Credit Facilities during the three months ended March 31, 2018, which included the repayment of the 2017 Credit Facilities.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85" w:lineRule="exact"/>
        <w:rPr>
          <w:sz w:val="20"/>
          <w:szCs w:val="20"/>
          <w:color w:val="auto"/>
        </w:rPr>
      </w:pPr>
    </w:p>
    <w:p>
      <w:pPr>
        <w:jc w:val="both"/>
        <w:ind w:firstLine="815"/>
        <w:spacing w:after="0" w:line="257" w:lineRule="auto"/>
        <w:rPr>
          <w:sz w:val="20"/>
          <w:szCs w:val="20"/>
          <w:color w:val="auto"/>
        </w:rPr>
      </w:pPr>
      <w:r>
        <w:rPr>
          <w:rFonts w:ascii="Times New Roman" w:cs="Times New Roman" w:eastAsia="Times New Roman" w:hAnsi="Times New Roman"/>
          <w:sz w:val="18"/>
          <w:szCs w:val="18"/>
          <w:color w:val="auto"/>
        </w:rPr>
        <w:t>In connection with the HTA acquisition, we entered into a First Lien Term Loan Credit Agreement (the “</w:t>
      </w:r>
      <w:r>
        <w:rPr>
          <w:rFonts w:ascii="Times New Roman" w:cs="Times New Roman" w:eastAsia="Times New Roman" w:hAnsi="Times New Roman"/>
          <w:sz w:val="18"/>
          <w:szCs w:val="18"/>
          <w:b w:val="1"/>
          <w:bCs w:val="1"/>
          <w:i w:val="1"/>
          <w:iCs w:val="1"/>
          <w:color w:val="auto"/>
        </w:rPr>
        <w:t>New First Lien Term Loan</w:t>
      </w:r>
      <w:r>
        <w:rPr>
          <w:rFonts w:ascii="Times New Roman" w:cs="Times New Roman" w:eastAsia="Times New Roman" w:hAnsi="Times New Roman"/>
          <w:sz w:val="18"/>
          <w:szCs w:val="18"/>
          <w:color w:val="auto"/>
        </w:rPr>
        <w:t>”), a Second Lien Term Loan Credit Agreement (the “</w:t>
      </w:r>
      <w:r>
        <w:rPr>
          <w:rFonts w:ascii="Times New Roman" w:cs="Times New Roman" w:eastAsia="Times New Roman" w:hAnsi="Times New Roman"/>
          <w:sz w:val="18"/>
          <w:szCs w:val="18"/>
          <w:b w:val="1"/>
          <w:bCs w:val="1"/>
          <w:i w:val="1"/>
          <w:iCs w:val="1"/>
          <w:color w:val="auto"/>
        </w:rPr>
        <w:t>New Second Lien Term Loan</w:t>
      </w:r>
      <w:r>
        <w:rPr>
          <w:rFonts w:ascii="Times New Roman" w:cs="Times New Roman" w:eastAsia="Times New Roman" w:hAnsi="Times New Roman"/>
          <w:sz w:val="18"/>
          <w:szCs w:val="18"/>
          <w:color w:val="auto"/>
        </w:rPr>
        <w:t>” and together with the New First Lien Term Loan, the “</w:t>
      </w:r>
      <w:r>
        <w:rPr>
          <w:rFonts w:ascii="Times New Roman" w:cs="Times New Roman" w:eastAsia="Times New Roman" w:hAnsi="Times New Roman"/>
          <w:sz w:val="18"/>
          <w:szCs w:val="18"/>
          <w:b w:val="1"/>
          <w:bCs w:val="1"/>
          <w:i w:val="1"/>
          <w:iCs w:val="1"/>
          <w:color w:val="auto"/>
        </w:rPr>
        <w:t>New Term Loans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a Revolving Credit Facility Agreement (the “</w:t>
      </w:r>
      <w:r>
        <w:rPr>
          <w:rFonts w:ascii="Times New Roman" w:cs="Times New Roman" w:eastAsia="Times New Roman" w:hAnsi="Times New Roman"/>
          <w:sz w:val="18"/>
          <w:szCs w:val="18"/>
          <w:b w:val="1"/>
          <w:bCs w:val="1"/>
          <w:i w:val="1"/>
          <w:iCs w:val="1"/>
          <w:color w:val="auto"/>
        </w:rPr>
        <w:t>New Revolver</w:t>
      </w:r>
      <w:r>
        <w:rPr>
          <w:rFonts w:ascii="Times New Roman" w:cs="Times New Roman" w:eastAsia="Times New Roman" w:hAnsi="Times New Roman"/>
          <w:sz w:val="18"/>
          <w:szCs w:val="18"/>
          <w:color w:val="auto"/>
        </w:rPr>
        <w:t>”) with a syndicate of lenders (collectively with the New Term Loans, the “</w:t>
      </w:r>
      <w:r>
        <w:rPr>
          <w:rFonts w:ascii="Times New Roman" w:cs="Times New Roman" w:eastAsia="Times New Roman" w:hAnsi="Times New Roman"/>
          <w:sz w:val="18"/>
          <w:szCs w:val="18"/>
          <w:b w:val="1"/>
          <w:bCs w:val="1"/>
          <w:i w:val="1"/>
          <w:iCs w:val="1"/>
          <w:color w:val="auto"/>
        </w:rPr>
        <w:t>2018 Credit Facilities</w:t>
      </w:r>
      <w:r>
        <w:rPr>
          <w:rFonts w:ascii="Times New Roman" w:cs="Times New Roman" w:eastAsia="Times New Roman" w:hAnsi="Times New Roman"/>
          <w:sz w:val="18"/>
          <w:szCs w:val="18"/>
          <w:color w:val="auto"/>
        </w:rPr>
        <w:t>”). The 2018 Credit Facilities provide for committed senior secured financing of $1.115 billion, consisting of the New Term Loans in an aggregate principal amount of $1.04 billion and the New Revolver available for loans and letters of credit with an aggregate revolving commitment of up to $75 million (based on borrowing based eligibility as described below).</w:t>
      </w:r>
    </w:p>
    <w:p>
      <w:pPr>
        <w:spacing w:after="0" w:line="156" w:lineRule="exact"/>
        <w:rPr>
          <w:sz w:val="20"/>
          <w:szCs w:val="20"/>
          <w:color w:val="auto"/>
        </w:rPr>
      </w:pPr>
    </w:p>
    <w:p>
      <w:pPr>
        <w:jc w:val="both"/>
        <w:ind w:firstLine="815"/>
        <w:spacing w:after="0" w:line="259" w:lineRule="auto"/>
        <w:rPr>
          <w:sz w:val="20"/>
          <w:szCs w:val="20"/>
          <w:color w:val="auto"/>
        </w:rPr>
      </w:pPr>
      <w:r>
        <w:rPr>
          <w:rFonts w:ascii="Times New Roman" w:cs="Times New Roman" w:eastAsia="Times New Roman" w:hAnsi="Times New Roman"/>
          <w:sz w:val="18"/>
          <w:szCs w:val="18"/>
          <w:color w:val="auto"/>
        </w:rPr>
        <w:t>The 2018 Credit Facilities replaced the previous First Lien Term Loan Credit Agreement (the “</w:t>
      </w:r>
      <w:r>
        <w:rPr>
          <w:rFonts w:ascii="Times New Roman" w:cs="Times New Roman" w:eastAsia="Times New Roman" w:hAnsi="Times New Roman"/>
          <w:sz w:val="18"/>
          <w:szCs w:val="18"/>
          <w:b w:val="1"/>
          <w:bCs w:val="1"/>
          <w:i w:val="1"/>
          <w:iCs w:val="1"/>
          <w:color w:val="auto"/>
        </w:rPr>
        <w:t>Old First Lien Term Loan</w:t>
      </w:r>
      <w:r>
        <w:rPr>
          <w:rFonts w:ascii="Times New Roman" w:cs="Times New Roman" w:eastAsia="Times New Roman" w:hAnsi="Times New Roman"/>
          <w:sz w:val="18"/>
          <w:szCs w:val="18"/>
          <w:color w:val="auto"/>
        </w:rPr>
        <w:t>”), the Second Lien Term Loan Credit Agreement (the “</w:t>
      </w:r>
      <w:r>
        <w:rPr>
          <w:rFonts w:ascii="Times New Roman" w:cs="Times New Roman" w:eastAsia="Times New Roman" w:hAnsi="Times New Roman"/>
          <w:sz w:val="18"/>
          <w:szCs w:val="18"/>
          <w:b w:val="1"/>
          <w:bCs w:val="1"/>
          <w:i w:val="1"/>
          <w:iCs w:val="1"/>
          <w:color w:val="auto"/>
        </w:rPr>
        <w:t>Old Second Lien Term Loan</w:t>
      </w:r>
      <w:r>
        <w:rPr>
          <w:rFonts w:ascii="Times New Roman" w:cs="Times New Roman" w:eastAsia="Times New Roman" w:hAnsi="Times New Roman"/>
          <w:sz w:val="18"/>
          <w:szCs w:val="18"/>
          <w:color w:val="auto"/>
        </w:rPr>
        <w:t>” and together with the Old First Lien Term Loan, the “</w:t>
      </w:r>
      <w:r>
        <w:rPr>
          <w:rFonts w:ascii="Times New Roman" w:cs="Times New Roman" w:eastAsia="Times New Roman" w:hAnsi="Times New Roman"/>
          <w:sz w:val="18"/>
          <w:szCs w:val="18"/>
          <w:b w:val="1"/>
          <w:bCs w:val="1"/>
          <w:i w:val="1"/>
          <w:iCs w:val="1"/>
          <w:color w:val="auto"/>
        </w:rPr>
        <w:t>Old Term Loans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were repaid concurrent with the closing on the 2018 Credit Facilities, and a preexisting Revolving Credit Facility Agreement (the “</w:t>
      </w:r>
      <w:r>
        <w:rPr>
          <w:rFonts w:ascii="Times New Roman" w:cs="Times New Roman" w:eastAsia="Times New Roman" w:hAnsi="Times New Roman"/>
          <w:sz w:val="18"/>
          <w:szCs w:val="18"/>
          <w:b w:val="1"/>
          <w:bCs w:val="1"/>
          <w:i w:val="1"/>
          <w:iCs w:val="1"/>
          <w:color w:val="auto"/>
        </w:rPr>
        <w:t>Old Revolver</w:t>
      </w:r>
      <w:r>
        <w:rPr>
          <w:rFonts w:ascii="Times New Roman" w:cs="Times New Roman" w:eastAsia="Times New Roman" w:hAnsi="Times New Roman"/>
          <w:sz w:val="18"/>
          <w:szCs w:val="18"/>
          <w:color w:val="auto"/>
        </w:rPr>
        <w:t>”, collectively with the Old Term Loans, the “</w:t>
      </w:r>
      <w:r>
        <w:rPr>
          <w:rFonts w:ascii="Times New Roman" w:cs="Times New Roman" w:eastAsia="Times New Roman" w:hAnsi="Times New Roman"/>
          <w:sz w:val="18"/>
          <w:szCs w:val="18"/>
          <w:b w:val="1"/>
          <w:bCs w:val="1"/>
          <w:i w:val="1"/>
          <w:iCs w:val="1"/>
          <w:color w:val="auto"/>
        </w:rPr>
        <w:t>2017 Credit Facilities</w:t>
      </w:r>
      <w:r>
        <w:rPr>
          <w:rFonts w:ascii="Times New Roman" w:cs="Times New Roman" w:eastAsia="Times New Roman" w:hAnsi="Times New Roman"/>
          <w:sz w:val="18"/>
          <w:szCs w:val="18"/>
          <w:color w:val="auto"/>
        </w:rPr>
        <w:t>”), which was undrawn at close. The outstanding balances at the date of close on the Old Term Loans, which were repaid with proceeds from the 2018 Credit Facilities and are no longer outstanding, were $323 million and $125 million, respectively.</w:t>
      </w:r>
    </w:p>
    <w:p>
      <w:pPr>
        <w:spacing w:after="0" w:line="143"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The New First Lien Term Loan is repayable in quarterly installments of 1.0% per annum of the amount initially borrowed. The New First Lien Loan matures on February 28, 2025. The New First Lien Term Loan bears interest based, at our option, on either (1) LIBOR plus an applicable margin of 3.75% per annum, or (2) an alternate base rate plus an applicable margin of 2.75% per annum. At March 31, 2019, the interest rate on the New First Lien Term Loan was 6.25%.</w:t>
      </w:r>
    </w:p>
    <w:p>
      <w:pPr>
        <w:spacing w:after="0" w:line="140"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In addition, the New First Term Loan contains provisions that require mandatory prepayments equal to 50% of excess cash flow (as defined by the New First Lien Term Loan); provided that, at any time the consolidated first lien net leverage ratio (as defined by the New Term First Lien Loan) on the last day of the fiscal year is less than or equal to 3.70:1.00 but greater than 3.20:1.00, the mandatory prepayment of the New First Lien Term Loan is equal to 25% of excess cash flow, and if less than 3.20:1.00, the mandatory prepayment is zero.</w:t>
      </w:r>
    </w:p>
    <w:p>
      <w:pPr>
        <w:spacing w:after="0" w:line="153"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On July 24, 2018, we secured a $70 million incremental loan commitment under the New First Lien Term Loan. The proceeds of this incremental borrowing, together with a portion of the funds held in the Company upon the closing of the Business Combination, were used to repay our $200 million New Second Lien Term Loan in full.</w:t>
      </w:r>
    </w:p>
    <w:p>
      <w:pPr>
        <w:spacing w:after="0" w:line="136"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The New Revolver matures on February 28, 2023. Borrowing eligibility under the New Revolver is subject to a monthly borrowing base calculation based on (i) certain percentages of eligible accounts receivable and inventory, less (ii) certain reserve items, including outstanding letters of credit and other reserves. We may at any time, on not more than five occasions, request an increase to the New Revolver of up to an aggregate amount of $50 million. The New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March 31, 2019, we had no outstanding borrowings on the New Revolver and availability to borrow under the New Revolver was $70.0 million, net of $1.0 million of outstanding letters of credit.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5" w:name="page36"/>
    <w:bookmarkEnd w:id="35"/>
    <w:p>
      <w:pPr>
        <w:jc w:val="both"/>
        <w:ind w:right="20" w:firstLine="815"/>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New Revolver is payable quarterly at 0.375% at March 31, 2019. We are also required to pay participation and fronting fees on $1.0 million in outstanding letters of credit at 1.38% as of March 31, 2019.</w:t>
      </w:r>
    </w:p>
    <w:p>
      <w:pPr>
        <w:spacing w:after="0" w:line="135" w:lineRule="exact"/>
        <w:rPr>
          <w:sz w:val="20"/>
          <w:szCs w:val="20"/>
          <w:color w:val="auto"/>
        </w:rPr>
      </w:pPr>
    </w:p>
    <w:p>
      <w:pPr>
        <w:jc w:val="both"/>
        <w:ind w:firstLine="815"/>
        <w:spacing w:after="0" w:line="263"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March 31, 2019, we were compliant with the 2018 Credit Facilities covenants. Substantially all of our assets are pledged as collateral to secure our indebtedness under the 2018 Credit Facilities.</w:t>
      </w:r>
    </w:p>
    <w:p>
      <w:pPr>
        <w:spacing w:after="0" w:line="359"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We recognized a charge of $10.2 million in the three months ending March 31, 2018 consisting of a $3.8 million prepayment penalty on the Old Term Loan balances, a $2.0 million write-off of preexisting deferred financing costs and $4.4 million of lender and third-party costs associated with the issuance of the 2018 Credit Facilities.</w:t>
      </w:r>
    </w:p>
    <w:p>
      <w:pPr>
        <w:spacing w:after="0" w:line="136" w:lineRule="exact"/>
        <w:rPr>
          <w:sz w:val="20"/>
          <w:szCs w:val="20"/>
          <w:color w:val="auto"/>
        </w:rPr>
      </w:pPr>
    </w:p>
    <w:p>
      <w:pPr>
        <w:jc w:val="both"/>
        <w:ind w:right="20" w:firstLine="815"/>
        <w:spacing w:after="0" w:line="266" w:lineRule="auto"/>
        <w:rPr>
          <w:sz w:val="20"/>
          <w:szCs w:val="20"/>
          <w:color w:val="auto"/>
        </w:rPr>
      </w:pPr>
      <w:r>
        <w:rPr>
          <w:rFonts w:ascii="Times New Roman" w:cs="Times New Roman" w:eastAsia="Times New Roman" w:hAnsi="Times New Roman"/>
          <w:sz w:val="18"/>
          <w:szCs w:val="18"/>
          <w:color w:val="auto"/>
        </w:rPr>
        <w:t>We also recorded a loss on extinguishment of the New Second Lien Term Loan of $16.3 million during the fourth quarter of 2018, comprised of prepayment penalty on the full redemption of the New Second Lien Term Loan and the write-off of unamortized deferred financing and lender costs associated with the issuance of the New Second Lien Term Loan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89"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Significant items subject to such estimates and assumptions include the fair values assigned to net assets acquired (including identifiable intangibles) in business combinations, the carrying amounts of long-lived assets, goodwill and installation and service parts, the allowance for doubtful accounts, valuation allowances on deferred tax assets, asset retirement obligations, contingent consideration and the recognition and measurement of loss contingencies. Management believes that our estimates and assumptions are reasonable in the circumstances; however, actual results could differ materially from those estimates.</w:t>
      </w:r>
    </w:p>
    <w:p>
      <w:pPr>
        <w:spacing w:after="0" w:line="147"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We believe that the critical accounting policy listed below involves our more significant judgments, assumptions, and estimates and, therefore, could have the greatest potential impact on the financial statements. Refer to our 2018 Annual Report on Form 10-K/A for a comprehensive list of our critical accounting policies, estimates and judgments.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jc w:val="both"/>
        <w:ind w:firstLine="81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Government Solutions. </w:t>
      </w:r>
      <w:r>
        <w:rPr>
          <w:rFonts w:ascii="Times New Roman" w:cs="Times New Roman" w:eastAsia="Times New Roman" w:hAnsi="Times New Roman"/>
          <w:sz w:val="18"/>
          <w:szCs w:val="18"/>
          <w:color w:val="auto"/>
        </w:rPr>
        <w:t>The Government Solutions segment principally generates revenue from providing complete, end-to-end red light, speed,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 bus stop arm, and bus lane enforcement solutions. Products, when sold, are typically sold together with the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41"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For bundled packages, we account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Times New Roman" w:cs="Times New Roman" w:eastAsia="Times New Roman" w:hAnsi="Times New Roman"/>
          <w:sz w:val="18"/>
          <w:szCs w:val="18"/>
          <w:b w:val="1"/>
          <w:bCs w:val="1"/>
          <w:i w:val="1"/>
          <w:iCs w:val="1"/>
          <w:color w:val="auto"/>
        </w:rPr>
        <w:t>SSP</w:t>
      </w:r>
      <w:r>
        <w:rPr>
          <w:rFonts w:ascii="Times New Roman" w:cs="Times New Roman" w:eastAsia="Times New Roman" w:hAnsi="Times New Roman"/>
          <w:sz w:val="18"/>
          <w:szCs w:val="18"/>
          <w:color w:val="auto"/>
        </w:rPr>
        <w:t>”). We estimate the SSP of our services based upon observable evidence, market conditions and other relevant inputs.</w:t>
      </w:r>
    </w:p>
    <w:p>
      <w:pPr>
        <w:spacing w:after="0" w:line="72" w:lineRule="exact"/>
        <w:rPr>
          <w:sz w:val="20"/>
          <w:szCs w:val="20"/>
          <w:color w:val="auto"/>
        </w:rPr>
      </w:pPr>
    </w:p>
    <w:p>
      <w:pPr>
        <w:jc w:val="both"/>
        <w:ind w:left="820" w:hanging="407"/>
        <w:spacing w:after="0" w:line="266"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(sale of camera and installation) – we recognize revenue when the installation process is completed and the camera is ready to perform the services as expected by the customer. Generally, it occurs at site acceptance or first citation. We recognize revenue for the sale of the camera and installation services at a point in time.</w:t>
      </w:r>
    </w:p>
    <w:p>
      <w:pPr>
        <w:spacing w:after="0" w:line="68" w:lineRule="exact"/>
        <w:rPr>
          <w:rFonts w:ascii="Times New Roman" w:cs="Times New Roman" w:eastAsia="Times New Roman" w:hAnsi="Times New Roman"/>
          <w:sz w:val="18"/>
          <w:szCs w:val="18"/>
          <w:color w:val="auto"/>
        </w:rPr>
      </w:pPr>
    </w:p>
    <w:p>
      <w:pPr>
        <w:jc w:val="both"/>
        <w:ind w:left="820" w:hanging="407"/>
        <w:spacing w:after="0" w:line="254"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we account for all the services as a single continuous service. We have determined our performance obligation is to provide a complete end to end safety and enforcement solution. Promises include providing a system to capture images, processing images taken by the camera, forwarding eligible images to the local police department and processing payments on behalf of the municipality. We determined certain of the promises to our customers are capable of being distinct as they are capable of providing some measure of benefit to the customer either on their own or together with other resources that are readily available to the customer. However, we have determined the promises to our customers do not meet the criterion of being distinct within the context of our contracts. We would not be able to fulfill our promises individually as our customers could not obtain the intended benefit from the contract without us fulfilling all promises. Accordingly, we concluded that each contract represents one service offering and is a single performance obligation to our customer. Further, we applied the series guidance for those services as the nature of the service is to provide a service for a period of time with distinct time increments. We recognize revenue from services over time, as it is performed, which is consistent with the pattern in which our customers receive and consume the benefits.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6" w:name="page37"/>
    <w:bookmarkEnd w:id="36"/>
    <w:p>
      <w:pPr>
        <w:jc w:val="both"/>
        <w:ind w:firstLine="815"/>
        <w:spacing w:after="0" w:line="255" w:lineRule="auto"/>
        <w:rPr>
          <w:sz w:val="20"/>
          <w:szCs w:val="20"/>
          <w:color w:val="auto"/>
        </w:rPr>
      </w:pPr>
      <w:r>
        <w:rPr>
          <w:rFonts w:ascii="Times New Roman" w:cs="Times New Roman" w:eastAsia="Times New Roman" w:hAnsi="Times New Roman"/>
          <w:sz w:val="18"/>
          <w:szCs w:val="18"/>
          <w:i w:val="1"/>
          <w:iCs w:val="1"/>
          <w:color w:val="auto"/>
        </w:rPr>
        <w:t>Commercial Services</w:t>
      </w:r>
      <w:r>
        <w:rPr>
          <w:rFonts w:ascii="Times New Roman" w:cs="Times New Roman" w:eastAsia="Times New Roman" w:hAnsi="Times New Roman"/>
          <w:sz w:val="18"/>
          <w:szCs w:val="18"/>
          <w:color w:val="auto"/>
        </w:rPr>
        <w:t>. The Commercial Services segment offers toll and violation management solutions for the commercial fleet and rental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by partnering with the leading fleet management and rental car companies in North America and Europe. We have determined our performance obligation is a distinct stand-ready obligation as there is an unspecified quantity of services provided that does not diminish, and the customer is being charged only when it uses our services, such as toll payment, title and registration, etc. Therefore, all services provided within the Commercial Services segment are accounted for as a single performance obligation, of a series of distinct items, with distinct time increments, as a stand ready obligation. Payment terms for contracts with commercial fleet and rental car companies vary, but are usually billed as services are performed. Revenue from services provided in the Commercial Services segment are recognized over time as the customer simultaneously receives and consumes the benefits provided by us as we perform the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87" w:lineRule="exact"/>
        <w:rPr>
          <w:sz w:val="20"/>
          <w:szCs w:val="20"/>
          <w:color w:val="auto"/>
        </w:rPr>
      </w:pPr>
    </w:p>
    <w:p>
      <w:pPr>
        <w:jc w:val="both"/>
        <w:ind w:firstLine="815"/>
        <w:spacing w:after="0" w:line="261" w:lineRule="auto"/>
        <w:rPr>
          <w:sz w:val="20"/>
          <w:szCs w:val="20"/>
          <w:color w:val="auto"/>
        </w:rPr>
      </w:pPr>
      <w:r>
        <w:rPr>
          <w:rFonts w:ascii="Times New Roman" w:cs="Times New Roman" w:eastAsia="Times New Roman" w:hAnsi="Times New Roman"/>
          <w:sz w:val="18"/>
          <w:szCs w:val="18"/>
          <w:color w:val="auto"/>
        </w:rPr>
        <w:t>As of March 31, 2019, we had approximately $0.3 million of remaining performance obligations in the Government Solutions segment, which includes amounts that will be invoiced and recognized in future periods. The remaining performance obligations are limited only to arrangements that meet the definition of a contract as of March 31, 2019. As these amounts relate to the initial deferral of revenue under a contract, we expect to recognize these amounts over a two month period at the end of the contract.</w:t>
      </w:r>
    </w:p>
    <w:p>
      <w:pPr>
        <w:spacing w:after="0" w:line="140" w:lineRule="exact"/>
        <w:rPr>
          <w:sz w:val="20"/>
          <w:szCs w:val="20"/>
          <w:color w:val="auto"/>
        </w:rPr>
      </w:pPr>
    </w:p>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We apply the practical expedient and do not disclose variable consideration allocated entirely to a wholly unsatisfied stand-ready performance obligations for certain Government Solutions and Commercial Services contracts as part of the information about remaining performance obligations. The duration for these contracts ranges between 3 and 5 years for new contracts.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187" w:lineRule="exact"/>
        <w:rPr>
          <w:sz w:val="20"/>
          <w:szCs w:val="20"/>
          <w:color w:val="auto"/>
        </w:rPr>
      </w:pPr>
    </w:p>
    <w:p>
      <w:pPr>
        <w:jc w:val="both"/>
        <w:ind w:firstLine="815"/>
        <w:spacing w:after="0" w:line="256" w:lineRule="auto"/>
        <w:rPr>
          <w:sz w:val="20"/>
          <w:szCs w:val="20"/>
          <w:color w:val="auto"/>
        </w:rPr>
      </w:pPr>
      <w:r>
        <w:rPr>
          <w:rFonts w:ascii="Times New Roman" w:cs="Times New Roman" w:eastAsia="Times New Roman" w:hAnsi="Times New Roman"/>
          <w:sz w:val="18"/>
          <w:szCs w:val="18"/>
          <w:color w:val="auto"/>
        </w:rPr>
        <w:t>Under the new revenue standard, significant judgments are required in order to identify contracts with customers and estimate transaction prices. Additional judgments are required for the identification of distinct performance obligations, the estimation of standalone selling prices and the allocation of the transaction price by relative standalone selling prices. Assumptions regarding timing of when control transfers to the customer requires significant judgment in order to recognize revenue. We used significant judgment related to identifying the performance obligation and determining whether the services provided are able to be distinct, determining the transaction price, specifically as it is related to the different variable consideration structures identified in our contracts, and in determining the timing of revenue recognition.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jc w:val="both"/>
        <w:ind w:firstLine="815"/>
        <w:spacing w:after="0" w:line="284" w:lineRule="auto"/>
        <w:rPr>
          <w:sz w:val="20"/>
          <w:szCs w:val="20"/>
          <w:color w:val="auto"/>
        </w:rPr>
      </w:pPr>
      <w:r>
        <w:rPr>
          <w:rFonts w:ascii="Times New Roman" w:cs="Times New Roman" w:eastAsia="Times New Roman" w:hAnsi="Times New Roman"/>
          <w:sz w:val="18"/>
          <w:szCs w:val="18"/>
          <w:color w:val="auto"/>
        </w:rPr>
        <w:t xml:space="preserve">For discussion of recent accounting pronouncements, refer to Note 2, </w:t>
      </w:r>
      <w:r>
        <w:rPr>
          <w:rFonts w:ascii="Times New Roman" w:cs="Times New Roman" w:eastAsia="Times New Roman" w:hAnsi="Times New Roman"/>
          <w:sz w:val="18"/>
          <w:szCs w:val="18"/>
          <w:i w:val="1"/>
          <w:iCs w:val="1"/>
          <w:color w:val="auto"/>
        </w:rPr>
        <w:t>Summary of Significant Accounting Principles and Policies</w:t>
      </w:r>
      <w:r>
        <w:rPr>
          <w:rFonts w:ascii="Times New Roman" w:cs="Times New Roman" w:eastAsia="Times New Roman" w:hAnsi="Times New Roman"/>
          <w:sz w:val="18"/>
          <w:szCs w:val="18"/>
          <w:color w:val="auto"/>
        </w:rPr>
        <w:t>, in Item 1,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85" w:lineRule="exact"/>
        <w:rPr>
          <w:sz w:val="20"/>
          <w:szCs w:val="20"/>
          <w:color w:val="auto"/>
        </w:rPr>
      </w:pPr>
    </w:p>
    <w:p>
      <w:pPr>
        <w:jc w:val="both"/>
        <w:ind w:firstLine="815"/>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w:t>
      </w:r>
      <w:r>
        <w:rPr>
          <w:rFonts w:ascii="Times New Roman" w:cs="Times New Roman" w:eastAsia="Times New Roman" w:hAnsi="Times New Roman"/>
          <w:sz w:val="18"/>
          <w:szCs w:val="18"/>
          <w:b w:val="1"/>
          <w:bCs w:val="1"/>
          <w:i w:val="1"/>
          <w:iCs w:val="1"/>
          <w:color w:val="auto"/>
        </w:rPr>
        <w:t>JOBS Act</w:t>
      </w:r>
      <w:r>
        <w:rPr>
          <w:rFonts w:ascii="Times New Roman" w:cs="Times New Roman" w:eastAsia="Times New Roman" w:hAnsi="Times New Roman"/>
          <w:sz w:val="18"/>
          <w:szCs w:val="18"/>
          <w:color w:val="auto"/>
        </w:rPr>
        <w:t>”).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Data</w:t>
      </w:r>
    </w:p>
    <w:p>
      <w:pPr>
        <w:spacing w:after="0" w:line="185" w:lineRule="exact"/>
        <w:rPr>
          <w:sz w:val="20"/>
          <w:szCs w:val="20"/>
          <w:color w:val="auto"/>
        </w:rPr>
      </w:pPr>
    </w:p>
    <w:p>
      <w:pPr>
        <w:jc w:val="both"/>
        <w:ind w:firstLine="815"/>
        <w:spacing w:after="0" w:line="255" w:lineRule="auto"/>
        <w:rPr>
          <w:sz w:val="20"/>
          <w:szCs w:val="20"/>
          <w:color w:val="auto"/>
        </w:rPr>
      </w:pPr>
      <w:r>
        <w:rPr>
          <w:rFonts w:ascii="Times New Roman" w:cs="Times New Roman" w:eastAsia="Times New Roman" w:hAnsi="Times New Roman"/>
          <w:sz w:val="18"/>
          <w:szCs w:val="18"/>
          <w:color w:val="auto"/>
        </w:rPr>
        <w:t>We define “</w:t>
      </w: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as net income (loss) adjusted to exclude (i) interest expense, net, (ii) income tax provision (benefit), (iii) depreciation and amortization, (iv) stock-based compensation and (v) as further adjusted to eliminate the impact of certain non-recurring items that we do not consider indicative of our ongoing operating performance. These further adjustments are itemized below. Adjusted EBITDA margin % represents Adjusted EBITDA as a percentage of total revenue. We use these metrics to measure our performance from period to period both at the consolidated level as well as within our operating segments, to evaluate and fund incentive compensation programs and to compare our results to those of our competitors. In addition to Adjusted EBITDA being a significant measure of performance for management purposes, we also believe that this presentation provides useful information to investors regarding financial and business trends related to our results of operations and that when non-GAAP financial information is viewed with GAAP financial information, investors are provided with a more meaningful understanding of our ongoing operating performance.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37" w:name="page38"/>
    <w:bookmarkEnd w:id="37"/>
    <w:p>
      <w:pPr>
        <w:jc w:val="both"/>
        <w:ind w:firstLine="815"/>
        <w:spacing w:after="0" w:line="266" w:lineRule="auto"/>
        <w:rPr>
          <w:sz w:val="20"/>
          <w:szCs w:val="20"/>
          <w:color w:val="auto"/>
        </w:rPr>
      </w:pPr>
      <w:r>
        <w:rPr>
          <w:rFonts w:ascii="Times New Roman" w:cs="Times New Roman" w:eastAsia="Times New Roman" w:hAnsi="Times New Roman"/>
          <w:sz w:val="18"/>
          <w:szCs w:val="18"/>
          <w:color w:val="auto"/>
        </w:rPr>
        <w:t>You are encouraged to evaluate these adjustments and the reasons we consider them appropriate for supplemental analysis. In evaluating Adjusted EBITDA, you should be aware that in the future we may incur expenses that are the same as or similar to some of the adjustments set forth below. Our presentation of Adjusted EBITDA should not be construed as an inference that our future results will be unaffected by unusual or non-recurring items.</w:t>
      </w:r>
    </w:p>
    <w:p>
      <w:pPr>
        <w:spacing w:after="0" w:line="149"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net income (loss), operating income, cash flows from operating activities or any other performance measures derived in accordance with GAAP, or measures of operating performance or cash flows as measures of liquidity. Adjusted EBITDA and Adjusted EBITDA margin % have important limitations as analytical tools, and you should not consider either in isolation, or as a substitute for analysis of our results as reported under GAAP. In addition, our definition of Adjusted EBITDA may not be comparable to similarly titled measures of other companies and may, therefore, have limitations as a comparative analytical tool. For example, Adjusted EBITDA and Adjusted EBITDA margin %:</w:t>
      </w:r>
    </w:p>
    <w:p>
      <w:pPr>
        <w:spacing w:after="0" w:line="76" w:lineRule="exact"/>
        <w:rPr>
          <w:sz w:val="20"/>
          <w:szCs w:val="20"/>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our capital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significant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expense or the cash necessary to pay income taxes;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any cash requirements for the assets being depreciated and amortized that may have to be replaced in the future.</w:t>
      </w:r>
    </w:p>
    <w:p>
      <w:pPr>
        <w:spacing w:after="0" w:line="185" w:lineRule="exact"/>
        <w:rPr>
          <w:sz w:val="20"/>
          <w:szCs w:val="20"/>
          <w:color w:val="auto"/>
        </w:rPr>
      </w:pPr>
    </w:p>
    <w:p>
      <w:pPr>
        <w:ind w:right="20" w:firstLine="815"/>
        <w:spacing w:after="0" w:line="282" w:lineRule="auto"/>
        <w:rPr>
          <w:sz w:val="20"/>
          <w:szCs w:val="20"/>
          <w:color w:val="auto"/>
        </w:rPr>
      </w:pPr>
      <w:r>
        <w:rPr>
          <w:rFonts w:ascii="Times New Roman" w:cs="Times New Roman" w:eastAsia="Times New Roman" w:hAnsi="Times New Roman"/>
          <w:sz w:val="18"/>
          <w:szCs w:val="18"/>
          <w:color w:val="auto"/>
        </w:rPr>
        <w:t>Our non-GAAP information below should be read in conjunction with our unaudited interim condensed consolidated financial statements and the related notes included elsewhere in this quarterly report.</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sets forth our reconciliation of Adjusted EBITDA to net income (loss) (unaudited):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00" w:type="dxa"/>
            <w:vAlign w:val="bottom"/>
            <w:tcBorders>
              <w:bottom w:val="single" w:sz="8" w:color="CFF0FC"/>
            </w:tcBorders>
            <w:vMerge w:val="continue"/>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(6,610)</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4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49,112</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Transaction and other related expenses </w:t>
            </w:r>
            <w:r>
              <w:rPr>
                <w:rFonts w:ascii="Times New Roman" w:cs="Times New Roman" w:eastAsia="Times New Roman" w:hAnsi="Times New Roman"/>
                <w:sz w:val="15"/>
                <w:szCs w:val="15"/>
                <w:color w:val="auto"/>
              </w:rPr>
              <w:t>(i)</w:t>
            </w:r>
          </w:p>
        </w:tc>
        <w:tc>
          <w:tcPr>
            <w:tcW w:w="1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Transformation expenses </w:t>
            </w:r>
            <w:r>
              <w:rPr>
                <w:rFonts w:ascii="Times New Roman" w:cs="Times New Roman" w:eastAsia="Times New Roman" w:hAnsi="Times New Roman"/>
                <w:sz w:val="15"/>
                <w:szCs w:val="15"/>
                <w:color w:val="auto"/>
              </w:rPr>
              <w:t>(ii)</w:t>
            </w:r>
          </w:p>
        </w:tc>
        <w:tc>
          <w:tcPr>
            <w:tcW w:w="1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15"/>
                <w:szCs w:val="15"/>
                <w:color w:val="auto"/>
              </w:rPr>
              <w:t>(iii)</w:t>
            </w:r>
          </w:p>
        </w:tc>
        <w:tc>
          <w:tcPr>
            <w:tcW w:w="1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Sponsor fees and expenses </w:t>
            </w:r>
            <w:r>
              <w:rPr>
                <w:rFonts w:ascii="Times New Roman" w:cs="Times New Roman" w:eastAsia="Times New Roman" w:hAnsi="Times New Roman"/>
                <w:sz w:val="15"/>
                <w:szCs w:val="15"/>
                <w:color w:val="auto"/>
              </w:rPr>
              <w:t>(iv)</w:t>
            </w:r>
          </w:p>
        </w:tc>
        <w:tc>
          <w:tcPr>
            <w:tcW w:w="1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15"/>
                <w:szCs w:val="15"/>
                <w:color w:val="auto"/>
              </w:rPr>
              <w:t>(v)</w:t>
            </w:r>
          </w:p>
        </w:tc>
        <w:tc>
          <w:tcPr>
            <w:tcW w:w="1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51,255</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left="960" w:hanging="547"/>
        <w:spacing w:after="0" w:line="241"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expenses incurred in the three months ended March 31, 2018 included $18.1 million of costs related to the HTA acquisition, primarily consisting of $7.2 million for acquisition services to Platinum Equity Advisors, LLC, $8.4 million of professional fees processed through the funds flow and $2.5 million of professional fees paid directly by us.</w:t>
      </w:r>
    </w:p>
    <w:p>
      <w:pPr>
        <w:spacing w:after="0" w:line="68" w:lineRule="exact"/>
        <w:rPr>
          <w:rFonts w:ascii="Times New Roman" w:cs="Times New Roman" w:eastAsia="Times New Roman" w:hAnsi="Times New Roman"/>
          <w:sz w:val="14"/>
          <w:szCs w:val="14"/>
          <w:color w:val="auto"/>
        </w:rPr>
      </w:pPr>
    </w:p>
    <w:p>
      <w:pPr>
        <w:ind w:left="960" w:hanging="547"/>
        <w:spacing w:after="0" w:line="251"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Transformation expenses for the three months ended March 31, 2018 represent one-time costs related to optimizing the expense structure and defining the Company’s growth strategy.</w:t>
      </w:r>
    </w:p>
    <w:p>
      <w:pPr>
        <w:spacing w:after="0" w:line="236" w:lineRule="exact"/>
        <w:rPr>
          <w:rFonts w:ascii="Times New Roman" w:cs="Times New Roman" w:eastAsia="Times New Roman" w:hAnsi="Times New Roman"/>
          <w:sz w:val="14"/>
          <w:szCs w:val="14"/>
          <w:color w:val="auto"/>
        </w:rPr>
      </w:pPr>
    </w:p>
    <w:p>
      <w:pPr>
        <w:ind w:left="960" w:hanging="547"/>
        <w:spacing w:after="0" w:line="251"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represents the loss on extinguishment of debt related to the 2017 Credit Facilities which were replaced by the 2018 Credit facilities in conjunction with the HTA acquisition.</w:t>
      </w:r>
    </w:p>
    <w:p>
      <w:pPr>
        <w:spacing w:after="0" w:line="236" w:lineRule="exact"/>
        <w:rPr>
          <w:rFonts w:ascii="Times New Roman" w:cs="Times New Roman" w:eastAsia="Times New Roman" w:hAnsi="Times New Roman"/>
          <w:sz w:val="14"/>
          <w:szCs w:val="14"/>
          <w:color w:val="auto"/>
        </w:rPr>
      </w:pPr>
    </w:p>
    <w:p>
      <w:pPr>
        <w:ind w:left="960" w:hanging="547"/>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incurred expenses associated with a Corporate Advisory Services Agreement with an affiliate of our primary shareholder.</w:t>
      </w:r>
    </w:p>
    <w:p>
      <w:pPr>
        <w:spacing w:after="0" w:line="95" w:lineRule="exact"/>
        <w:rPr>
          <w:rFonts w:ascii="Times New Roman" w:cs="Times New Roman" w:eastAsia="Times New Roman" w:hAnsi="Times New Roman"/>
          <w:sz w:val="14"/>
          <w:szCs w:val="14"/>
          <w:color w:val="auto"/>
        </w:rPr>
      </w:pPr>
    </w:p>
    <w:p>
      <w:pPr>
        <w:ind w:left="960" w:hanging="547"/>
        <w:spacing w:after="0" w:line="262"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for the three months ended March 31, 2019 represents the non-cash charge related to the issuance of awards under the Verra Mobility Corporation 2018 Equity Incentive Plan.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We are exposed to interest rate market risk due to the variable interest rates on the New Term Loans described in “Item 2. Management’s Discussion and Analysis of Financial Condition and Results of Operations--</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815"/>
        <w:spacing w:after="0" w:line="258" w:lineRule="auto"/>
        <w:rPr>
          <w:sz w:val="20"/>
          <w:szCs w:val="20"/>
          <w:color w:val="auto"/>
        </w:rPr>
      </w:pPr>
      <w:r>
        <w:rPr>
          <w:rFonts w:ascii="Times New Roman" w:cs="Times New Roman" w:eastAsia="Times New Roman" w:hAnsi="Times New Roman"/>
          <w:sz w:val="18"/>
          <w:szCs w:val="18"/>
          <w:color w:val="auto"/>
        </w:rPr>
        <w:t>Interest rate risk represents our exposure to movements in interest rates associated with the variable rate debt represented by the New First Lien Term Loan. Total borrowing under the New First Lien Term Loan was $901 million at March 31, 2019. The New First Lien Term Loan bears interest based, at our option, on either (1) LIBOR plus an applicable margin of 3.75% per annum, or (2) an alternate base rate plus an applicable margin of 2.75% per annum. At March 31, 2019, the interest rate on the New First Lien Term Loan was 6.25%. Based on the March 31, 2019 New First Lien Term Loan balance outstanding, each 1% movement in interest rates will result in an approximately $9.0 million change in annual interest expense.</w:t>
      </w:r>
    </w:p>
    <w:p>
      <w:pPr>
        <w:spacing w:after="0" w:line="143"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We have not engaged in any hedging activities during the three months ended March 31, 2019. We do not expect to engage in any hedging activities with respect to the market risk to which we are exposed.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ind w:firstLine="815"/>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management, with the participation of our Chief Executive Officer and our Chief Financial Officer, evaluated the effectiveness of our disclosure controls and procedures as of March 31, 2019.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149" w:lineRule="exact"/>
        <w:rPr>
          <w:sz w:val="20"/>
          <w:szCs w:val="20"/>
          <w:color w:val="auto"/>
        </w:rPr>
      </w:pPr>
    </w:p>
    <w:p>
      <w:pPr>
        <w:jc w:val="both"/>
        <w:ind w:firstLine="81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2019, there has been no change in our internal control over financial reporting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firstLine="815"/>
        <w:spacing w:after="0" w:line="220" w:lineRule="exact"/>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report are any of the risks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 filed with the SEC on April 30, 2019.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45" w:lineRule="exact"/>
        <w:rPr>
          <w:sz w:val="20"/>
          <w:szCs w:val="20"/>
          <w:color w:val="auto"/>
        </w:rPr>
      </w:pPr>
    </w:p>
    <w:p>
      <w:pPr>
        <w:jc w:val="both"/>
        <w:ind w:firstLine="815"/>
        <w:spacing w:after="0" w:line="232" w:lineRule="exact"/>
        <w:rPr>
          <w:sz w:val="20"/>
          <w:szCs w:val="20"/>
          <w:color w:val="auto"/>
        </w:rPr>
      </w:pPr>
      <w:r>
        <w:rPr>
          <w:rFonts w:ascii="Times New Roman" w:cs="Times New Roman" w:eastAsia="Times New Roman" w:hAnsi="Times New Roman"/>
          <w:sz w:val="18"/>
          <w:szCs w:val="18"/>
          <w:color w:val="auto"/>
        </w:rPr>
        <w:t>As of the date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there have been no material changes to the risk factors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 with the SEC on April 30, 2019. We may disclose changes to such factors or disclose additional factors from time to time in our future filings with the SEC.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12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120" w:type="dxa"/>
            <w:vAlign w:val="bottom"/>
            <w:vMerge w:val="restart"/>
          </w:tcPr>
          <w:p>
            <w:pPr>
              <w:spacing w:after="0"/>
              <w:rPr>
                <w:sz w:val="6"/>
                <w:szCs w:val="6"/>
                <w:color w:val="auto"/>
              </w:rPr>
            </w:pPr>
          </w:p>
        </w:tc>
        <w:tc>
          <w:tcPr>
            <w:tcW w:w="3460" w:type="dxa"/>
            <w:vAlign w:val="bottom"/>
            <w:gridSpan w:val="4"/>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3460" w:type="dxa"/>
            <w:vAlign w:val="bottom"/>
            <w:tcBorders>
              <w:bottom w:val="single" w:sz="8" w:color="auto"/>
            </w:tcBorders>
            <w:gridSpan w:val="4"/>
            <w:vMerge w:val="continue"/>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02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80" w:type="dxa"/>
            <w:vAlign w:val="bottom"/>
            <w:vMerge w:val="restart"/>
          </w:tcPr>
          <w:p>
            <w:pPr>
              <w:jc w:val="right"/>
              <w:ind w:right="954"/>
              <w:spacing w:after="0"/>
              <w:rPr>
                <w:sz w:val="20"/>
                <w:szCs w:val="20"/>
                <w:color w:val="auto"/>
              </w:rPr>
            </w:pPr>
            <w:r>
              <w:rPr>
                <w:rFonts w:ascii="Times New Roman" w:cs="Times New Roman" w:eastAsia="Times New Roman" w:hAnsi="Times New Roman"/>
                <w:sz w:val="18"/>
                <w:szCs w:val="18"/>
                <w:color w:val="auto"/>
                <w:w w:val="97"/>
              </w:rPr>
              <w:t>2.1</w:t>
            </w:r>
          </w:p>
        </w:tc>
        <w:tc>
          <w:tcPr>
            <w:tcW w:w="4580" w:type="dxa"/>
            <w:vAlign w:val="bottom"/>
            <w:tcBorders>
              <w:bottom w:val="single" w:sz="8" w:color="0000EE"/>
            </w:tcBorders>
            <w:gridSpan w:val="5"/>
          </w:tcPr>
          <w:p>
            <w:pPr>
              <w:spacing w:after="0" w:line="170"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Merger Agreement, dated as of June 21, 2018, by and among</w:t>
              </w:r>
            </w:hyperlink>
          </w:p>
        </w:tc>
        <w:tc>
          <w:tcPr>
            <w:tcW w:w="80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001-37979</w:t>
            </w:r>
          </w:p>
        </w:tc>
        <w:tc>
          <w:tcPr>
            <w:tcW w:w="1020" w:type="dxa"/>
            <w:vAlign w:val="bottom"/>
          </w:tcPr>
          <w:p>
            <w:pPr>
              <w:jc w:val="center"/>
              <w:ind w:right="34"/>
              <w:spacing w:after="0" w:line="170" w:lineRule="exact"/>
              <w:rPr>
                <w:sz w:val="20"/>
                <w:szCs w:val="20"/>
                <w:color w:val="auto"/>
              </w:rPr>
            </w:pPr>
            <w:r>
              <w:rPr>
                <w:rFonts w:ascii="Times New Roman" w:cs="Times New Roman" w:eastAsia="Times New Roman" w:hAnsi="Times New Roman"/>
                <w:sz w:val="18"/>
                <w:szCs w:val="18"/>
                <w:color w:val="auto"/>
                <w:w w:val="97"/>
              </w:rPr>
              <w:t>2.1</w:t>
            </w:r>
          </w:p>
        </w:tc>
        <w:tc>
          <w:tcPr>
            <w:tcW w:w="1280" w:type="dxa"/>
            <w:vAlign w:val="bottom"/>
          </w:tcPr>
          <w:p>
            <w:pPr>
              <w:jc w:val="center"/>
              <w:ind w:right="34"/>
              <w:spacing w:after="0" w:line="170" w:lineRule="exact"/>
              <w:rPr>
                <w:sz w:val="20"/>
                <w:szCs w:val="20"/>
                <w:color w:val="auto"/>
              </w:rPr>
            </w:pPr>
            <w:r>
              <w:rPr>
                <w:rFonts w:ascii="Times New Roman" w:cs="Times New Roman" w:eastAsia="Times New Roman" w:hAnsi="Times New Roman"/>
                <w:sz w:val="18"/>
                <w:szCs w:val="18"/>
                <w:color w:val="auto"/>
                <w:w w:val="99"/>
              </w:rPr>
              <w:t>June 21, 2018</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80" w:type="dxa"/>
            <w:vAlign w:val="bottom"/>
            <w:vMerge w:val="continue"/>
          </w:tcPr>
          <w:p>
            <w:pPr>
              <w:spacing w:after="0"/>
              <w:rPr>
                <w:sz w:val="8"/>
                <w:szCs w:val="8"/>
                <w:color w:val="auto"/>
              </w:rPr>
            </w:pPr>
          </w:p>
        </w:tc>
        <w:tc>
          <w:tcPr>
            <w:tcW w:w="4580" w:type="dxa"/>
            <w:vAlign w:val="bottom"/>
            <w:gridSpan w:val="5"/>
            <w:vMerge w:val="restart"/>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Gores Holdings II, Inc., AM Merger Sub I, Inc., AM Merger</w:t>
              </w:r>
            </w:hyperlink>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45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Sub II, LLC, Greenlight Holding II Corporation and PE</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Greenlight Holdings, LLC, in its capacity as the Stockholder</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Representative.</w:t>
              </w:r>
            </w:hyperlink>
          </w:p>
        </w:tc>
        <w:tc>
          <w:tcPr>
            <w:tcW w:w="346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8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97"/>
              </w:rPr>
              <w:t>2.2</w:t>
            </w:r>
          </w:p>
        </w:tc>
        <w:tc>
          <w:tcPr>
            <w:tcW w:w="45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Amendment No. 1 to Agreement and Plan of Merger, dated as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001-37979</w:t>
            </w:r>
          </w:p>
        </w:tc>
        <w:tc>
          <w:tcPr>
            <w:tcW w:w="102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7"/>
              </w:rPr>
              <w:t>2.1</w:t>
            </w: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Aug. 24, 2018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5"/>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of August 23, 2018, by and among Gores Holdings II, Inc.,</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 Merger Sub I, Inc., AM Merger Sub II, LLC, Greenlight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Holding II Corporation and PE Greenlight Holdings, LLC, in</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5"/>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its capacity as the Stockholder Representative.</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97"/>
              </w:rPr>
              <w:t>3.1</w:t>
            </w:r>
          </w:p>
        </w:tc>
        <w:tc>
          <w:tcPr>
            <w:tcW w:w="4580" w:type="dxa"/>
            <w:vAlign w:val="bottom"/>
            <w:gridSpan w:val="5"/>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Second Amended and Restated Certificate of Incorporation of</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001-37979</w:t>
            </w:r>
          </w:p>
        </w:tc>
        <w:tc>
          <w:tcPr>
            <w:tcW w:w="102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7"/>
              </w:rPr>
              <w:t>3.1</w:t>
            </w:r>
          </w:p>
        </w:tc>
        <w:tc>
          <w:tcPr>
            <w:tcW w:w="128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Oct. 22, 2018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Verra Mobility Corporation</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440"/>
          </w:cols>
          <w:pgMar w:left="240" w:top="347" w:right="219" w:bottom="1440" w:gutter="0" w:footer="0" w:header="0"/>
        </w:sect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00" w:type="dxa"/>
            <w:vAlign w:val="bottom"/>
            <w:gridSpan w:val="9"/>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Amended and Restated Bylaws of Verra Mobility Corporation</w:t>
              </w:r>
            </w:hyperlink>
            <w:r>
              <w:rPr>
                <w:rFonts w:ascii="Times New Roman" w:cs="Times New Roman" w:eastAsia="Times New Roman" w:hAnsi="Times New Roman"/>
                <w:sz w:val="18"/>
                <w:szCs w:val="18"/>
                <w:color w:val="000000"/>
              </w:rPr>
              <w:t>.</w:t>
            </w: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4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Specimen Class A Common Stock Certificate</w:t>
              </w:r>
            </w:hyperlink>
            <w:r>
              <w:rPr>
                <w:rFonts w:ascii="Times New Roman" w:cs="Times New Roman" w:eastAsia="Times New Roman" w:hAnsi="Times New Roman"/>
                <w:sz w:val="18"/>
                <w:szCs w:val="18"/>
                <w:color w:val="000000"/>
              </w:rPr>
              <w:t>.</w:t>
            </w:r>
          </w:p>
        </w:tc>
        <w:tc>
          <w:tcPr>
            <w:tcW w:w="120" w:type="dxa"/>
            <w:vAlign w:val="bottom"/>
            <w:gridSpan w:val="3"/>
          </w:tcPr>
          <w:p>
            <w:pPr>
              <w:spacing w:after="0"/>
              <w:rPr>
                <w:sz w:val="24"/>
                <w:szCs w:val="24"/>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3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Specimen Warrant Certificate</w:t>
              </w:r>
            </w:hyperlink>
            <w:r>
              <w:rPr>
                <w:rFonts w:ascii="Times New Roman" w:cs="Times New Roman" w:eastAsia="Times New Roman" w:hAnsi="Times New Roman"/>
                <w:sz w:val="18"/>
                <w:szCs w:val="18"/>
                <w:color w:val="000000"/>
              </w:rPr>
              <w:t>.</w:t>
            </w:r>
          </w:p>
        </w:tc>
        <w:tc>
          <w:tcPr>
            <w:tcW w:w="1300" w:type="dxa"/>
            <w:vAlign w:val="bottom"/>
            <w:gridSpan w:val="4"/>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600" w:type="dxa"/>
            <w:vAlign w:val="bottom"/>
            <w:gridSpan w:val="9"/>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Warrant Agreement, dated January 12, 2017, between the</w:t>
              </w:r>
            </w:hyperlink>
          </w:p>
        </w:tc>
      </w:tr>
      <w:tr>
        <w:trPr>
          <w:trHeight w:val="20"/>
        </w:trPr>
        <w:tc>
          <w:tcPr>
            <w:tcW w:w="12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Registrant and Continental Stock Transfer &amp; Trust Company,</w:t>
              </w:r>
            </w:hyperlink>
          </w:p>
        </w:tc>
      </w:tr>
      <w:tr>
        <w:trPr>
          <w:trHeight w:val="196"/>
        </w:trPr>
        <w:tc>
          <w:tcPr>
            <w:tcW w:w="1280" w:type="dxa"/>
            <w:vAlign w:val="bottom"/>
          </w:tcPr>
          <w:p>
            <w:pPr>
              <w:spacing w:after="0"/>
              <w:rPr>
                <w:sz w:val="17"/>
                <w:szCs w:val="17"/>
                <w:color w:val="auto"/>
              </w:rPr>
            </w:pPr>
          </w:p>
        </w:tc>
        <w:tc>
          <w:tcPr>
            <w:tcW w:w="4600" w:type="dxa"/>
            <w:vAlign w:val="bottom"/>
            <w:gridSpan w:val="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as warrant agent</w:t>
              </w:r>
              <w:r>
                <w:rPr>
                  <w:rFonts w:ascii="Times New Roman" w:cs="Times New Roman" w:eastAsia="Times New Roman" w:hAnsi="Times New Roman"/>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00" w:type="dxa"/>
            <w:vAlign w:val="bottom"/>
            <w:gridSpan w:val="9"/>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Confidential  Separation  and  Release  Agreement  by  and</w:t>
              </w:r>
            </w:hyperlink>
          </w:p>
        </w:tc>
      </w:tr>
      <w:tr>
        <w:trPr>
          <w:trHeight w:val="20"/>
        </w:trPr>
        <w:tc>
          <w:tcPr>
            <w:tcW w:w="12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600" w:type="dxa"/>
            <w:vAlign w:val="bottom"/>
            <w:gridSpan w:val="9"/>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between Highway Toll Administration, LLC and Jonathan</w:t>
              </w:r>
            </w:hyperlink>
          </w:p>
        </w:tc>
      </w:tr>
      <w:tr>
        <w:trPr>
          <w:trHeight w:val="196"/>
        </w:trPr>
        <w:tc>
          <w:tcPr>
            <w:tcW w:w="1280" w:type="dxa"/>
            <w:vAlign w:val="bottom"/>
          </w:tcPr>
          <w:p>
            <w:pPr>
              <w:spacing w:after="0"/>
              <w:rPr>
                <w:sz w:val="17"/>
                <w:szCs w:val="17"/>
                <w:color w:val="auto"/>
              </w:rPr>
            </w:pPr>
          </w:p>
        </w:tc>
        <w:tc>
          <w:tcPr>
            <w:tcW w:w="45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Routledge, dated January 4, 2019</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9"/>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Certification of Principal Executive Officer Pursuant to Rules</w:t>
              </w:r>
            </w:hyperlink>
          </w:p>
        </w:tc>
      </w:tr>
      <w:tr>
        <w:trPr>
          <w:trHeight w:val="196"/>
        </w:trPr>
        <w:tc>
          <w:tcPr>
            <w:tcW w:w="1280" w:type="dxa"/>
            <w:vAlign w:val="bottom"/>
          </w:tcPr>
          <w:p>
            <w:pPr>
              <w:spacing w:after="0"/>
              <w:rPr>
                <w:sz w:val="17"/>
                <w:szCs w:val="17"/>
                <w:color w:val="auto"/>
              </w:rPr>
            </w:pPr>
          </w:p>
        </w:tc>
        <w:tc>
          <w:tcPr>
            <w:tcW w:w="45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under the Securities Exchange Act of</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18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1934, as Adopted Pursuant to Section 302 of the Sarbanes-</w:t>
              </w:r>
            </w:hyperlink>
          </w:p>
        </w:tc>
      </w:tr>
      <w:tr>
        <w:trPr>
          <w:trHeight w:val="196"/>
        </w:trPr>
        <w:tc>
          <w:tcPr>
            <w:tcW w:w="1280" w:type="dxa"/>
            <w:vAlign w:val="bottom"/>
          </w:tcPr>
          <w:p>
            <w:pPr>
              <w:spacing w:after="0"/>
              <w:rPr>
                <w:sz w:val="17"/>
                <w:szCs w:val="17"/>
                <w:color w:val="auto"/>
              </w:rPr>
            </w:pPr>
          </w:p>
        </w:tc>
        <w:tc>
          <w:tcPr>
            <w:tcW w:w="4600" w:type="dxa"/>
            <w:vAlign w:val="bottom"/>
            <w:gridSpan w:val="9"/>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Oxley Act of 2002.</w:t>
              </w:r>
            </w:hyperlink>
          </w:p>
        </w:tc>
      </w:tr>
      <w:tr>
        <w:trPr>
          <w:trHeight w:val="20"/>
        </w:trPr>
        <w:tc>
          <w:tcPr>
            <w:tcW w:w="12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Oct. 22, 2018</w:t>
            </w: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333-21503</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Dec. 9, 2016</w:t>
            </w: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333-21503</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Dec. 9, 2016</w:t>
            </w:r>
          </w:p>
        </w:tc>
      </w:tr>
      <w:tr>
        <w:trPr>
          <w:trHeight w:val="33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Jan. 19, 2017</w:t>
            </w:r>
          </w:p>
        </w:tc>
      </w:tr>
    </w:tbl>
    <w:p>
      <w:pPr>
        <w:spacing w:after="0" w:line="200" w:lineRule="exact"/>
        <w:rPr>
          <w:sz w:val="20"/>
          <w:szCs w:val="20"/>
          <w:color w:val="auto"/>
        </w:rPr>
      </w:pPr>
    </w:p>
    <w:p>
      <w:pPr>
        <w:spacing w:after="0" w:line="308"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X</w:t>
      </w:r>
    </w:p>
    <w:p>
      <w:pPr>
        <w:spacing w:after="0" w:line="738" w:lineRule="exact"/>
        <w:rPr>
          <w:sz w:val="20"/>
          <w:szCs w:val="20"/>
          <w:color w:val="auto"/>
        </w:rPr>
      </w:pPr>
    </w:p>
    <w:p>
      <w:pPr>
        <w:sectPr>
          <w:pgSz w:w="11900" w:h="16838" w:orient="portrait"/>
          <w:cols w:equalWidth="0" w:num="2">
            <w:col w:w="5860" w:space="260"/>
            <w:col w:w="5320"/>
          </w:cols>
          <w:pgMar w:left="240" w:top="347"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20" w:type="dxa"/>
            <w:vAlign w:val="bottom"/>
            <w:gridSpan w:val="7"/>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Certification of Principal Financial Officer Pursuant to Rules</w:t>
              </w:r>
            </w:hyperlink>
          </w:p>
        </w:tc>
        <w:tc>
          <w:tcPr>
            <w:tcW w:w="31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28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under the Securities Exchange Act of</w:t>
              </w:r>
            </w:hyperlink>
          </w:p>
        </w:tc>
        <w:tc>
          <w:tcPr>
            <w:tcW w:w="20" w:type="dxa"/>
            <w:vAlign w:val="bottom"/>
            <w:tcBorders>
              <w:bottom w:val="single" w:sz="8" w:color="0000EE"/>
            </w:tcBorders>
          </w:tcPr>
          <w:p>
            <w:pPr>
              <w:spacing w:after="0"/>
              <w:rPr>
                <w:sz w:val="17"/>
                <w:szCs w:val="17"/>
                <w:color w:val="auto"/>
              </w:rPr>
            </w:pPr>
          </w:p>
        </w:tc>
        <w:tc>
          <w:tcPr>
            <w:tcW w:w="24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1934, as Adopted Pursuant to Section 302 of the Sarbanes-</w:t>
              </w:r>
            </w:hyperlink>
          </w:p>
        </w:tc>
        <w:tc>
          <w:tcPr>
            <w:tcW w:w="24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7020" w:type="dxa"/>
            <w:vAlign w:val="bottom"/>
            <w:gridSpan w:val="7"/>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Oxley Act of 2002.</w:t>
              </w:r>
            </w:hyperlink>
          </w:p>
        </w:tc>
        <w:tc>
          <w:tcPr>
            <w:tcW w:w="31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Certification of Principal Executive Officer Pursuant to 18</w:t>
              </w:r>
            </w:hyperlink>
          </w:p>
        </w:tc>
        <w:tc>
          <w:tcPr>
            <w:tcW w:w="2420" w:type="dxa"/>
            <w:vAlign w:val="bottom"/>
          </w:tcPr>
          <w:p>
            <w:pPr>
              <w:spacing w:after="0"/>
              <w:rPr>
                <w:sz w:val="24"/>
                <w:szCs w:val="24"/>
                <w:color w:val="auto"/>
              </w:rPr>
            </w:pPr>
          </w:p>
        </w:tc>
        <w:tc>
          <w:tcPr>
            <w:tcW w:w="31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280" w:type="dxa"/>
            <w:vAlign w:val="bottom"/>
          </w:tcPr>
          <w:p>
            <w:pPr>
              <w:spacing w:after="0"/>
              <w:rPr>
                <w:sz w:val="17"/>
                <w:szCs w:val="17"/>
                <w:color w:val="auto"/>
              </w:rPr>
            </w:pPr>
          </w:p>
        </w:tc>
        <w:tc>
          <w:tcPr>
            <w:tcW w:w="4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U.S.C. Section 1350, as Adopted Pursuant to Section 906 of</w:t>
              </w:r>
            </w:hyperlink>
          </w:p>
        </w:tc>
        <w:tc>
          <w:tcPr>
            <w:tcW w:w="24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the Sarbanes-Oxley Act of 2002.</w:t>
              </w:r>
            </w:hyperlink>
          </w:p>
        </w:tc>
        <w:tc>
          <w:tcPr>
            <w:tcW w:w="4640" w:type="dxa"/>
            <w:vAlign w:val="bottom"/>
            <w:gridSpan w:val="4"/>
          </w:tcPr>
          <w:p>
            <w:pPr>
              <w:spacing w:after="0"/>
              <w:rPr>
                <w:sz w:val="17"/>
                <w:szCs w:val="17"/>
                <w:color w:val="auto"/>
              </w:rPr>
            </w:pPr>
          </w:p>
        </w:tc>
        <w:tc>
          <w:tcPr>
            <w:tcW w:w="3140" w:type="dxa"/>
            <w:vAlign w:val="bottom"/>
          </w:tcPr>
          <w:p>
            <w:pPr>
              <w:spacing w:after="0"/>
              <w:rPr>
                <w:sz w:val="17"/>
                <w:szCs w:val="17"/>
                <w:color w:val="auto"/>
              </w:rPr>
            </w:pPr>
          </w:p>
        </w:tc>
      </w:tr>
      <w:tr>
        <w:trPr>
          <w:trHeight w:val="29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020" w:type="dxa"/>
            <w:vAlign w:val="bottom"/>
            <w:gridSpan w:val="7"/>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Certification of Principal Financial Officer Pursuant to 18</w:t>
              </w:r>
            </w:hyperlink>
          </w:p>
        </w:tc>
        <w:tc>
          <w:tcPr>
            <w:tcW w:w="31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2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U.S.C. Section 1350, as Adopted Pursuant to Section 906 of</w:t>
              </w:r>
            </w:hyperlink>
          </w:p>
        </w:tc>
        <w:tc>
          <w:tcPr>
            <w:tcW w:w="24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7020" w:type="dxa"/>
            <w:vAlign w:val="bottom"/>
            <w:gridSpan w:val="7"/>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the Sarbanes-Oxley Act of 2002.</w:t>
              </w:r>
            </w:hyperlink>
          </w:p>
        </w:tc>
        <w:tc>
          <w:tcPr>
            <w:tcW w:w="3140" w:type="dxa"/>
            <w:vAlign w:val="bottom"/>
          </w:tcPr>
          <w:p>
            <w:pPr>
              <w:spacing w:after="0"/>
              <w:rPr>
                <w:sz w:val="17"/>
                <w:szCs w:val="17"/>
                <w:color w:val="auto"/>
              </w:rPr>
            </w:pPr>
          </w:p>
        </w:tc>
      </w:tr>
      <w:tr>
        <w:trPr>
          <w:trHeight w:val="547"/>
        </w:trPr>
        <w:tc>
          <w:tcPr>
            <w:tcW w:w="1280" w:type="dxa"/>
            <w:vAlign w:val="bottom"/>
          </w:tcPr>
          <w:p>
            <w:pPr>
              <w:spacing w:after="0"/>
              <w:rPr>
                <w:sz w:val="24"/>
                <w:szCs w:val="24"/>
                <w:color w:val="auto"/>
              </w:rPr>
            </w:pPr>
          </w:p>
        </w:tc>
        <w:tc>
          <w:tcPr>
            <w:tcW w:w="2360" w:type="dxa"/>
            <w:vAlign w:val="bottom"/>
            <w:tcBorders>
              <w:top w:val="single" w:sz="8" w:color="0000EE"/>
            </w:tcBorders>
            <w:gridSpan w:val="2"/>
          </w:tcPr>
          <w:p>
            <w:pPr>
              <w:spacing w:after="0"/>
              <w:rPr>
                <w:sz w:val="24"/>
                <w:szCs w:val="24"/>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464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0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101</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following financial statements from the Quarterly Report</w:t>
            </w: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ind w:left="1280"/>
        <w:spacing w:after="0"/>
        <w:rPr>
          <w:sz w:val="20"/>
          <w:szCs w:val="20"/>
          <w:color w:val="auto"/>
        </w:rPr>
      </w:pPr>
      <w:r>
        <w:rPr>
          <w:rFonts w:ascii="Times New Roman" w:cs="Times New Roman" w:eastAsia="Times New Roman" w:hAnsi="Times New Roman"/>
          <w:sz w:val="18"/>
          <w:szCs w:val="18"/>
          <w:color w:val="auto"/>
        </w:rPr>
        <w:t>on Form 10-Q of Verra Mobility Corporation for the quarter</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ended March 31, 2019, formatted in eXtensible Business</w:t>
      </w:r>
    </w:p>
    <w:p>
      <w:pPr>
        <w:spacing w:after="0" w:line="9" w:lineRule="exact"/>
        <w:rPr>
          <w:sz w:val="20"/>
          <w:szCs w:val="20"/>
          <w:color w:val="auto"/>
        </w:rPr>
      </w:pPr>
    </w:p>
    <w:p>
      <w:pPr>
        <w:ind w:left="1280"/>
        <w:spacing w:after="0"/>
        <w:tabs>
          <w:tab w:leader="none" w:pos="2140" w:val="left"/>
          <w:tab w:leader="none" w:pos="3020" w:val="left"/>
          <w:tab w:leader="none" w:pos="3840" w:val="left"/>
          <w:tab w:leader="none" w:pos="4180" w:val="left"/>
          <w:tab w:leader="none" w:pos="4940" w:val="left"/>
          <w:tab w:leader="none" w:pos="5620" w:val="left"/>
        </w:tabs>
        <w:rPr>
          <w:sz w:val="20"/>
          <w:szCs w:val="20"/>
          <w:color w:val="auto"/>
        </w:rPr>
      </w:pPr>
      <w:r>
        <w:rPr>
          <w:rFonts w:ascii="Times New Roman" w:cs="Times New Roman" w:eastAsia="Times New Roman" w:hAnsi="Times New Roman"/>
          <w:sz w:val="18"/>
          <w:szCs w:val="18"/>
          <w:color w:val="auto"/>
        </w:rPr>
        <w:t>Reporting</w:t>
        <w:tab/>
        <w:t>Language</w:t>
        <w:tab/>
        <w:t>(XBRL):</w:t>
        <w:tab/>
        <w:t>(i)</w:t>
        <w:tab/>
        <w:t>Balance</w:t>
        <w:tab/>
        <w:t>Sheets,</w:t>
        <w:tab/>
        <w:t>(ii)</w:t>
      </w:r>
    </w:p>
    <w:p>
      <w:pPr>
        <w:spacing w:after="0" w:line="9" w:lineRule="exact"/>
        <w:rPr>
          <w:sz w:val="20"/>
          <w:szCs w:val="20"/>
          <w:color w:val="auto"/>
        </w:rPr>
      </w:pPr>
    </w:p>
    <w:p>
      <w:pPr>
        <w:ind w:left="1280"/>
        <w:spacing w:after="0"/>
        <w:tabs>
          <w:tab w:leader="none" w:pos="2200" w:val="left"/>
          <w:tab w:leader="none" w:pos="2500" w:val="left"/>
          <w:tab w:leader="none" w:pos="3240" w:val="left"/>
          <w:tab w:leader="none" w:pos="3660" w:val="left"/>
          <w:tab w:leader="none" w:pos="4600" w:val="left"/>
          <w:tab w:leader="none" w:pos="4920" w:val="left"/>
          <w:tab w:leader="none" w:pos="5680" w:val="left"/>
        </w:tabs>
        <w:rPr>
          <w:sz w:val="20"/>
          <w:szCs w:val="20"/>
          <w:color w:val="auto"/>
        </w:rPr>
      </w:pPr>
      <w:r>
        <w:rPr>
          <w:rFonts w:ascii="Times New Roman" w:cs="Times New Roman" w:eastAsia="Times New Roman" w:hAnsi="Times New Roman"/>
          <w:sz w:val="18"/>
          <w:szCs w:val="18"/>
          <w:color w:val="auto"/>
        </w:rPr>
        <w:t>Statements</w:t>
        <w:tab/>
        <w:t>of</w:t>
        <w:tab/>
        <w:t>Income,</w:t>
        <w:tab/>
        <w:t>(iii)</w:t>
        <w:tab/>
        <w:t>Statements</w:t>
        <w:tab/>
        <w:t>of</w:t>
        <w:tab/>
        <w:t>Changes</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Shareholders’ Equity, (iv) Statement of Cash Flows and (v)</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26" w:lineRule="exact"/>
        <w:rPr>
          <w:sz w:val="20"/>
          <w:szCs w:val="20"/>
          <w:color w:val="auto"/>
        </w:rPr>
      </w:pPr>
    </w:p>
    <w:p>
      <w:pPr>
        <w:ind w:firstLine="8"/>
        <w:spacing w:after="0" w:line="282"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81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VERRA MOBILITY CORPORATION</w:t>
            </w:r>
          </w:p>
        </w:tc>
      </w:tr>
      <w:tr>
        <w:trPr>
          <w:trHeight w:val="44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06, 2019</w:t>
            </w:r>
          </w:p>
        </w:tc>
        <w:tc>
          <w:tcPr>
            <w:tcW w:w="788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David Roberts</w:t>
            </w:r>
          </w:p>
        </w:tc>
      </w:tr>
      <w:tr>
        <w:trPr>
          <w:trHeight w:val="191"/>
        </w:trPr>
        <w:tc>
          <w:tcPr>
            <w:tcW w:w="35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16"/>
        </w:trPr>
        <w:tc>
          <w:tcPr>
            <w:tcW w:w="3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540" w:type="dxa"/>
            <w:vAlign w:val="bottom"/>
          </w:tcPr>
          <w:p>
            <w:pPr>
              <w:spacing w:after="0"/>
              <w:rPr>
                <w:sz w:val="24"/>
                <w:szCs w:val="24"/>
                <w:color w:val="auto"/>
              </w:rPr>
            </w:pPr>
          </w:p>
        </w:tc>
        <w:tc>
          <w:tcPr>
            <w:tcW w:w="2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347" w:right="239" w:bottom="1440" w:gutter="0" w:footer="0" w:header="0"/>
        </w:sectPr>
      </w:pPr>
    </w:p>
    <w:bookmarkStart w:id="43" w:name="page44"/>
    <w:bookmarkEnd w:id="43"/>
    <w:p>
      <w:pPr>
        <w:ind w:left="103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SEPARATION AND RELEASE AGREEMENT</w:t>
      </w:r>
    </w:p>
    <w:p>
      <w:pPr>
        <w:spacing w:after="0" w:line="237"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This Confidential Separation and Release Agreement (hereinafter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Jon Routledge (hereinafter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and Highway Toll Administration, LLC (hereinafter “</w:t>
      </w:r>
      <w:r>
        <w:rPr>
          <w:rFonts w:ascii="Times New Roman" w:cs="Times New Roman" w:eastAsia="Times New Roman" w:hAnsi="Times New Roman"/>
          <w:sz w:val="22"/>
          <w:szCs w:val="22"/>
          <w:u w:val="single" w:color="auto"/>
          <w:color w:val="auto"/>
        </w:rPr>
        <w:t>HTA</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the Company</w:t>
      </w:r>
      <w:r>
        <w:rPr>
          <w:rFonts w:ascii="Times New Roman" w:cs="Times New Roman" w:eastAsia="Times New Roman" w:hAnsi="Times New Roman"/>
          <w:sz w:val="22"/>
          <w:szCs w:val="22"/>
          <w:color w:val="auto"/>
        </w:rPr>
        <w:t>”) (together “</w:t>
      </w:r>
      <w:r>
        <w:rPr>
          <w:rFonts w:ascii="Times New Roman" w:cs="Times New Roman" w:eastAsia="Times New Roman" w:hAnsi="Times New Roman"/>
          <w:sz w:val="22"/>
          <w:szCs w:val="22"/>
          <w:u w:val="single" w:color="auto"/>
          <w:color w:val="auto"/>
        </w:rPr>
        <w:t>the Parties</w:t>
      </w:r>
      <w:r>
        <w:rPr>
          <w:rFonts w:ascii="Times New Roman" w:cs="Times New Roman" w:eastAsia="Times New Roman" w:hAnsi="Times New Roman"/>
          <w:sz w:val="22"/>
          <w:szCs w:val="22"/>
          <w:color w:val="auto"/>
        </w:rPr>
        <w:t>”) to set forth the Parties’ agreement concerning the terms and conditions that will govern the termination of the employment relationship between Employee and the Company. The Parties agree as follows:</w:t>
      </w:r>
    </w:p>
    <w:p>
      <w:pPr>
        <w:spacing w:after="0" w:line="208" w:lineRule="exact"/>
        <w:rPr>
          <w:sz w:val="20"/>
          <w:szCs w:val="20"/>
          <w:color w:val="auto"/>
        </w:rPr>
      </w:pPr>
    </w:p>
    <w:p>
      <w:pPr>
        <w:ind w:left="1740" w:hanging="868"/>
        <w:spacing w:after="0"/>
        <w:tabs>
          <w:tab w:leader="none" w:pos="17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 Period and Separation Date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877"/>
        <w:spacing w:after="0" w:line="247" w:lineRule="auto"/>
        <w:rPr>
          <w:sz w:val="20"/>
          <w:szCs w:val="20"/>
          <w:color w:val="auto"/>
        </w:rPr>
      </w:pPr>
      <w:r>
        <w:rPr>
          <w:rFonts w:ascii="Times New Roman" w:cs="Times New Roman" w:eastAsia="Times New Roman" w:hAnsi="Times New Roman"/>
          <w:sz w:val="21"/>
          <w:szCs w:val="21"/>
          <w:color w:val="auto"/>
        </w:rPr>
        <w:t>The employment relationship between Employee and the Company will end on the close of business on January 4, 2019 (“</w:t>
      </w:r>
      <w:r>
        <w:rPr>
          <w:rFonts w:ascii="Times New Roman" w:cs="Times New Roman" w:eastAsia="Times New Roman" w:hAnsi="Times New Roman"/>
          <w:sz w:val="21"/>
          <w:szCs w:val="21"/>
          <w:u w:val="single" w:color="auto"/>
          <w:color w:val="auto"/>
        </w:rPr>
        <w:t>the Separation Date</w:t>
      </w:r>
      <w:r>
        <w:rPr>
          <w:rFonts w:ascii="Times New Roman" w:cs="Times New Roman" w:eastAsia="Times New Roman" w:hAnsi="Times New Roman"/>
          <w:sz w:val="21"/>
          <w:szCs w:val="21"/>
          <w:color w:val="auto"/>
        </w:rPr>
        <w:t>”), although from the date of receipt of this Agreement through the Separation Date (“</w:t>
      </w:r>
      <w:r>
        <w:rPr>
          <w:rFonts w:ascii="Times New Roman" w:cs="Times New Roman" w:eastAsia="Times New Roman" w:hAnsi="Times New Roman"/>
          <w:sz w:val="21"/>
          <w:szCs w:val="21"/>
          <w:u w:val="single" w:color="auto"/>
          <w:color w:val="auto"/>
        </w:rPr>
        <w:t>the Transition Period</w:t>
      </w:r>
      <w:r>
        <w:rPr>
          <w:rFonts w:ascii="Times New Roman" w:cs="Times New Roman" w:eastAsia="Times New Roman" w:hAnsi="Times New Roman"/>
          <w:sz w:val="21"/>
          <w:szCs w:val="21"/>
          <w:color w:val="auto"/>
        </w:rPr>
        <w:t>”), Employee will not be permitted or required to work out of any Company or its affiliates’ offices, unless expressly requested to do so by David Roberts or his designee, with the exception of the week of November 12 through 16, 2018, during which time Employee is expected to work out of his regular office in Roslyn, NY. During the Transition Period, Employee must be available during regular business hours to perform work, including assisting the Company with the transition of responsibilities to others, as directed by David Roberts. Specifically, Employee will be required to actively and effectively assist with the transition of the ABG and EHI customer relationships to others at the Company (or its affiliates), which may require travel.</w:t>
      </w:r>
    </w:p>
    <w:p>
      <w:pPr>
        <w:spacing w:after="0" w:line="200" w:lineRule="exact"/>
        <w:rPr>
          <w:sz w:val="20"/>
          <w:szCs w:val="20"/>
          <w:color w:val="auto"/>
        </w:rPr>
      </w:pPr>
    </w:p>
    <w:p>
      <w:pPr>
        <w:ind w:left="1740" w:hanging="868"/>
        <w:spacing w:after="0"/>
        <w:tabs>
          <w:tab w:leader="none" w:pos="1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 Expenses, and Benefits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jc w:val="both"/>
        <w:ind w:firstLine="1763"/>
        <w:spacing w:after="0" w:line="241" w:lineRule="auto"/>
        <w:tabs>
          <w:tab w:leader="none" w:pos="2553"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Salary and Expenses</w:t>
      </w:r>
      <w:r>
        <w:rPr>
          <w:rFonts w:ascii="Times New Roman" w:cs="Times New Roman" w:eastAsia="Times New Roman" w:hAnsi="Times New Roman"/>
          <w:sz w:val="22"/>
          <w:szCs w:val="22"/>
          <w:color w:val="auto"/>
        </w:rPr>
        <w:t>. The Company will pay Employee at his normal salary rate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standard payroll practices through the Separation Date. Employee will be reimbursed for any unreimbursed expenses incurred prior to the Separation Date per Company policy. Reimbursement requests must be submitted before the Separation Date.</w:t>
      </w:r>
    </w:p>
    <w:p>
      <w:pPr>
        <w:spacing w:after="0" w:line="199" w:lineRule="exact"/>
        <w:rPr>
          <w:rFonts w:ascii="Times New Roman" w:cs="Times New Roman" w:eastAsia="Times New Roman" w:hAnsi="Times New Roman"/>
          <w:sz w:val="22"/>
          <w:szCs w:val="22"/>
          <w:color w:val="auto"/>
        </w:rPr>
      </w:pPr>
    </w:p>
    <w:p>
      <w:pPr>
        <w:jc w:val="both"/>
        <w:ind w:firstLine="1763"/>
        <w:spacing w:after="0" w:line="235" w:lineRule="auto"/>
        <w:tabs>
          <w:tab w:leader="none" w:pos="256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 Plans and Programs</w:t>
      </w:r>
      <w:r>
        <w:rPr>
          <w:rFonts w:ascii="Times New Roman" w:cs="Times New Roman" w:eastAsia="Times New Roman" w:hAnsi="Times New Roman"/>
          <w:sz w:val="22"/>
          <w:szCs w:val="22"/>
          <w:color w:val="auto"/>
        </w:rPr>
        <w:t>. As of the Separation Date, Employee will cease to earn, accrue, or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eligible for benefits, coverage, or perquisites under the benefit plans and programs provided to employees of the Company, with the sole exception of the specific benefits promised in Section 3, and with the exception of health benefits which shall continue for the full month in which the Separation Date occurs in accordance with their terms as of immediately prior to the Separation Date. Any vested benefits to which Employee may be entitled under any Company-sponsored 401(k) plan will be provided in accordance with and subject to the terms of that plan, including any terms regarding the timing, form, and manner of contributions and payment. Any grant of equity units to Employee shall be governed by the terms of the Verra Mobility Corporation 2018 Equity Incentive Plan and related agreements.</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5660" w:hanging="102"/>
        <w:spacing w:after="0"/>
        <w:tabs>
          <w:tab w:leader="none" w:pos="566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21"/>
          <w:szCs w:val="21"/>
          <w:color w:val="auto"/>
        </w:rPr>
        <w:t>-</w:t>
      </w:r>
    </w:p>
    <w:p>
      <w:pPr>
        <w:spacing w:after="0" w:line="3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Employee Initials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4" w:name="page45"/>
    <w:bookmarkEnd w:id="44"/>
    <w:p>
      <w:pPr>
        <w:ind w:left="1740" w:hanging="868"/>
        <w:spacing w:after="0"/>
        <w:tabs>
          <w:tab w:leader="none" w:pos="17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Benefits</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In exchange for Employee’s promises set forth in this Agreement and compliance therewith, and contingent upon Employee’s valid execution of this Agreement, the Company will provide Employee with the separation benefits described in this Section 3 (collectively, “</w:t>
      </w:r>
      <w:r>
        <w:rPr>
          <w:rFonts w:ascii="Times New Roman" w:cs="Times New Roman" w:eastAsia="Times New Roman" w:hAnsi="Times New Roman"/>
          <w:sz w:val="22"/>
          <w:szCs w:val="22"/>
          <w:u w:val="single" w:color="auto"/>
          <w:color w:val="auto"/>
        </w:rPr>
        <w:t>the Separation Benefits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firstLine="1763"/>
        <w:spacing w:after="0" w:line="237" w:lineRule="auto"/>
        <w:tabs>
          <w:tab w:leader="none" w:pos="264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 Payment</w:t>
      </w:r>
      <w:r>
        <w:rPr>
          <w:rFonts w:ascii="Times New Roman" w:cs="Times New Roman" w:eastAsia="Times New Roman" w:hAnsi="Times New Roman"/>
          <w:sz w:val="22"/>
          <w:szCs w:val="22"/>
          <w:color w:val="auto"/>
        </w:rPr>
        <w:t>. HTA (or its successor payroll entity) will pay Employee his base salary as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on the Separation Date for a 12 month period, in accordance with its regular pay-roll cycle, commencing within 10 business days after the Effective Date (as defined in Section 10) (“</w:t>
      </w:r>
      <w:r>
        <w:rPr>
          <w:rFonts w:ascii="Times New Roman" w:cs="Times New Roman" w:eastAsia="Times New Roman" w:hAnsi="Times New Roman"/>
          <w:sz w:val="22"/>
          <w:szCs w:val="22"/>
          <w:u w:val="single" w:color="auto"/>
          <w:color w:val="auto"/>
        </w:rPr>
        <w:t>the Severance Payment</w:t>
      </w:r>
      <w:r>
        <w:rPr>
          <w:rFonts w:ascii="Times New Roman" w:cs="Times New Roman" w:eastAsia="Times New Roman" w:hAnsi="Times New Roman"/>
          <w:sz w:val="22"/>
          <w:szCs w:val="22"/>
          <w:color w:val="auto"/>
        </w:rPr>
        <w:t>”). The Severance Payment shall not be eligible for 401(k) plan contributions. The Severance Payments will cease being made on the earlier of (a) Employee’s failure to comply with any obligation set forth in this Agreement; or (b) the end of the 12 month period following the commencement of the Severance Payments.</w:t>
      </w:r>
    </w:p>
    <w:p>
      <w:pPr>
        <w:spacing w:after="0" w:line="202" w:lineRule="exact"/>
        <w:rPr>
          <w:rFonts w:ascii="Times New Roman" w:cs="Times New Roman" w:eastAsia="Times New Roman" w:hAnsi="Times New Roman"/>
          <w:sz w:val="22"/>
          <w:szCs w:val="22"/>
          <w:color w:val="auto"/>
        </w:rPr>
      </w:pPr>
    </w:p>
    <w:p>
      <w:pPr>
        <w:jc w:val="both"/>
        <w:ind w:firstLine="1763"/>
        <w:spacing w:after="0" w:line="234" w:lineRule="auto"/>
        <w:tabs>
          <w:tab w:leader="none" w:pos="26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Health Plan Payments</w:t>
      </w:r>
      <w:r>
        <w:rPr>
          <w:rFonts w:ascii="Times New Roman" w:cs="Times New Roman" w:eastAsia="Times New Roman" w:hAnsi="Times New Roman"/>
          <w:sz w:val="22"/>
          <w:szCs w:val="22"/>
          <w:color w:val="auto"/>
        </w:rPr>
        <w:t>. HTA (or its successor payroll entity) will pay Employee the Company cost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group health insurance, based on the Company’s proportional cost immediately prior to the Separation Date, to cover Employee and his eligible dependents in the Company’s medical, dental, and vision insurances in which they participated immediately prior to the Separation Date (which shall be grossed up to account for withholding) (the “</w:t>
      </w:r>
      <w:r>
        <w:rPr>
          <w:rFonts w:ascii="Times New Roman" w:cs="Times New Roman" w:eastAsia="Times New Roman" w:hAnsi="Times New Roman"/>
          <w:sz w:val="22"/>
          <w:szCs w:val="22"/>
          <w:u w:val="single" w:color="auto"/>
          <w:color w:val="auto"/>
        </w:rPr>
        <w:t>Health Plan Payments</w:t>
      </w:r>
      <w:r>
        <w:rPr>
          <w:rFonts w:ascii="Times New Roman" w:cs="Times New Roman" w:eastAsia="Times New Roman" w:hAnsi="Times New Roman"/>
          <w:sz w:val="22"/>
          <w:szCs w:val="22"/>
          <w:color w:val="auto"/>
        </w:rPr>
        <w:t>”) for up to a 6 month period. The Health Plan Payments will commence with the Severance Payment, and shall cease being made on the earlier of (a) the first day of the first full month in which Employee becomes eligible through subsequent employment to participate in a group healthcare plan, and Employee agrees to inform the Company promptly open receiving an offer of employment that he has accepted, including the start date of his health care coverage eligibility; (b) Employee’s failure to comply with any obligation set forth in this Agreement; or (c) the end of the 6 month period following the commencement of the Severance Payment. Employee will be required to apply for and directly pay the full cost of the premiums, pursuant to COBRA. All coverage will be subject to the terms of the plan and any plan amendments or changes that are made in plan design, coverage, offerings, premiums, deductibles, co-pays or plan administration.</w:t>
      </w:r>
    </w:p>
    <w:p>
      <w:pPr>
        <w:spacing w:after="0" w:line="200" w:lineRule="exact"/>
        <w:rPr>
          <w:rFonts w:ascii="Times New Roman" w:cs="Times New Roman" w:eastAsia="Times New Roman" w:hAnsi="Times New Roman"/>
          <w:sz w:val="22"/>
          <w:szCs w:val="22"/>
          <w:color w:val="auto"/>
        </w:rPr>
      </w:pPr>
    </w:p>
    <w:p>
      <w:pPr>
        <w:jc w:val="both"/>
        <w:ind w:firstLine="1763"/>
        <w:spacing w:after="0" w:line="250" w:lineRule="auto"/>
        <w:tabs>
          <w:tab w:leader="none" w:pos="264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Bonus Payment. </w:t>
      </w:r>
      <w:r>
        <w:rPr>
          <w:rFonts w:ascii="Times New Roman" w:cs="Times New Roman" w:eastAsia="Times New Roman" w:hAnsi="Times New Roman"/>
          <w:sz w:val="21"/>
          <w:szCs w:val="21"/>
          <w:color w:val="auto"/>
        </w:rPr>
        <w:t>Under the terms of the Verra Mobility Annual Incentive Bonus Plan (effective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August 13, 2018 for Plan year 2018) (the “</w:t>
      </w:r>
      <w:r>
        <w:rPr>
          <w:rFonts w:ascii="Times New Roman" w:cs="Times New Roman" w:eastAsia="Times New Roman" w:hAnsi="Times New Roman"/>
          <w:sz w:val="21"/>
          <w:szCs w:val="21"/>
          <w:u w:val="single" w:color="auto"/>
          <w:color w:val="auto"/>
        </w:rPr>
        <w:t>Bonus Plan</w:t>
      </w:r>
      <w:r>
        <w:rPr>
          <w:rFonts w:ascii="Times New Roman" w:cs="Times New Roman" w:eastAsia="Times New Roman" w:hAnsi="Times New Roman"/>
          <w:sz w:val="21"/>
          <w:szCs w:val="21"/>
          <w:color w:val="auto"/>
        </w:rPr>
        <w:t>”), Employee is not entitled to a payment for his 2018 bonus unless he is employed on the payment date, which will occur after the Separation Date. Notwithstanding the foregoing, the Company agrees to pay Employee his bonus for 2018 as if he had been employed on the payment date. The bonus payment, if any, will be determined according to the terms of the Bonus Plan, will be pro-rated to include only the time following the closing of the acquisition of HTA by Verra Mobility Corporation, and will be payable on the date such bonuses are paid to other participants of the Bonus Plan.</w:t>
      </w:r>
    </w:p>
    <w:p>
      <w:pPr>
        <w:spacing w:after="0" w:line="200" w:lineRule="exact"/>
        <w:rPr>
          <w:rFonts w:ascii="Times New Roman" w:cs="Times New Roman" w:eastAsia="Times New Roman" w:hAnsi="Times New Roman"/>
          <w:sz w:val="21"/>
          <w:szCs w:val="21"/>
          <w:color w:val="auto"/>
        </w:rPr>
      </w:pPr>
    </w:p>
    <w:p>
      <w:pPr>
        <w:spacing w:after="0" w:line="212" w:lineRule="exact"/>
        <w:rPr>
          <w:rFonts w:ascii="Times New Roman" w:cs="Times New Roman" w:eastAsia="Times New Roman" w:hAnsi="Times New Roman"/>
          <w:sz w:val="21"/>
          <w:szCs w:val="21"/>
          <w:color w:val="auto"/>
        </w:rPr>
      </w:pPr>
    </w:p>
    <w:p>
      <w:pPr>
        <w:ind w:left="5660" w:hanging="102"/>
        <w:spacing w:after="0"/>
        <w:tabs>
          <w:tab w:leader="none" w:pos="5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21"/>
          <w:szCs w:val="21"/>
          <w:color w:val="auto"/>
        </w:rPr>
        <w:t>-</w:t>
      </w:r>
    </w:p>
    <w:p>
      <w:pPr>
        <w:spacing w:after="0" w:line="3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Employee Initials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5" w:name="page46"/>
    <w:bookmarkEnd w:id="45"/>
    <w:p>
      <w:pPr>
        <w:jc w:val="both"/>
        <w:spacing w:after="0"/>
        <w:rPr>
          <w:sz w:val="20"/>
          <w:szCs w:val="20"/>
          <w:color w:val="auto"/>
        </w:rPr>
      </w:pPr>
      <w:r>
        <w:rPr>
          <w:rFonts w:ascii="Times New Roman" w:cs="Times New Roman" w:eastAsia="Times New Roman" w:hAnsi="Times New Roman"/>
          <w:sz w:val="22"/>
          <w:szCs w:val="22"/>
          <w:color w:val="auto"/>
        </w:rPr>
        <w:t>Employee acknowledges that he is not entitled to receive the Separation Benefits unless he validly executes this Agreement and complies with all of the obligations set forth herein, and that the Separation Benefits constitute adequate and sufficient consideration to support the promises set forth in this Agreement. Employee also acknowledges that he is not entitled to any additional payment or benefit that is not expressly promised or described in this Agreement.</w:t>
      </w:r>
    </w:p>
    <w:p>
      <w:pPr>
        <w:spacing w:after="0" w:line="204" w:lineRule="exact"/>
        <w:rPr>
          <w:sz w:val="20"/>
          <w:szCs w:val="20"/>
          <w:color w:val="auto"/>
        </w:rPr>
      </w:pPr>
    </w:p>
    <w:p>
      <w:pPr>
        <w:ind w:left="1700" w:hanging="815"/>
        <w:spacing w:after="0"/>
        <w:tabs>
          <w:tab w:leader="none" w:pos="17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jc w:val="both"/>
        <w:ind w:firstLine="1763"/>
        <w:spacing w:after="0" w:line="233" w:lineRule="auto"/>
        <w:tabs>
          <w:tab w:leader="none" w:pos="264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Release and Released Parties</w:t>
      </w:r>
      <w:r>
        <w:rPr>
          <w:rFonts w:ascii="Times New Roman" w:cs="Times New Roman" w:eastAsia="Times New Roman" w:hAnsi="Times New Roman"/>
          <w:sz w:val="22"/>
          <w:szCs w:val="22"/>
          <w:color w:val="auto"/>
        </w:rPr>
        <w:t>. In exchange for the Separation Benefits described in Section 3,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subject only to the exclusions of Section 4(b) below, </w:t>
      </w:r>
      <w:r>
        <w:rPr>
          <w:rFonts w:ascii="Times New Roman" w:cs="Times New Roman" w:eastAsia="Times New Roman" w:hAnsi="Times New Roman"/>
          <w:sz w:val="22"/>
          <w:szCs w:val="22"/>
          <w:b w:val="1"/>
          <w:bCs w:val="1"/>
          <w:color w:val="auto"/>
        </w:rPr>
        <w:t>Employee hereby RELEASES</w:t>
      </w:r>
      <w:r>
        <w:rPr>
          <w:rFonts w:ascii="Times New Roman" w:cs="Times New Roman" w:eastAsia="Times New Roman" w:hAnsi="Times New Roman"/>
          <w:sz w:val="22"/>
          <w:szCs w:val="22"/>
          <w:color w:val="auto"/>
        </w:rPr>
        <w:t xml:space="preserve"> the Company, its parents, shareholders, subsidiaries, affiliates, predecessors, successors, assigns, related companies or entities, its and their employee benefit plans and administrators, and any and all of its and their respective current and former officers, directors, partners, insurers, agents, representatives, attorneys, accountants, actuaries, trustees, fiduciaries, and employees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xml:space="preserve">”) from any and all claims, demands or causes of action which Employee or Employee’s heirs, executors, administrators, agents, attorneys, representatives or assigns (all collectively included in the term “Employee” for purposes of this Paragraph 4), has, had or may have against any of the Released Parties, based on any events or circumstances arising or occurring on or before the date of Employee’s execution of this Agreement, including, but not limited to, any claims relating to Employee’s employment or termination of employment, and any rights of continued employment, reinstatement or reemployment with any of the Released Parties. For the avoidance of doubt, and subject only to the exclusions in Section 4(b) of this Agreement, Employee expressly agrees, understands, and acknowledges that this is a </w:t>
      </w:r>
      <w:r>
        <w:rPr>
          <w:rFonts w:ascii="Times New Roman" w:cs="Times New Roman" w:eastAsia="Times New Roman" w:hAnsi="Times New Roman"/>
          <w:sz w:val="22"/>
          <w:szCs w:val="22"/>
          <w:b w:val="1"/>
          <w:bCs w:val="1"/>
          <w:color w:val="auto"/>
        </w:rPr>
        <w:t>general release</w:t>
      </w:r>
      <w:r>
        <w:rPr>
          <w:rFonts w:ascii="Times New Roman" w:cs="Times New Roman" w:eastAsia="Times New Roman" w:hAnsi="Times New Roman"/>
          <w:sz w:val="22"/>
          <w:szCs w:val="22"/>
          <w:color w:val="auto"/>
        </w:rPr>
        <w:t xml:space="preserve"> that, to the fullest extent permitted by law, </w:t>
      </w:r>
      <w:r>
        <w:rPr>
          <w:rFonts w:ascii="Times New Roman" w:cs="Times New Roman" w:eastAsia="Times New Roman" w:hAnsi="Times New Roman"/>
          <w:sz w:val="22"/>
          <w:szCs w:val="22"/>
          <w:b w:val="1"/>
          <w:bCs w:val="1"/>
          <w:color w:val="auto"/>
        </w:rPr>
        <w:t>waives, surrenders, and extinguishes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any and all claims </w:t>
      </w:r>
      <w:r>
        <w:rPr>
          <w:rFonts w:ascii="Times New Roman" w:cs="Times New Roman" w:eastAsia="Times New Roman" w:hAnsi="Times New Roman"/>
          <w:sz w:val="22"/>
          <w:szCs w:val="22"/>
          <w:color w:val="auto"/>
        </w:rPr>
        <w:t>that Employee has or may have against any of the Released Parties, whether known, unknown, foreseen,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unforeseen, including, but not limited to, the following:</w:t>
      </w:r>
    </w:p>
    <w:p>
      <w:pPr>
        <w:spacing w:after="0" w:line="212" w:lineRule="exact"/>
        <w:rPr>
          <w:sz w:val="20"/>
          <w:szCs w:val="20"/>
          <w:color w:val="auto"/>
        </w:rPr>
      </w:pPr>
    </w:p>
    <w:p>
      <w:pPr>
        <w:jc w:val="both"/>
        <w:ind w:firstLine="2634"/>
        <w:spacing w:after="0" w:line="239" w:lineRule="auto"/>
        <w:rPr>
          <w:sz w:val="20"/>
          <w:szCs w:val="20"/>
          <w:color w:val="auto"/>
        </w:rPr>
      </w:pPr>
      <w:r>
        <w:rPr>
          <w:rFonts w:ascii="Times New Roman" w:cs="Times New Roman" w:eastAsia="Times New Roman" w:hAnsi="Times New Roman"/>
          <w:sz w:val="22"/>
          <w:szCs w:val="22"/>
          <w:color w:val="auto"/>
        </w:rPr>
        <w:t>(i)any claim(s) under Title VII of the Civil Rights Act of 1964, the Civil Rights Act of 1991, the Age Discrimination in Employment Act (“ADEA”), the Americans with Disabilities Act, the Equal Pay Act, the Employee Retirement Income Security Act (“ERISA”), the Family and Medical Leave Act, the Genetic Information Nondiscrimination Act, the Health Insurance Portability and Accountability Act, 42 U.S.C. § 1981, or the WARN Act;</w:t>
      </w:r>
    </w:p>
    <w:p>
      <w:pPr>
        <w:spacing w:after="0" w:line="208" w:lineRule="exact"/>
        <w:rPr>
          <w:sz w:val="20"/>
          <w:szCs w:val="20"/>
          <w:color w:val="auto"/>
        </w:rPr>
      </w:pPr>
    </w:p>
    <w:p>
      <w:pPr>
        <w:jc w:val="both"/>
        <w:ind w:firstLine="2634"/>
        <w:spacing w:after="0" w:line="258" w:lineRule="auto"/>
        <w:rPr>
          <w:sz w:val="20"/>
          <w:szCs w:val="20"/>
          <w:color w:val="auto"/>
        </w:rPr>
      </w:pPr>
      <w:r>
        <w:rPr>
          <w:rFonts w:ascii="Times New Roman" w:cs="Times New Roman" w:eastAsia="Times New Roman" w:hAnsi="Times New Roman"/>
          <w:sz w:val="22"/>
          <w:szCs w:val="22"/>
          <w:color w:val="auto"/>
        </w:rPr>
        <w:t>(ii)any claim(s) under any other applicable federal, state, or local or foreign law, statute, regulation, or ordinance regarding discrimination, harassment, retaliation, or any other subject matter;</w:t>
      </w:r>
    </w:p>
    <w:p>
      <w:pPr>
        <w:spacing w:after="0" w:line="185" w:lineRule="exact"/>
        <w:rPr>
          <w:sz w:val="20"/>
          <w:szCs w:val="20"/>
          <w:color w:val="auto"/>
        </w:rPr>
      </w:pPr>
    </w:p>
    <w:p>
      <w:pPr>
        <w:jc w:val="both"/>
        <w:ind w:firstLine="2634"/>
        <w:spacing w:after="0" w:line="258" w:lineRule="auto"/>
        <w:rPr>
          <w:sz w:val="20"/>
          <w:szCs w:val="20"/>
          <w:color w:val="auto"/>
        </w:rPr>
      </w:pPr>
      <w:r>
        <w:rPr>
          <w:rFonts w:ascii="Times New Roman" w:cs="Times New Roman" w:eastAsia="Times New Roman" w:hAnsi="Times New Roman"/>
          <w:sz w:val="22"/>
          <w:szCs w:val="22"/>
          <w:color w:val="auto"/>
        </w:rPr>
        <w:t>(iii)any claim(s) for breach of contract, wrongful discharge, unjust dismissal, defamation, slander, libel, fraud, misrepresentation, negligence, intentional or negligent infliction of emotional distress; and</w:t>
      </w:r>
    </w:p>
    <w:p>
      <w:pPr>
        <w:spacing w:after="0" w:line="185" w:lineRule="exact"/>
        <w:rPr>
          <w:sz w:val="20"/>
          <w:szCs w:val="20"/>
          <w:color w:val="auto"/>
        </w:rPr>
      </w:pPr>
    </w:p>
    <w:p>
      <w:pPr>
        <w:jc w:val="both"/>
        <w:ind w:firstLine="2634"/>
        <w:spacing w:after="0" w:line="258" w:lineRule="auto"/>
        <w:rPr>
          <w:sz w:val="20"/>
          <w:szCs w:val="20"/>
          <w:color w:val="auto"/>
        </w:rPr>
      </w:pPr>
      <w:r>
        <w:rPr>
          <w:rFonts w:ascii="Times New Roman" w:cs="Times New Roman" w:eastAsia="Times New Roman" w:hAnsi="Times New Roman"/>
          <w:sz w:val="22"/>
          <w:szCs w:val="22"/>
          <w:color w:val="auto"/>
        </w:rPr>
        <w:t>(iv)any other claim for damages or other relief arising under the common law or any theory of law or equity, including any claim for costs or attorney’s fees.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21"/>
          <w:szCs w:val="21"/>
          <w:color w:val="auto"/>
        </w:rPr>
        <w:t>-</w:t>
      </w:r>
    </w:p>
    <w:p>
      <w:pPr>
        <w:spacing w:after="0" w:line="3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Employee Initials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6" w:name="page47"/>
    <w:bookmarkEnd w:id="46"/>
    <w:p>
      <w:pPr>
        <w:jc w:val="both"/>
        <w:ind w:firstLine="885"/>
        <w:spacing w:after="0" w:line="237" w:lineRule="auto"/>
        <w:tabs>
          <w:tab w:leader="none" w:pos="177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Claims Not Released. </w:t>
      </w:r>
      <w:r>
        <w:rPr>
          <w:rFonts w:ascii="Times New Roman" w:cs="Times New Roman" w:eastAsia="Times New Roman" w:hAnsi="Times New Roman"/>
          <w:sz w:val="22"/>
          <w:szCs w:val="22"/>
          <w:color w:val="auto"/>
        </w:rPr>
        <w:t>The claims released in Section 4(a) of this Agreement do not include any claim or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action based on any of the following: (i) the right to vested benefits under any retirement plan; (ii) the right to continued benefits as required by COBRA; (iii) any right to receive workers’ compensation benefits or unemployment insurance as required by applicable law; (iv) any right to challenge the validity or enforce the terms of this Agreement; or (v) any claim which cannot be waived as a matter of law. For the avoidance of doubt, nothing herein waives or releases any claim that may arise after the Effective Date.</w:t>
      </w:r>
    </w:p>
    <w:p>
      <w:pPr>
        <w:spacing w:after="0" w:line="201" w:lineRule="exact"/>
        <w:rPr>
          <w:rFonts w:ascii="Times New Roman" w:cs="Times New Roman" w:eastAsia="Times New Roman" w:hAnsi="Times New Roman"/>
          <w:sz w:val="22"/>
          <w:szCs w:val="22"/>
          <w:color w:val="auto"/>
        </w:rPr>
      </w:pPr>
    </w:p>
    <w:p>
      <w:pPr>
        <w:ind w:left="1780" w:hanging="895"/>
        <w:spacing w:after="0"/>
        <w:tabs>
          <w:tab w:leader="none" w:pos="17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Permitted Conduct</w:t>
      </w:r>
      <w:r>
        <w:rPr>
          <w:rFonts w:ascii="Times New Roman" w:cs="Times New Roman" w:eastAsia="Times New Roman" w:hAnsi="Times New Roman"/>
          <w:sz w:val="22"/>
          <w:szCs w:val="22"/>
          <w:color w:val="auto"/>
        </w:rPr>
        <w:t>.  Nothing in this Agreement prohibits Employee from filing a charge with the Equal</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Employment Opportunity Commission (“EEOC”) or any other government agency, nor does anything in this Agreement prohibit Employee from participating, cooperating, or testifying in any investigation or proceeding conducted by or pending before the EEOC or any other any government agency. However, the Separation Benefits provided to Employee under Section 3 shall be the sole financial benefit that Employee is entitled to receive for any of the claims that Employee is releasing under Section</w:t>
      </w:r>
    </w:p>
    <w:p>
      <w:pPr>
        <w:spacing w:after="0" w:line="3" w:lineRule="exact"/>
        <w:rPr>
          <w:sz w:val="20"/>
          <w:szCs w:val="20"/>
          <w:color w:val="auto"/>
        </w:rPr>
      </w:pPr>
    </w:p>
    <w:p>
      <w:pPr>
        <w:jc w:val="both"/>
        <w:ind w:firstLine="8"/>
        <w:spacing w:after="0" w:line="247" w:lineRule="auto"/>
        <w:tabs>
          <w:tab w:leader="none" w:pos="32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Therefore, even though Employee can provide testimony or information or assistance in an investigation or in proceedings described in this Section 4(c), Employee’s participation therein will not entitle Employee to additional compensation from the Company or any of the Released Parties. In fact, if Employee is awarded any monetary relief in connection with any lawsuit, legal proceeding, charge or complaint, that relief will be reduced by any amounts paid or payable by the Company under this Agreement.</w:t>
      </w:r>
    </w:p>
    <w:p>
      <w:pPr>
        <w:spacing w:after="0" w:line="197" w:lineRule="exact"/>
        <w:rPr>
          <w:rFonts w:ascii="Times New Roman" w:cs="Times New Roman" w:eastAsia="Times New Roman" w:hAnsi="Times New Roman"/>
          <w:sz w:val="21"/>
          <w:szCs w:val="21"/>
          <w:color w:val="auto"/>
        </w:rPr>
      </w:pPr>
    </w:p>
    <w:p>
      <w:pPr>
        <w:ind w:left="1700" w:hanging="815"/>
        <w:spacing w:after="0"/>
        <w:tabs>
          <w:tab w:leader="none" w:pos="17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Intellectual Property, and Company Property</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43"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Employee understands and agrees that he remains bound by the terms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“Employee Agreement Regarding Confidential and Proprietary Information” that he executed on April 25, 2016, a copy of which is being provided herewith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Employee specifically acknowledges and reaffirms his ongoing obligations (a) not to use or disclose for his own benefit, or that of another employer or any person or party other than the Company, any Company Proprietary Information (as defined in the Confidentiality Agreement), (b) to return to the Company any and all Company property and all materials containing Company Proprietary Information in his possession on or prior to the Separation Date, and (c) to comply with his post-employment restrictions regarding the company’s customers, competitors and employees (the “Non-compete”, “Non-Solicitation and Non-interference” and “Non-disparagement” provisions).</w:t>
      </w:r>
    </w:p>
    <w:p>
      <w:pPr>
        <w:spacing w:after="0" w:line="183" w:lineRule="exact"/>
        <w:rPr>
          <w:rFonts w:ascii="Times New Roman" w:cs="Times New Roman" w:eastAsia="Times New Roman" w:hAnsi="Times New Roman"/>
          <w:sz w:val="22"/>
          <w:szCs w:val="22"/>
          <w:color w:val="auto"/>
        </w:rPr>
      </w:pPr>
    </w:p>
    <w:p>
      <w:pPr>
        <w:ind w:left="5660" w:hanging="102"/>
        <w:spacing w:after="0"/>
        <w:tabs>
          <w:tab w:leader="none" w:pos="5660" w:val="left"/>
        </w:tabs>
        <w:numPr>
          <w:ilvl w:val="3"/>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21"/>
          <w:szCs w:val="21"/>
          <w:color w:val="auto"/>
        </w:rPr>
        <w:t>-</w:t>
      </w:r>
    </w:p>
    <w:p>
      <w:pPr>
        <w:spacing w:after="0" w:line="3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Employee Initials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7" w:name="page48"/>
    <w:bookmarkEnd w:id="47"/>
    <w:p>
      <w:pPr>
        <w:jc w:val="both"/>
        <w:spacing w:after="0" w:line="234" w:lineRule="auto"/>
        <w:rPr>
          <w:sz w:val="20"/>
          <w:szCs w:val="20"/>
          <w:color w:val="auto"/>
        </w:rPr>
      </w:pPr>
      <w:r>
        <w:rPr>
          <w:rFonts w:ascii="Times New Roman" w:cs="Times New Roman" w:eastAsia="Times New Roman" w:hAnsi="Times New Roman"/>
          <w:sz w:val="22"/>
          <w:szCs w:val="22"/>
          <w:color w:val="auto"/>
        </w:rPr>
        <w:t>Notwithstanding the foregoing, Employee may disclose Confidential Information to the extent he is compelled to do so by lawful service of process, subpoena, court order, or as he is otherwise compelled to do by law or the rules or regulations of any regulatory body or governmental agency or instrumentality to which he is subject, including full and complete disclosure in response thereto, in which event he agrees (unless prohibited by law) to provide the Company with a copy of the documents seeking disclosure of such information promptly upon receipt of such documents and prior to his disclosure of any such information, so that the Company may, upon notice to the Employee, take such action as the Company deems appropriate in relation to such subpoena or request, and the Employee (unless otherwise compelled to do so by lawful service of process, subpoena, court order, or by law or the rules or regulations of any regulatory body or governmental agency or instrumentality) may not disclose any such information until the Company has had the opportunity to take such action.</w:t>
      </w:r>
    </w:p>
    <w:p>
      <w:pPr>
        <w:spacing w:after="0" w:line="181" w:lineRule="exact"/>
        <w:rPr>
          <w:sz w:val="20"/>
          <w:szCs w:val="20"/>
          <w:color w:val="auto"/>
        </w:rPr>
      </w:pPr>
    </w:p>
    <w:p>
      <w:pPr>
        <w:ind w:firstLine="1763"/>
        <w:spacing w:after="0" w:line="262" w:lineRule="auto"/>
        <w:tabs>
          <w:tab w:leader="none" w:pos="272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Company Property</w:t>
      </w:r>
      <w:r>
        <w:rPr>
          <w:rFonts w:ascii="Times New Roman" w:cs="Times New Roman" w:eastAsia="Times New Roman" w:hAnsi="Times New Roman"/>
          <w:sz w:val="22"/>
          <w:szCs w:val="22"/>
          <w:color w:val="auto"/>
        </w:rPr>
        <w:t>. On or before the Separation Date, Employee will return to the Company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belonging to the Company, including, but not limited to, laptops, mobile phones, identification badges, and credit cards.</w:t>
      </w:r>
    </w:p>
    <w:p>
      <w:pPr>
        <w:spacing w:after="0" w:line="153" w:lineRule="exact"/>
        <w:rPr>
          <w:rFonts w:ascii="Times New Roman" w:cs="Times New Roman" w:eastAsia="Times New Roman" w:hAnsi="Times New Roman"/>
          <w:sz w:val="22"/>
          <w:szCs w:val="22"/>
          <w:color w:val="auto"/>
        </w:rPr>
      </w:pPr>
    </w:p>
    <w:p>
      <w:pPr>
        <w:jc w:val="both"/>
        <w:ind w:firstLine="885"/>
        <w:spacing w:after="0" w:line="239" w:lineRule="auto"/>
        <w:tabs>
          <w:tab w:leader="none" w:pos="168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 and Leave Confirmation</w:t>
      </w:r>
      <w:r>
        <w:rPr>
          <w:rFonts w:ascii="Times New Roman" w:cs="Times New Roman" w:eastAsia="Times New Roman" w:hAnsi="Times New Roman"/>
          <w:sz w:val="22"/>
          <w:szCs w:val="22"/>
          <w:color w:val="auto"/>
        </w:rPr>
        <w:t>. Employee is not aware of any occasion on which the Company or any of the Released Parties failed to pay Employee for hours worked for or on behalf of the Company at the appropriate rate of pay. Employee is not aware of any occasion when he was denied any leave that he was entitled to take under the Family and Medical Leave Act or any other law or regulation.</w:t>
      </w:r>
    </w:p>
    <w:p>
      <w:pPr>
        <w:spacing w:after="0" w:line="207" w:lineRule="exact"/>
        <w:rPr>
          <w:rFonts w:ascii="Times New Roman" w:cs="Times New Roman" w:eastAsia="Times New Roman" w:hAnsi="Times New Roman"/>
          <w:sz w:val="22"/>
          <w:szCs w:val="22"/>
          <w:color w:val="auto"/>
        </w:rPr>
      </w:pPr>
    </w:p>
    <w:p>
      <w:pPr>
        <w:jc w:val="both"/>
        <w:ind w:firstLine="885"/>
        <w:spacing w:after="0" w:line="235" w:lineRule="auto"/>
        <w:tabs>
          <w:tab w:leader="none" w:pos="168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in Litigation/Investigations</w:t>
      </w:r>
      <w:r>
        <w:rPr>
          <w:rFonts w:ascii="Times New Roman" w:cs="Times New Roman" w:eastAsia="Times New Roman" w:hAnsi="Times New Roman"/>
          <w:sz w:val="22"/>
          <w:szCs w:val="22"/>
          <w:color w:val="auto"/>
        </w:rPr>
        <w:t>. If requested, from and after the Separation Date, Employee agrees to make himself reasonably available to the Company to respond to requests by the Company for documents and information concerning matters involving facts or events relating to the Company that may be within his knowledge, and further agrees to provide truthful information to the Company, as reasonably requested with respect to pending and future litigation, arbitrations, dispute resolutions, investigations or requests for information. Employee shall be reimbursed for his reasonable out-of-pocket expenses associated with any activities under this Section 7, including reimbursement for his time (using an hourly rate that is proportional to Employee’s annual salary in effect at the time of his Separation Date).</w:t>
      </w:r>
    </w:p>
    <w:p>
      <w:pPr>
        <w:spacing w:after="0" w:line="210" w:lineRule="exact"/>
        <w:rPr>
          <w:rFonts w:ascii="Times New Roman" w:cs="Times New Roman" w:eastAsia="Times New Roman" w:hAnsi="Times New Roman"/>
          <w:sz w:val="22"/>
          <w:szCs w:val="22"/>
          <w:color w:val="auto"/>
        </w:rPr>
      </w:pPr>
    </w:p>
    <w:p>
      <w:pPr>
        <w:ind w:left="1700" w:hanging="815"/>
        <w:spacing w:after="0"/>
        <w:tabs>
          <w:tab w:leader="none" w:pos="17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Terms/Non Disparagement</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firstLine="1763"/>
        <w:spacing w:after="0" w:line="237" w:lineRule="auto"/>
        <w:tabs>
          <w:tab w:leader="none" w:pos="257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Employee has kept and agrees to keep the terms of this Agreement confidential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to disclose such terms to anyone except Employee’s spouse, attorneys, or tax consultants, and agrees to take all steps necessary to assure confidentiality by those recipients. If Employee discloses the terms of this Agreement to Employee’s spouse, attorneys, or tax consultants, Employee will advise them that they must not disclose the terms of this Agreement to anyone else and will be responsible for any such disclosure provided, however, that this section is not violated by a disclosure under circumstances that would justify the disclosure of Confidential Information under Section 5(a) above.</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5660" w:hanging="102"/>
        <w:spacing w:after="0"/>
        <w:tabs>
          <w:tab w:leader="none" w:pos="5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21"/>
          <w:szCs w:val="21"/>
          <w:color w:val="auto"/>
        </w:rPr>
        <w:t>-</w:t>
      </w:r>
    </w:p>
    <w:p>
      <w:pPr>
        <w:spacing w:after="0" w:line="3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Employee Initials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jc w:val="both"/>
        <w:ind w:left="-885" w:firstLine="1763"/>
        <w:spacing w:after="0" w:line="237" w:lineRule="auto"/>
        <w:tabs>
          <w:tab w:leader="none" w:pos="169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Except as permitted by Sections 4 (c) and 5 (a), and in addition to any similar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imposed by the Confidentiality Agreement, Employee agrees that he will not directly or indirectly make any derogatory, disparaging, or defamatory statements concerning the Company or any of the Released Parties. For purposes of this Agreement, a derogatory or disparaging statement is any communication, oral or written (including electronic communications), which would cause or reasonably tend to cause the recipient of the communication to question the business condition, integrity, competence, fairness or good character of the person to whom or entity to which the communication relates.</w:t>
      </w:r>
    </w:p>
    <w:p>
      <w:pPr>
        <w:spacing w:after="0" w:line="205" w:lineRule="exact"/>
        <w:rPr>
          <w:rFonts w:ascii="Times New Roman" w:cs="Times New Roman" w:eastAsia="Times New Roman" w:hAnsi="Times New Roman"/>
          <w:sz w:val="22"/>
          <w:szCs w:val="22"/>
          <w:color w:val="auto"/>
        </w:rPr>
      </w:pPr>
    </w:p>
    <w:p>
      <w:pPr>
        <w:jc w:val="both"/>
        <w:ind w:left="-885" w:firstLine="885"/>
        <w:spacing w:after="0" w:line="234" w:lineRule="auto"/>
        <w:tabs>
          <w:tab w:leader="none" w:pos="80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Liquidated Damages for Breach of Certain Obligations</w:t>
      </w:r>
      <w:r>
        <w:rPr>
          <w:rFonts w:ascii="Times New Roman" w:cs="Times New Roman" w:eastAsia="Times New Roman" w:hAnsi="Times New Roman"/>
          <w:sz w:val="22"/>
          <w:szCs w:val="22"/>
          <w:color w:val="auto"/>
        </w:rPr>
        <w:t>. As you previously acknowledged when you signed the Confidentiality Agreement, a breach of the obligations you assumed to the Company in the Confidentiality Agreement could cause the Company irreparable damage. Similarly, a breach of your obligations under Section 5 or Section 8 of this Agreement could irreparably damage the Company. Consequently, and because the damage that a breach of those obligations would inflict on the Company is not an amount that the Parties can clearly ascertain at this time, but would likely be even greater than the Separation Benefits you will receiving under this Agreement, you agree that if you breach any of your obligations under Section 5 or Section 8 of this Agreement, you will return to the Company 100% of the Separation Benefits you received under this Agreement. THE REMEDIES SET FORTH IN THIS SECTION 9 ARE NOT EXCLUSIVE AND SHALL BE IN ADDITION TO ANY OTHER LEGAL OR EQUITABLE REMEDY THAT MAY BE AVAILABLE TO THE COMPANY IN THE EVENT OF A BREACH BY EMPLOYEE.</w:t>
      </w:r>
    </w:p>
    <w:p>
      <w:pPr>
        <w:spacing w:after="0" w:line="203" w:lineRule="exact"/>
        <w:rPr>
          <w:rFonts w:ascii="Times New Roman" w:cs="Times New Roman" w:eastAsia="Times New Roman" w:hAnsi="Times New Roman"/>
          <w:sz w:val="22"/>
          <w:szCs w:val="22"/>
          <w:color w:val="auto"/>
        </w:rPr>
      </w:pPr>
    </w:p>
    <w:p>
      <w:pPr>
        <w:jc w:val="both"/>
        <w:ind w:left="-885" w:firstLine="885"/>
        <w:spacing w:after="0" w:line="234" w:lineRule="auto"/>
        <w:tabs>
          <w:tab w:leader="none" w:pos="91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xml:space="preserve">. You may accept this Agreement by delivering a signed original of the Agreement to </w:t>
      </w:r>
      <w:r>
        <w:rPr>
          <w:rFonts w:ascii="Times New Roman" w:cs="Times New Roman" w:eastAsia="Times New Roman" w:hAnsi="Times New Roman"/>
          <w:sz w:val="22"/>
          <w:szCs w:val="22"/>
          <w:i w:val="1"/>
          <w:iCs w:val="1"/>
          <w:color w:val="auto"/>
        </w:rPr>
        <w:t>Anat Gan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Eden </w:t>
      </w:r>
      <w:r>
        <w:rPr>
          <w:rFonts w:ascii="Times New Roman" w:cs="Times New Roman" w:eastAsia="Times New Roman" w:hAnsi="Times New Roman"/>
          <w:sz w:val="22"/>
          <w:szCs w:val="22"/>
          <w:color w:val="auto"/>
        </w:rPr>
        <w:t>on or before twenty-one (21) calendar days from your Separation Date, provided such acceptance occurs on or after your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Separation Date. You are advised to consult with your own attorney prior to signing this Agreement. If you sign and return this Agreement before the expiration of 21 days, you acknowledge that you have done so for the purpose of expediting your receipt of the Separation Benefits, and that you voluntarily and expressly waived your right to the full 21 day period to consider this Agreement. After you sign this Agreement and return it, you will then have 7 days immediately thereafter (the “</w:t>
      </w:r>
      <w:r>
        <w:rPr>
          <w:rFonts w:ascii="Times New Roman" w:cs="Times New Roman" w:eastAsia="Times New Roman" w:hAnsi="Times New Roman"/>
          <w:sz w:val="22"/>
          <w:szCs w:val="22"/>
          <w:u w:val="single" w:color="auto"/>
          <w:color w:val="auto"/>
        </w:rPr>
        <w:t>Revocation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xml:space="preserve">”) to revoke your acceptance of this Agreement. If you decide to revoke your acceptance of this Agreement, you must send a letter declaring your decision to revoke your acceptance to </w:t>
      </w:r>
      <w:r>
        <w:rPr>
          <w:rFonts w:ascii="Times New Roman" w:cs="Times New Roman" w:eastAsia="Times New Roman" w:hAnsi="Times New Roman"/>
          <w:sz w:val="22"/>
          <w:szCs w:val="22"/>
          <w:i w:val="1"/>
          <w:iCs w:val="1"/>
          <w:color w:val="auto"/>
        </w:rPr>
        <w:t>Anat Gan Eden</w:t>
      </w:r>
      <w:r>
        <w:rPr>
          <w:rFonts w:ascii="Times New Roman" w:cs="Times New Roman" w:eastAsia="Times New Roman" w:hAnsi="Times New Roman"/>
          <w:sz w:val="22"/>
          <w:szCs w:val="22"/>
          <w:color w:val="auto"/>
        </w:rPr>
        <w:t>, which must be received before the expiration of the Revocation Period to be effective. If you revoke this Agreement, you will not receive the Separation Benefits. If the Company does not receive proper notice of revocation, this Agreement will become effective upon the expiration of the Revocation Period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left="-885" w:firstLine="885"/>
        <w:spacing w:after="0" w:line="239" w:lineRule="auto"/>
        <w:tabs>
          <w:tab w:leader="none" w:pos="90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w:t>
      </w:r>
      <w:r>
        <w:rPr>
          <w:rFonts w:ascii="Times New Roman" w:cs="Times New Roman" w:eastAsia="Times New Roman" w:hAnsi="Times New Roman"/>
          <w:sz w:val="22"/>
          <w:szCs w:val="22"/>
          <w:color w:val="auto"/>
        </w:rPr>
        <w:t>. This Agreement does not constitute and shall not be construed as an admission by the Company or any of the Released Parties that any of them has violated any law, interfered with any rights, breached any obligation or otherwise engaged in any improper or illegal conduct with respect to Employee, and the Company expressly denies that it has engaged in any such conduct.</w:t>
      </w: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4775" w:hanging="102"/>
        <w:spacing w:after="0"/>
        <w:tabs>
          <w:tab w:leader="none" w:pos="4775"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21"/>
          <w:szCs w:val="21"/>
          <w:color w:val="auto"/>
        </w:rPr>
        <w:t>-</w:t>
      </w:r>
    </w:p>
    <w:p>
      <w:pPr>
        <w:spacing w:after="0" w:line="31" w:lineRule="exact"/>
        <w:rPr>
          <w:sz w:val="20"/>
          <w:szCs w:val="20"/>
          <w:color w:val="auto"/>
        </w:rPr>
      </w:pPr>
    </w:p>
    <w:p>
      <w:pPr>
        <w:ind w:left="8775"/>
        <w:spacing w:after="0"/>
        <w:rPr>
          <w:sz w:val="20"/>
          <w:szCs w:val="20"/>
          <w:color w:val="auto"/>
        </w:rPr>
      </w:pPr>
      <w:r>
        <w:rPr>
          <w:rFonts w:ascii="Times New Roman" w:cs="Times New Roman" w:eastAsia="Times New Roman" w:hAnsi="Times New Roman"/>
          <w:sz w:val="17"/>
          <w:szCs w:val="17"/>
          <w:color w:val="auto"/>
        </w:rPr>
        <w:t>Employee Initials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222250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110" w:right="239" w:bottom="1440" w:gutter="0" w:footer="0" w:header="0"/>
        </w:sectPr>
      </w:pPr>
    </w:p>
    <w:bookmarkStart w:id="49" w:name="page50"/>
    <w:bookmarkEnd w:id="49"/>
    <w:p>
      <w:pPr>
        <w:jc w:val="both"/>
        <w:ind w:left="-885" w:firstLine="885"/>
        <w:spacing w:after="0" w:line="249" w:lineRule="auto"/>
        <w:tabs>
          <w:tab w:leader="none" w:pos="91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or provision of this Agreement shall be determined by any court of competent jurisdiction to be invalid, illegal or unenforceable in whole or in part, and such determination shall become final, such provision or portion shall be deemed to be severed or limited, but only to the extent required to render the remaining terms and provisions of this Agreement enforceable. This Agreement as thus amended shall be enforced so as to give effect to the intention of the Parties insofar as that is possible. In addition, the Parties hereby expressly empower a court of competent jurisdiction to modify any term or provision of this Agreement to the extent necessary to comply with existing law and to enforce this Agreement as modified.</w:t>
      </w:r>
    </w:p>
    <w:p>
      <w:pPr>
        <w:spacing w:after="0" w:line="198" w:lineRule="exact"/>
        <w:rPr>
          <w:rFonts w:ascii="Times New Roman" w:cs="Times New Roman" w:eastAsia="Times New Roman" w:hAnsi="Times New Roman"/>
          <w:sz w:val="21"/>
          <w:szCs w:val="21"/>
          <w:color w:val="auto"/>
        </w:rPr>
      </w:pPr>
    </w:p>
    <w:p>
      <w:pPr>
        <w:ind w:left="-885" w:firstLine="885"/>
        <w:spacing w:after="0" w:line="258" w:lineRule="auto"/>
        <w:tabs>
          <w:tab w:leader="none" w:pos="91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construed, enforced and interpreted in accordance with and governed by the laws of the State of New York without regard to its choice-of-law principles.</w:t>
      </w:r>
    </w:p>
    <w:p>
      <w:pPr>
        <w:spacing w:after="0" w:line="158" w:lineRule="exact"/>
        <w:rPr>
          <w:rFonts w:ascii="Times New Roman" w:cs="Times New Roman" w:eastAsia="Times New Roman" w:hAnsi="Times New Roman"/>
          <w:sz w:val="22"/>
          <w:szCs w:val="22"/>
          <w:color w:val="auto"/>
        </w:rPr>
      </w:pPr>
    </w:p>
    <w:p>
      <w:pPr>
        <w:jc w:val="both"/>
        <w:ind w:left="-885" w:firstLine="885"/>
        <w:spacing w:after="0" w:line="238" w:lineRule="auto"/>
        <w:tabs>
          <w:tab w:leader="none" w:pos="91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Any dispute, controversy, or claim arising out of or in connection with the employment relationship between the Parties or the termination of that relationship or arising out of or in connection with this Agreement, including any question regarding the existence, validity or termination of this Agreement, shall be finally resolved by arbitration under the rules of the American Arbitration Association in force as of the date of this Agreement, which rules are deemed to be incorporated by reference into this clause. The place of arbitration shall be Phoenix, Arizona.</w:t>
      </w:r>
    </w:p>
    <w:p>
      <w:pPr>
        <w:spacing w:after="0" w:line="173" w:lineRule="exact"/>
        <w:rPr>
          <w:rFonts w:ascii="Times New Roman" w:cs="Times New Roman" w:eastAsia="Times New Roman" w:hAnsi="Times New Roman"/>
          <w:sz w:val="22"/>
          <w:szCs w:val="22"/>
          <w:color w:val="auto"/>
        </w:rPr>
      </w:pPr>
    </w:p>
    <w:p>
      <w:pPr>
        <w:jc w:val="both"/>
        <w:ind w:left="-885" w:firstLine="885"/>
        <w:spacing w:after="0" w:line="241" w:lineRule="auto"/>
        <w:tabs>
          <w:tab w:leader="none" w:pos="9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Deductions and Withholding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may deduct and withhold from any amounts payable to the Employee hereunder all federal, state, city or other taxes that the Company may reasonably determine are required to be deducted or withheld pursuant to any applicable law or regulation (it being understood that the Employee shall be responsible for payment of all taxes in respect of the payments and benefits provided herein).</w:t>
      </w:r>
    </w:p>
    <w:p>
      <w:pPr>
        <w:spacing w:after="0" w:line="203" w:lineRule="exact"/>
        <w:rPr>
          <w:rFonts w:ascii="Times New Roman" w:cs="Times New Roman" w:eastAsia="Times New Roman" w:hAnsi="Times New Roman"/>
          <w:sz w:val="22"/>
          <w:szCs w:val="22"/>
          <w:color w:val="auto"/>
        </w:rPr>
      </w:pPr>
    </w:p>
    <w:p>
      <w:pPr>
        <w:ind w:left="-885" w:firstLine="885"/>
        <w:spacing w:after="0" w:line="258" w:lineRule="auto"/>
        <w:tabs>
          <w:tab w:leader="none" w:pos="91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contained in this Agreement are for reference purposes only and shall not in any way affect the meaning or interpretation of this Agreement.</w:t>
      </w:r>
    </w:p>
    <w:p>
      <w:pPr>
        <w:spacing w:after="0" w:line="185" w:lineRule="exact"/>
        <w:rPr>
          <w:rFonts w:ascii="Times New Roman" w:cs="Times New Roman" w:eastAsia="Times New Roman" w:hAnsi="Times New Roman"/>
          <w:sz w:val="22"/>
          <w:szCs w:val="22"/>
          <w:color w:val="auto"/>
        </w:rPr>
      </w:pPr>
    </w:p>
    <w:p>
      <w:pPr>
        <w:jc w:val="both"/>
        <w:ind w:left="-885" w:firstLine="885"/>
        <w:spacing w:after="0" w:line="238" w:lineRule="auto"/>
        <w:tabs>
          <w:tab w:leader="none" w:pos="91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as expressly set forth herein, this Agreement constitutes the entire agreement between the Parties and supersedes all prior negotiations and agreements regarding the subject matter contained herein. This Agreement shall be binding upon and inure to the benefit of, as applicable, Employee’s (on the one hand) and the Company’s and the Released Parties’ (on the other hand) respective successors, assigns, heirs, estates, and representatives. This Agreement shall not be amended or modified except in a writing signed by the Employee and the Company’s Chief Executive Officer.</w:t>
      </w:r>
    </w:p>
    <w:p>
      <w:pPr>
        <w:spacing w:after="0" w:line="204" w:lineRule="exact"/>
        <w:rPr>
          <w:rFonts w:ascii="Times New Roman" w:cs="Times New Roman" w:eastAsia="Times New Roman" w:hAnsi="Times New Roman"/>
          <w:sz w:val="22"/>
          <w:szCs w:val="22"/>
          <w:color w:val="auto"/>
        </w:rPr>
      </w:pPr>
    </w:p>
    <w:p>
      <w:pPr>
        <w:jc w:val="both"/>
        <w:ind w:left="-885" w:firstLine="885"/>
        <w:spacing w:after="0" w:line="238" w:lineRule="auto"/>
        <w:tabs>
          <w:tab w:leader="none" w:pos="91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Code Section 409A Compliance</w:t>
      </w:r>
      <w:r>
        <w:rPr>
          <w:rFonts w:ascii="Times New Roman" w:cs="Times New Roman" w:eastAsia="Times New Roman" w:hAnsi="Times New Roman"/>
          <w:sz w:val="22"/>
          <w:szCs w:val="22"/>
          <w:color w:val="auto"/>
        </w:rPr>
        <w:t>. The intent of the Parties is that any payments and benefits under this Agreement that are subject to Section 409A of the Code comply with the requirements of Section 409A of the Code and any related regulations and other guidance promulgated with respect to such Section by the U.S. Department of the Treasury or the Internal Revenue Service. Accordingly, to the maximum extent permitted, this Agreement shall be interpreted and administered in compliance therewith. All expense reimbursements paid pursuant</w:t>
      </w:r>
    </w:p>
    <w:p>
      <w:pPr>
        <w:spacing w:after="0" w:line="177" w:lineRule="exact"/>
        <w:rPr>
          <w:rFonts w:ascii="Times New Roman" w:cs="Times New Roman" w:eastAsia="Times New Roman" w:hAnsi="Times New Roman"/>
          <w:sz w:val="22"/>
          <w:szCs w:val="22"/>
          <w:color w:val="auto"/>
        </w:rPr>
      </w:pPr>
    </w:p>
    <w:p>
      <w:pPr>
        <w:ind w:left="4775" w:hanging="102"/>
        <w:spacing w:after="0"/>
        <w:tabs>
          <w:tab w:leader="none" w:pos="477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1"/>
          <w:szCs w:val="21"/>
          <w:color w:val="auto"/>
        </w:rPr>
        <w:t>-</w:t>
      </w:r>
    </w:p>
    <w:p>
      <w:pPr>
        <w:spacing w:after="0" w:line="31" w:lineRule="exact"/>
        <w:rPr>
          <w:sz w:val="20"/>
          <w:szCs w:val="20"/>
          <w:color w:val="auto"/>
        </w:rPr>
      </w:pPr>
    </w:p>
    <w:p>
      <w:pPr>
        <w:ind w:left="8775"/>
        <w:spacing w:after="0"/>
        <w:rPr>
          <w:sz w:val="20"/>
          <w:szCs w:val="20"/>
          <w:color w:val="auto"/>
        </w:rPr>
      </w:pPr>
      <w:r>
        <w:rPr>
          <w:rFonts w:ascii="Times New Roman" w:cs="Times New Roman" w:eastAsia="Times New Roman" w:hAnsi="Times New Roman"/>
          <w:sz w:val="17"/>
          <w:szCs w:val="17"/>
          <w:color w:val="auto"/>
        </w:rPr>
        <w:t>Employee Initials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222250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112" w:right="239" w:bottom="1440" w:gutter="0" w:footer="0" w:header="0"/>
        </w:sectPr>
      </w:pPr>
    </w:p>
    <w:bookmarkStart w:id="50" w:name="page51"/>
    <w:bookmarkEnd w:id="50"/>
    <w:p>
      <w:pPr>
        <w:jc w:val="both"/>
        <w:spacing w:after="0" w:line="236" w:lineRule="auto"/>
        <w:rPr>
          <w:sz w:val="20"/>
          <w:szCs w:val="20"/>
          <w:color w:val="auto"/>
        </w:rPr>
      </w:pPr>
      <w:r>
        <w:rPr>
          <w:rFonts w:ascii="Times New Roman" w:cs="Times New Roman" w:eastAsia="Times New Roman" w:hAnsi="Times New Roman"/>
          <w:sz w:val="22"/>
          <w:szCs w:val="22"/>
          <w:color w:val="auto"/>
        </w:rPr>
        <w:t>to this Agreement that are taxable income to the Employee shall in no event be paid later than the end of the calendar year next following the calendar year in which the Employee incurs such expense. For purposes of applying the provisions of Section 409A of the Code to this Agreement, each separately identified amount to which the Employee is entitled under this Agreement shall be treated as a separate payment. In addition, to the extent permissible under Section 409A of the Code, any series of installment payments under this Agreement shall be treated as a right to a series of separate payments. In no event shall the Company be liable to Employee for any adverse tax consequences arising under Section 409A.</w:t>
      </w:r>
    </w:p>
    <w:p>
      <w:pPr>
        <w:spacing w:after="0" w:line="210" w:lineRule="exact"/>
        <w:rPr>
          <w:sz w:val="20"/>
          <w:szCs w:val="20"/>
          <w:color w:val="auto"/>
        </w:rPr>
      </w:pPr>
    </w:p>
    <w:p>
      <w:pPr>
        <w:jc w:val="both"/>
        <w:ind w:firstLine="885"/>
        <w:spacing w:after="0" w:line="248" w:lineRule="auto"/>
        <w:tabs>
          <w:tab w:leader="none" w:pos="179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Employee’s Acknowledgment</w:t>
      </w:r>
      <w:r>
        <w:rPr>
          <w:rFonts w:ascii="Times New Roman" w:cs="Times New Roman" w:eastAsia="Times New Roman" w:hAnsi="Times New Roman"/>
          <w:sz w:val="21"/>
          <w:szCs w:val="21"/>
          <w:color w:val="auto"/>
        </w:rPr>
        <w:t>. Employee acknowledges that he (a) has carefully read and understands the terms and conditions of this Agreement; (b) has had adequate opportunity to consult with counsel of his choosing concerning the consequences of signing this agreement and the release and waiver contained in Section 4; (c) is signing this Agreement knowingly and voluntarily of his own free will, without any duress, coercion or undue influence by the Company, its representatives, or other persons; (d) has not relied on any promise, statement, or representation by anyone associated with the Company that is not contained in this Agreement in deciding to sign this Agreement. Employee specifically represents that he has not assigned or given to any other person or party the right to pursue any legal claim that falls within the scope of Section 4 of this Agreement.</w:t>
      </w:r>
    </w:p>
    <w:p>
      <w:pPr>
        <w:spacing w:after="0" w:line="200" w:lineRule="exact"/>
        <w:rPr>
          <w:sz w:val="20"/>
          <w:szCs w:val="20"/>
          <w:color w:val="auto"/>
        </w:rPr>
      </w:pPr>
    </w:p>
    <w:p>
      <w:pPr>
        <w:spacing w:after="0" w:line="23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NOW INTENDING TO BE LEGALLY BOUND THEREBY, the Parties have executed this Agreement on the date(s) set forth below.</w:t>
      </w:r>
    </w:p>
    <w:p>
      <w:pPr>
        <w:sectPr>
          <w:pgSz w:w="11900" w:h="16838" w:orient="portrait"/>
          <w:cols w:equalWidth="0" w:num="1">
            <w:col w:w="11420"/>
          </w:cols>
          <w:pgMar w:left="240" w:top="112" w:right="2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Jon Routledge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Highway Toll Administration, LLC</w:t>
      </w:r>
    </w:p>
    <w:p>
      <w:pPr>
        <w:spacing w:after="0" w:line="200" w:lineRule="exact"/>
        <w:rPr>
          <w:sz w:val="20"/>
          <w:szCs w:val="20"/>
          <w:color w:val="auto"/>
        </w:rPr>
      </w:pPr>
    </w:p>
    <w:p>
      <w:pPr>
        <w:sectPr>
          <w:pgSz w:w="11900" w:h="16838" w:orient="portrait"/>
          <w:cols w:equalWidth="0" w:num="2">
            <w:col w:w="5740" w:space="720"/>
            <w:col w:w="4960"/>
          </w:cols>
          <w:pgMar w:left="240" w:top="112" w:right="239" w:bottom="1440" w:gutter="0" w:footer="0" w:header="0"/>
          <w:type w:val="continuous"/>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/s/ Jon Routledge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Roberts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Roberts, CEO</w:t>
      </w:r>
    </w:p>
    <w:p>
      <w:pPr>
        <w:spacing w:after="0"/>
        <w:rPr>
          <w:sz w:val="20"/>
          <w:szCs w:val="20"/>
          <w:color w:val="auto"/>
        </w:rPr>
      </w:pPr>
      <w:r>
        <w:rPr>
          <w:rFonts w:ascii="Times New Roman" w:cs="Times New Roman" w:eastAsia="Times New Roman" w:hAnsi="Times New Roman"/>
          <w:sz w:val="21"/>
          <w:szCs w:val="21"/>
          <w:color w:val="auto"/>
        </w:rPr>
        <w:t>(and on behalf of Verra Mobility Corp)</w:t>
      </w:r>
    </w:p>
    <w:p>
      <w:pPr>
        <w:spacing w:after="0" w:line="200" w:lineRule="exact"/>
        <w:rPr>
          <w:sz w:val="20"/>
          <w:szCs w:val="20"/>
          <w:color w:val="auto"/>
        </w:rPr>
      </w:pPr>
    </w:p>
    <w:p>
      <w:pPr>
        <w:sectPr>
          <w:pgSz w:w="11900" w:h="16838" w:orient="portrait"/>
          <w:cols w:equalWidth="0" w:num="2">
            <w:col w:w="5740" w:space="720"/>
            <w:col w:w="4960"/>
          </w:cols>
          <w:pgMar w:left="240" w:top="112"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1/4/19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1/4/19</w:t>
      </w:r>
    </w:p>
    <w:p>
      <w:pPr>
        <w:spacing w:after="0" w:line="200" w:lineRule="exact"/>
        <w:rPr>
          <w:sz w:val="20"/>
          <w:szCs w:val="20"/>
          <w:color w:val="auto"/>
        </w:rPr>
      </w:pPr>
    </w:p>
    <w:p>
      <w:pPr>
        <w:sectPr>
          <w:pgSz w:w="11900" w:h="16838" w:orient="portrait"/>
          <w:cols w:equalWidth="0" w:num="2">
            <w:col w:w="5740" w:space="720"/>
            <w:col w:w="4960"/>
          </w:cols>
          <w:pgMar w:left="240" w:top="112" w:right="23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 to be signed prior to Separation Date]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- 8 </w:t>
      </w:r>
      <w:r>
        <w:rPr>
          <w:rFonts w:ascii="Times New Roman" w:cs="Times New Roman" w:eastAsia="Times New Roman" w:hAnsi="Times New Roman"/>
          <w:sz w:val="21"/>
          <w:szCs w:val="21"/>
          <w:color w:val="auto"/>
        </w:rPr>
        <w:t>-</w:t>
      </w:r>
    </w:p>
    <w:p>
      <w:pPr>
        <w:spacing w:after="0" w:line="3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Employee Initials _____</w:t>
      </w:r>
    </w:p>
    <w:p>
      <w:pPr>
        <w:sectPr>
          <w:pgSz w:w="11900" w:h="16838" w:orient="portrait"/>
          <w:cols w:equalWidth="0" w:num="1">
            <w:col w:w="11420"/>
          </w:cols>
          <w:pgMar w:left="240" w:top="112" w:right="23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85" w:lineRule="exact"/>
        <w:rPr>
          <w:sz w:val="20"/>
          <w:szCs w:val="20"/>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80" w:right="20" w:hanging="572"/>
        <w:spacing w:after="0" w:line="266"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1"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840" w:val="left"/>
          <w:tab w:leader="none" w:pos="7300" w:val="left"/>
        </w:tabs>
        <w:rPr>
          <w:sz w:val="20"/>
          <w:szCs w:val="20"/>
          <w:color w:val="auto"/>
        </w:rPr>
      </w:pPr>
      <w:r>
        <w:rPr>
          <w:rFonts w:ascii="Times New Roman" w:cs="Times New Roman" w:eastAsia="Times New Roman" w:hAnsi="Times New Roman"/>
          <w:sz w:val="18"/>
          <w:szCs w:val="18"/>
          <w:color w:val="auto"/>
        </w:rPr>
        <w:t>Dated: May 06,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-127635</wp:posOffset>
            </wp:positionV>
            <wp:extent cx="26073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347"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Patricia Chiodo, certify that:</w:t>
      </w:r>
    </w:p>
    <w:p>
      <w:pPr>
        <w:spacing w:after="0" w:line="185" w:lineRule="exact"/>
        <w:rPr>
          <w:sz w:val="20"/>
          <w:szCs w:val="20"/>
          <w:color w:val="auto"/>
        </w:rPr>
      </w:pPr>
    </w:p>
    <w:p>
      <w:pPr>
        <w:ind w:left="580" w:hanging="572"/>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80" w:right="20" w:hanging="572"/>
        <w:spacing w:after="0" w:line="266"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1"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840" w:val="left"/>
          <w:tab w:leader="none" w:pos="7300" w:val="left"/>
        </w:tabs>
        <w:rPr>
          <w:sz w:val="20"/>
          <w:szCs w:val="20"/>
          <w:color w:val="auto"/>
        </w:rPr>
      </w:pPr>
      <w:r>
        <w:rPr>
          <w:rFonts w:ascii="Times New Roman" w:cs="Times New Roman" w:eastAsia="Times New Roman" w:hAnsi="Times New Roman"/>
          <w:sz w:val="18"/>
          <w:szCs w:val="18"/>
          <w:color w:val="auto"/>
        </w:rPr>
        <w:t>Dated: May 06,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Patricia Chiodo</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-127635</wp:posOffset>
            </wp:positionV>
            <wp:extent cx="26073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347"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March 31, 2019 as filed with the Securities and Exchange Commission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67"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6"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6840" w:val="left"/>
          <w:tab w:leader="none" w:pos="7300" w:val="left"/>
        </w:tabs>
        <w:rPr>
          <w:sz w:val="20"/>
          <w:szCs w:val="20"/>
          <w:color w:val="auto"/>
        </w:rPr>
      </w:pPr>
      <w:r>
        <w:rPr>
          <w:rFonts w:ascii="Times New Roman" w:cs="Times New Roman" w:eastAsia="Times New Roman" w:hAnsi="Times New Roman"/>
          <w:sz w:val="18"/>
          <w:szCs w:val="18"/>
          <w:color w:val="auto"/>
        </w:rPr>
        <w:t>Dated: May 06,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-127635</wp:posOffset>
            </wp:positionV>
            <wp:extent cx="26073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March 31, 2019 as filed with the Securities and Exchange Commission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Patricia Chiodo, Chief Financial Officer of the Company, hereby certify as of the date hereof, solely for purposes of Title 18, Chapter 63, Section 1350 of the United States Code, that to the best of my knowledge:</w:t>
      </w:r>
    </w:p>
    <w:p>
      <w:pPr>
        <w:spacing w:after="0" w:line="67"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6"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6840" w:val="left"/>
          <w:tab w:leader="none" w:pos="7300" w:val="left"/>
        </w:tabs>
        <w:rPr>
          <w:sz w:val="20"/>
          <w:szCs w:val="20"/>
          <w:color w:val="auto"/>
        </w:rPr>
      </w:pPr>
      <w:r>
        <w:rPr>
          <w:rFonts w:ascii="Times New Roman" w:cs="Times New Roman" w:eastAsia="Times New Roman" w:hAnsi="Times New Roman"/>
          <w:sz w:val="18"/>
          <w:szCs w:val="18"/>
          <w:color w:val="auto"/>
        </w:rPr>
        <w:t>Dated: May 06,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Patricia Chiodo</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-127635</wp:posOffset>
            </wp:positionV>
            <wp:extent cx="26073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lowerLetter"/>
      <w:start w:val="2"/>
    </w:lvl>
  </w:abstractNum>
  <w:abstractNum w:abstractNumId="7">
    <w:nsid w:val="B03E0C6"/>
    <w:multiLevelType w:val="hybridMultilevel"/>
    <w:lvl w:ilvl="0">
      <w:lvlJc w:val="left"/>
      <w:lvlText w:val="%1."/>
      <w:numFmt w:val="decimal"/>
      <w:start w:val="3"/>
    </w:lvl>
  </w:abstractNum>
  <w:abstractNum w:abstractNumId="8">
    <w:nsid w:val="189A769B"/>
    <w:multiLevelType w:val="hybridMultilevel"/>
    <w:lvl w:ilvl="0">
      <w:lvlJc w:val="left"/>
      <w:lvlText w:val="%1."/>
      <w:numFmt w:val="decimal"/>
      <w:start w:val="5"/>
    </w:lvl>
  </w:abstractNum>
  <w:abstractNum w:abstractNumId="9">
    <w:nsid w:val="54E49EB4"/>
    <w:multiLevelType w:val="hybridMultilevel"/>
    <w:lvl w:ilvl="0">
      <w:lvlJc w:val="left"/>
      <w:lvlText w:val="%1."/>
      <w:numFmt w:val="decimal"/>
      <w:start w:val="8"/>
    </w:lvl>
  </w:abstractNum>
  <w:abstractNum w:abstractNumId="10">
    <w:nsid w:val="71F32454"/>
    <w:multiLevelType w:val="hybridMultilevel"/>
    <w:lvl w:ilvl="0">
      <w:lvlJc w:val="left"/>
      <w:lvlText w:val="%1."/>
      <w:numFmt w:val="decimal"/>
      <w:start w:val="9"/>
    </w:lvl>
  </w:abstractNum>
  <w:abstractNum w:abstractNumId="11">
    <w:nsid w:val="2CA88611"/>
    <w:multiLevelType w:val="hybridMultilevel"/>
    <w:lvl w:ilvl="0">
      <w:lvlJc w:val="left"/>
      <w:lvlText w:val="%1."/>
      <w:numFmt w:val="decimal"/>
      <w:start w:val="10"/>
    </w:lvl>
  </w:abstractNum>
  <w:abstractNum w:abstractNumId="12">
    <w:nsid w:val="836C40E"/>
    <w:multiLevelType w:val="hybridMultilevel"/>
    <w:lvl w:ilvl="0">
      <w:lvlJc w:val="left"/>
      <w:lvlText w:val="%1."/>
      <w:numFmt w:val="decimal"/>
      <w:start w:val="11"/>
    </w:lvl>
  </w:abstractNum>
  <w:abstractNum w:abstractNumId="13">
    <w:nsid w:val="2901D82"/>
    <w:multiLevelType w:val="hybridMultilevel"/>
    <w:lvl w:ilvl="0">
      <w:lvlJc w:val="left"/>
      <w:lvlText w:val="%1."/>
      <w:numFmt w:val="decimal"/>
      <w:start w:val="12"/>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decimal"/>
      <w:start w:val="13"/>
    </w:lvl>
  </w:abstractNum>
  <w:abstractNum w:abstractNumId="16">
    <w:nsid w:val="1E7FF521"/>
    <w:multiLevelType w:val="hybridMultilevel"/>
    <w:lvl w:ilvl="0">
      <w:lvlJc w:val="left"/>
      <w:lvlText w:val="%1."/>
      <w:numFmt w:val="decimal"/>
      <w:start w:val="14"/>
    </w:lvl>
  </w:abstractNum>
  <w:abstractNum w:abstractNumId="17">
    <w:nsid w:val="7C3DBD3D"/>
    <w:multiLevelType w:val="hybridMultilevel"/>
    <w:lvl w:ilvl="0">
      <w:lvlJc w:val="left"/>
      <w:lvlText w:val="%1."/>
      <w:numFmt w:val="decimal"/>
      <w:start w:val="15"/>
    </w:lvl>
  </w:abstractNum>
  <w:abstractNum w:abstractNumId="18">
    <w:nsid w:val="737B8DDC"/>
    <w:multiLevelType w:val="hybridMultilevel"/>
    <w:lvl w:ilvl="0">
      <w:lvlJc w:val="left"/>
      <w:lvlText w:val="%1."/>
      <w:numFmt w:val="decimal"/>
      <w:start w:val="16"/>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lowerRoman"/>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8">
    <w:nsid w:val="3804823E"/>
    <w:multiLevelType w:val="hybridMultilevel"/>
    <w:lvl w:ilvl="0">
      <w:lvlJc w:val="left"/>
      <w:lvlText w:val="%1."/>
      <w:numFmt w:val="decimal"/>
      <w:start w:val="3"/>
    </w:lvl>
  </w:abstractNum>
  <w:abstractNum w:abstractNumId="29">
    <w:nsid w:val="77465F01"/>
    <w:multiLevelType w:val="hybridMultilevel"/>
    <w:lvl w:ilvl="0">
      <w:lvlJc w:val="left"/>
      <w:lvlText w:val="(%1)"/>
      <w:numFmt w:val="lowerLetter"/>
      <w:start w:val="1"/>
    </w:lvl>
    <w:lvl w:ilvl="1">
      <w:lvlJc w:val="left"/>
      <w:lvlText w:val="-"/>
      <w:numFmt w:val="bullet"/>
      <w:start w:val="1"/>
    </w:lvl>
  </w:abstractNum>
  <w:abstractNum w:abstractNumId="30">
    <w:nsid w:val="7724C67E"/>
    <w:multiLevelType w:val="hybridMultilevel"/>
    <w:lvl w:ilvl="0">
      <w:lvlJc w:val="left"/>
      <w:lvlText w:val="%1."/>
      <w:numFmt w:val="decimal"/>
      <w:start w:val="4"/>
    </w:lvl>
    <w:lvl w:ilvl="1">
      <w:lvlJc w:val="left"/>
      <w:lvlText w:val="(%2)"/>
      <w:numFmt w:val="lowerLetter"/>
      <w:start w:val="1"/>
    </w:lvl>
  </w:abstractNum>
  <w:abstractNum w:abstractNumId="31">
    <w:nsid w:val="5C482A97"/>
    <w:multiLevelType w:val="hybridMultilevel"/>
    <w:lvl w:ilvl="0">
      <w:lvlJc w:val="left"/>
      <w:lvlText w:val="(%1)"/>
      <w:numFmt w:val="lowerLetter"/>
      <w:start w:val="2"/>
    </w:lvl>
  </w:abstractNum>
  <w:abstractNum w:abstractNumId="32">
    <w:nsid w:val="2463B9EA"/>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33">
    <w:nsid w:val="5E884ADC"/>
    <w:multiLevelType w:val="hybridMultilevel"/>
    <w:lvl w:ilvl="0">
      <w:lvlJc w:val="left"/>
      <w:lvlText w:val="%1"/>
      <w:numFmt w:val="decimal"/>
      <w:start w:val="1"/>
    </w:lvl>
    <w:lvl w:ilvl="1">
      <w:lvlJc w:val="left"/>
      <w:lvlText w:val="(%2)"/>
      <w:numFmt w:val="lowerLetter"/>
      <w:start w:val="2"/>
    </w:lvl>
  </w:abstractNum>
  <w:abstractNum w:abstractNumId="34">
    <w:nsid w:val="51EAD36B"/>
    <w:multiLevelType w:val="hybridMultilevel"/>
    <w:lvl w:ilvl="0">
      <w:lvlJc w:val="left"/>
      <w:lvlText w:val="%1."/>
      <w:numFmt w:val="decimal"/>
      <w:start w:val="6"/>
    </w:lvl>
    <w:lvl w:ilvl="1">
      <w:lvlJc w:val="left"/>
      <w:lvlText w:val="%2"/>
      <w:numFmt w:val="lowerLetter"/>
      <w:start w:val="1"/>
    </w:lvl>
  </w:abstractNum>
  <w:abstractNum w:abstractNumId="35">
    <w:nsid w:val="2D517796"/>
    <w:multiLevelType w:val="hybridMultilevel"/>
    <w:lvl w:ilvl="0">
      <w:lvlJc w:val="left"/>
      <w:lvlText w:val="%1)"/>
      <w:numFmt w:val="lowerLetter"/>
      <w:start w:val="1"/>
    </w:lvl>
    <w:lvl w:ilvl="1">
      <w:lvlJc w:val="left"/>
      <w:lvlText w:val="-"/>
      <w:numFmt w:val="bullet"/>
      <w:start w:val="1"/>
    </w:lvl>
  </w:abstractNum>
  <w:abstractNum w:abstractNumId="36">
    <w:nsid w:val="580BD78F"/>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7">
    <w:nsid w:val="153EA438"/>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8">
    <w:nsid w:val="3855585C"/>
    <w:multiLevelType w:val="hybridMultilevel"/>
    <w:lvl w:ilvl="0">
      <w:lvlJc w:val="left"/>
      <w:lvlText w:val="%1."/>
      <w:numFmt w:val="decimal"/>
      <w:start w:val="12"/>
    </w:lvl>
    <w:lvl w:ilvl="1">
      <w:lvlJc w:val="left"/>
      <w:lvlText w:val="-"/>
      <w:numFmt w:val="bullet"/>
      <w:start w:val="1"/>
    </w:lvl>
  </w:abstractNum>
  <w:abstractNum w:abstractNumId="39">
    <w:nsid w:val="70A64E2A"/>
    <w:multiLevelType w:val="hybridMultilevel"/>
    <w:lvl w:ilvl="0">
      <w:lvlJc w:val="left"/>
      <w:lvlText w:val="%1."/>
      <w:numFmt w:val="decimal"/>
      <w:start w:val="19"/>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64" Type="http://schemas.openxmlformats.org/officeDocument/2006/relationships/hyperlink" Target="http://www.sec.gov/Archives/edgar/data/0001682745/000110465918041476/a18-15692_1ex2d1.htm" TargetMode="External"/><Relationship Id="rId65" Type="http://schemas.openxmlformats.org/officeDocument/2006/relationships/hyperlink" Target="http://www.sec.gov/Archives/edgar/data/0001682745/000104746918005773/a2236552zex-2_2.htm" TargetMode="External"/><Relationship Id="rId66" Type="http://schemas.openxmlformats.org/officeDocument/2006/relationships/hyperlink" Target="http://www.sec.gov/Archives/edgar/data/0001682745/000156459018024644/vrrm-ex31_941.htm" TargetMode="External"/><Relationship Id="rId67" Type="http://schemas.openxmlformats.org/officeDocument/2006/relationships/hyperlink" Target="http://www.sec.gov/Archives/edgar/data/0001682745/000156459018024644/vrrm-ex32_939.htm" TargetMode="External"/><Relationship Id="rId68" Type="http://schemas.openxmlformats.org/officeDocument/2006/relationships/hyperlink" Target="http://www.sec.gov/Archives/edgar/data/0001682745/000104746916017126/a2230401zex-4_2.htm" TargetMode="External"/><Relationship Id="rId69" Type="http://schemas.openxmlformats.org/officeDocument/2006/relationships/hyperlink" Target="http://www.sec.gov/Archives/edgar/data/0001682745/000104746916017126/a2230401zex-4_3.htm" TargetMode="External"/><Relationship Id="rId70" Type="http://schemas.openxmlformats.org/officeDocument/2006/relationships/hyperlink" Target="http://www.sec.gov/Archives/edgar/data/0001682745/000110465917003086/a17-2559_1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2019-12-28T13:03:13Z</dcterms:created>
  <dcterms:modified xsi:type="dcterms:W3CDTF">2019-12-28T13:03:13Z</dcterms:modified>
</cp:coreProperties>
</file>