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72390</wp:posOffset>
            </wp:positionV>
            <wp:extent cx="1903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100965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40" w:right="1720" w:hanging="3632"/>
        <w:spacing w:after="0" w:line="292" w:lineRule="auto"/>
        <w:tabs>
          <w:tab w:leader="none" w:pos="3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3180" w:right="1720" w:hanging="3172"/>
        <w:spacing w:after="0" w:line="352" w:lineRule="auto"/>
        <w:tabs>
          <w:tab w:leader="none" w:pos="37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77470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VERRA MOBILITY CORPORATION</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74295</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3"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4120" w:type="dxa"/>
            <w:vAlign w:val="bottom"/>
          </w:tcPr>
          <w:p>
            <w:pPr>
              <w:jc w:val="center"/>
              <w:ind w:left="384"/>
              <w:spacing w:after="0"/>
              <w:rPr>
                <w:sz w:val="20"/>
                <w:szCs w:val="20"/>
                <w:color w:val="auto"/>
              </w:rPr>
            </w:pPr>
            <w:r>
              <w:rPr>
                <w:rFonts w:ascii="Arial" w:cs="Arial" w:eastAsia="Arial" w:hAnsi="Arial"/>
                <w:sz w:val="16"/>
                <w:szCs w:val="16"/>
                <w:b w:val="1"/>
                <w:bCs w:val="1"/>
                <w:color w:val="auto"/>
                <w:w w:val="93"/>
              </w:rPr>
              <w:t>Delaware</w:t>
            </w:r>
          </w:p>
        </w:tc>
        <w:tc>
          <w:tcPr>
            <w:tcW w:w="2960" w:type="dxa"/>
            <w:vAlign w:val="bottom"/>
          </w:tcPr>
          <w:p>
            <w:pPr>
              <w:spacing w:after="0"/>
              <w:rPr>
                <w:sz w:val="18"/>
                <w:szCs w:val="18"/>
                <w:color w:val="auto"/>
              </w:rPr>
            </w:pPr>
          </w:p>
        </w:tc>
        <w:tc>
          <w:tcPr>
            <w:tcW w:w="2820" w:type="dxa"/>
            <w:vAlign w:val="bottom"/>
          </w:tcPr>
          <w:p>
            <w:pPr>
              <w:jc w:val="right"/>
              <w:ind w:right="1464"/>
              <w:spacing w:after="0"/>
              <w:rPr>
                <w:sz w:val="20"/>
                <w:szCs w:val="20"/>
                <w:color w:val="auto"/>
              </w:rPr>
            </w:pPr>
            <w:r>
              <w:rPr>
                <w:rFonts w:ascii="Arial" w:cs="Arial" w:eastAsia="Arial" w:hAnsi="Arial"/>
                <w:sz w:val="16"/>
                <w:szCs w:val="16"/>
                <w:b w:val="1"/>
                <w:bCs w:val="1"/>
                <w:color w:val="auto"/>
              </w:rPr>
              <w:t>81-3563824</w:t>
            </w:r>
          </w:p>
        </w:tc>
      </w:tr>
      <w:tr>
        <w:trPr>
          <w:trHeight w:val="223"/>
        </w:trPr>
        <w:tc>
          <w:tcPr>
            <w:tcW w:w="4120" w:type="dxa"/>
            <w:vAlign w:val="bottom"/>
          </w:tcPr>
          <w:p>
            <w:pPr>
              <w:jc w:val="center"/>
              <w:ind w:left="34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State of</w:t>
            </w:r>
          </w:p>
        </w:tc>
        <w:tc>
          <w:tcPr>
            <w:tcW w:w="2960" w:type="dxa"/>
            <w:vAlign w:val="bottom"/>
          </w:tcPr>
          <w:p>
            <w:pPr>
              <w:spacing w:after="0"/>
              <w:rPr>
                <w:sz w:val="19"/>
                <w:szCs w:val="19"/>
                <w:color w:val="auto"/>
              </w:rPr>
            </w:pPr>
          </w:p>
        </w:tc>
        <w:tc>
          <w:tcPr>
            <w:tcW w:w="2820" w:type="dxa"/>
            <w:vAlign w:val="bottom"/>
          </w:tcPr>
          <w:p>
            <w:pPr>
              <w:jc w:val="center"/>
              <w:ind w:right="9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r>
      <w:tr>
        <w:trPr>
          <w:trHeight w:val="203"/>
        </w:trPr>
        <w:tc>
          <w:tcPr>
            <w:tcW w:w="4120" w:type="dxa"/>
            <w:vAlign w:val="bottom"/>
          </w:tcPr>
          <w:p>
            <w:pPr>
              <w:jc w:val="center"/>
              <w:ind w:left="384"/>
              <w:spacing w:after="0"/>
              <w:rPr>
                <w:sz w:val="20"/>
                <w:szCs w:val="20"/>
                <w:color w:val="auto"/>
              </w:rPr>
            </w:pPr>
            <w:r>
              <w:rPr>
                <w:rFonts w:ascii="Arial" w:cs="Arial" w:eastAsia="Arial" w:hAnsi="Arial"/>
                <w:sz w:val="14"/>
                <w:szCs w:val="14"/>
                <w:i w:val="1"/>
                <w:iCs w:val="1"/>
                <w:color w:val="auto"/>
                <w:w w:val="99"/>
              </w:rPr>
              <w:t>Incorporation</w:t>
            </w:r>
            <w:r>
              <w:rPr>
                <w:rFonts w:ascii="Arial" w:cs="Arial" w:eastAsia="Arial" w:hAnsi="Arial"/>
                <w:sz w:val="14"/>
                <w:szCs w:val="14"/>
                <w:color w:val="auto"/>
                <w:w w:val="99"/>
              </w:rPr>
              <w:t>)</w:t>
            </w:r>
          </w:p>
        </w:tc>
        <w:tc>
          <w:tcPr>
            <w:tcW w:w="2960" w:type="dxa"/>
            <w:vAlign w:val="bottom"/>
          </w:tcPr>
          <w:p>
            <w:pPr>
              <w:spacing w:after="0"/>
              <w:rPr>
                <w:sz w:val="17"/>
                <w:szCs w:val="17"/>
                <w:color w:val="auto"/>
              </w:rPr>
            </w:pPr>
          </w:p>
        </w:tc>
        <w:tc>
          <w:tcPr>
            <w:tcW w:w="2820" w:type="dxa"/>
            <w:vAlign w:val="bottom"/>
          </w:tcPr>
          <w:p>
            <w:pPr>
              <w:jc w:val="center"/>
              <w:ind w:right="96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r>
      <w:tr>
        <w:trPr>
          <w:trHeight w:val="465"/>
        </w:trPr>
        <w:tc>
          <w:tcPr>
            <w:tcW w:w="4120" w:type="dxa"/>
            <w:vAlign w:val="bottom"/>
          </w:tcPr>
          <w:p>
            <w:pPr>
              <w:jc w:val="center"/>
              <w:ind w:left="384"/>
              <w:spacing w:after="0"/>
              <w:rPr>
                <w:sz w:val="20"/>
                <w:szCs w:val="20"/>
                <w:color w:val="auto"/>
              </w:rPr>
            </w:pPr>
            <w:r>
              <w:rPr>
                <w:rFonts w:ascii="Arial" w:cs="Arial" w:eastAsia="Arial" w:hAnsi="Arial"/>
                <w:sz w:val="16"/>
                <w:szCs w:val="16"/>
                <w:b w:val="1"/>
                <w:bCs w:val="1"/>
                <w:color w:val="auto"/>
                <w:w w:val="91"/>
              </w:rPr>
              <w:t>1150 North Alma School Road</w:t>
            </w:r>
          </w:p>
        </w:tc>
        <w:tc>
          <w:tcPr>
            <w:tcW w:w="2960" w:type="dxa"/>
            <w:vAlign w:val="bottom"/>
          </w:tcPr>
          <w:p>
            <w:pPr>
              <w:spacing w:after="0"/>
              <w:rPr>
                <w:sz w:val="24"/>
                <w:szCs w:val="24"/>
                <w:color w:val="auto"/>
              </w:rPr>
            </w:pPr>
          </w:p>
        </w:tc>
        <w:tc>
          <w:tcPr>
            <w:tcW w:w="2820" w:type="dxa"/>
            <w:vAlign w:val="bottom"/>
          </w:tcPr>
          <w:p>
            <w:pPr>
              <w:jc w:val="right"/>
              <w:ind w:right="1664"/>
              <w:spacing w:after="0"/>
              <w:rPr>
                <w:sz w:val="20"/>
                <w:szCs w:val="20"/>
                <w:color w:val="auto"/>
              </w:rPr>
            </w:pPr>
            <w:r>
              <w:rPr>
                <w:rFonts w:ascii="Arial" w:cs="Arial" w:eastAsia="Arial" w:hAnsi="Arial"/>
                <w:sz w:val="16"/>
                <w:szCs w:val="16"/>
                <w:b w:val="1"/>
                <w:bCs w:val="1"/>
                <w:color w:val="auto"/>
              </w:rPr>
              <w:t>85201</w:t>
            </w:r>
          </w:p>
        </w:tc>
      </w:tr>
      <w:tr>
        <w:trPr>
          <w:trHeight w:val="243"/>
        </w:trPr>
        <w:tc>
          <w:tcPr>
            <w:tcW w:w="4120" w:type="dxa"/>
            <w:vAlign w:val="bottom"/>
          </w:tcPr>
          <w:p>
            <w:pPr>
              <w:jc w:val="center"/>
              <w:ind w:left="384"/>
              <w:spacing w:after="0"/>
              <w:rPr>
                <w:sz w:val="20"/>
                <w:szCs w:val="20"/>
                <w:color w:val="auto"/>
              </w:rPr>
            </w:pPr>
            <w:r>
              <w:rPr>
                <w:rFonts w:ascii="Arial" w:cs="Arial" w:eastAsia="Arial" w:hAnsi="Arial"/>
                <w:sz w:val="16"/>
                <w:szCs w:val="16"/>
                <w:b w:val="1"/>
                <w:bCs w:val="1"/>
                <w:color w:val="auto"/>
                <w:w w:val="94"/>
              </w:rPr>
              <w:t>Mesa, Arizona</w:t>
            </w:r>
          </w:p>
        </w:tc>
        <w:tc>
          <w:tcPr>
            <w:tcW w:w="2960" w:type="dxa"/>
            <w:vAlign w:val="bottom"/>
          </w:tcPr>
          <w:p>
            <w:pPr>
              <w:spacing w:after="0"/>
              <w:rPr>
                <w:sz w:val="21"/>
                <w:szCs w:val="21"/>
                <w:color w:val="auto"/>
              </w:rPr>
            </w:pPr>
          </w:p>
        </w:tc>
        <w:tc>
          <w:tcPr>
            <w:tcW w:w="2820" w:type="dxa"/>
            <w:vAlign w:val="bottom"/>
          </w:tcPr>
          <w:p>
            <w:pPr>
              <w:jc w:val="center"/>
              <w:ind w:right="96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r>
      <w:tr>
        <w:trPr>
          <w:trHeight w:val="210"/>
        </w:trPr>
        <w:tc>
          <w:tcPr>
            <w:tcW w:w="4120" w:type="dxa"/>
            <w:vAlign w:val="bottom"/>
          </w:tcPr>
          <w:p>
            <w:pPr>
              <w:jc w:val="center"/>
              <w:ind w:left="36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29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76"/>
        </w:trPr>
        <w:tc>
          <w:tcPr>
            <w:tcW w:w="4120" w:type="dxa"/>
            <w:vAlign w:val="bottom"/>
          </w:tcPr>
          <w:p>
            <w:pPr>
              <w:spacing w:after="0"/>
              <w:rPr>
                <w:sz w:val="24"/>
                <w:szCs w:val="24"/>
                <w:color w:val="auto"/>
              </w:rPr>
            </w:pPr>
          </w:p>
        </w:tc>
        <w:tc>
          <w:tcPr>
            <w:tcW w:w="2960" w:type="dxa"/>
            <w:vAlign w:val="bottom"/>
          </w:tcPr>
          <w:p>
            <w:pPr>
              <w:jc w:val="center"/>
              <w:ind w:right="862"/>
              <w:spacing w:after="0"/>
              <w:rPr>
                <w:sz w:val="20"/>
                <w:szCs w:val="20"/>
                <w:color w:val="auto"/>
              </w:rPr>
            </w:pPr>
            <w:r>
              <w:rPr>
                <w:rFonts w:ascii="Arial" w:cs="Arial" w:eastAsia="Arial" w:hAnsi="Arial"/>
                <w:sz w:val="16"/>
                <w:szCs w:val="16"/>
                <w:b w:val="1"/>
                <w:bCs w:val="1"/>
                <w:color w:val="auto"/>
                <w:w w:val="93"/>
              </w:rPr>
              <w:t>(480) 443-7000</w:t>
            </w:r>
          </w:p>
        </w:tc>
        <w:tc>
          <w:tcPr>
            <w:tcW w:w="2820" w:type="dxa"/>
            <w:vAlign w:val="bottom"/>
          </w:tcPr>
          <w:p>
            <w:pPr>
              <w:spacing w:after="0"/>
              <w:rPr>
                <w:sz w:val="24"/>
                <w:szCs w:val="24"/>
                <w:color w:val="auto"/>
              </w:rPr>
            </w:pPr>
          </w:p>
        </w:tc>
      </w:tr>
      <w:tr>
        <w:trPr>
          <w:trHeight w:val="183"/>
        </w:trPr>
        <w:tc>
          <w:tcPr>
            <w:tcW w:w="7080" w:type="dxa"/>
            <w:vAlign w:val="bottom"/>
            <w:gridSpan w:val="2"/>
          </w:tcPr>
          <w:p>
            <w:pPr>
              <w:jc w:val="center"/>
              <w:ind w:left="3104"/>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2820" w:type="dxa"/>
            <w:vAlign w:val="bottom"/>
          </w:tcPr>
          <w:p>
            <w:pPr>
              <w:spacing w:after="0"/>
              <w:rPr>
                <w:sz w:val="15"/>
                <w:szCs w:val="15"/>
                <w:color w:val="auto"/>
              </w:rPr>
            </w:pPr>
          </w:p>
        </w:tc>
      </w:tr>
      <w:tr>
        <w:trPr>
          <w:trHeight w:val="438"/>
        </w:trPr>
        <w:tc>
          <w:tcPr>
            <w:tcW w:w="7080" w:type="dxa"/>
            <w:vAlign w:val="bottom"/>
            <w:gridSpan w:val="2"/>
          </w:tcPr>
          <w:p>
            <w:pPr>
              <w:jc w:val="center"/>
              <w:ind w:left="3104"/>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820" w:type="dxa"/>
            <w:vAlign w:val="bottom"/>
          </w:tcPr>
          <w:p>
            <w:pPr>
              <w:spacing w:after="0"/>
              <w:rPr>
                <w:sz w:val="24"/>
                <w:szCs w:val="24"/>
                <w:color w:val="auto"/>
              </w:rPr>
            </w:pPr>
          </w:p>
        </w:tc>
      </w:tr>
      <w:tr>
        <w:trPr>
          <w:trHeight w:val="278"/>
        </w:trPr>
        <w:tc>
          <w:tcPr>
            <w:tcW w:w="4120" w:type="dxa"/>
            <w:vAlign w:val="bottom"/>
          </w:tcPr>
          <w:p>
            <w:pPr>
              <w:jc w:val="center"/>
              <w:ind w:right="444"/>
              <w:spacing w:after="0"/>
              <w:rPr>
                <w:sz w:val="20"/>
                <w:szCs w:val="20"/>
                <w:color w:val="auto"/>
              </w:rPr>
            </w:pPr>
            <w:r>
              <w:rPr>
                <w:rFonts w:ascii="Arial" w:cs="Arial" w:eastAsia="Arial" w:hAnsi="Arial"/>
                <w:sz w:val="14"/>
                <w:szCs w:val="14"/>
                <w:i w:val="1"/>
                <w:iCs w:val="1"/>
                <w:color w:val="auto"/>
                <w:w w:val="95"/>
              </w:rPr>
              <w:t>(Title of Each Class)</w:t>
            </w:r>
          </w:p>
        </w:tc>
        <w:tc>
          <w:tcPr>
            <w:tcW w:w="2960" w:type="dxa"/>
            <w:vAlign w:val="bottom"/>
          </w:tcPr>
          <w:p>
            <w:pPr>
              <w:jc w:val="center"/>
              <w:ind w:right="742"/>
              <w:spacing w:after="0"/>
              <w:rPr>
                <w:sz w:val="20"/>
                <w:szCs w:val="20"/>
                <w:color w:val="auto"/>
              </w:rPr>
            </w:pPr>
            <w:r>
              <w:rPr>
                <w:rFonts w:ascii="Arial" w:cs="Arial" w:eastAsia="Arial" w:hAnsi="Arial"/>
                <w:sz w:val="14"/>
                <w:szCs w:val="14"/>
                <w:i w:val="1"/>
                <w:iCs w:val="1"/>
                <w:color w:val="auto"/>
                <w:w w:val="94"/>
              </w:rPr>
              <w:t>(Trading Symbol)</w:t>
            </w:r>
          </w:p>
        </w:tc>
        <w:tc>
          <w:tcPr>
            <w:tcW w:w="2820" w:type="dxa"/>
            <w:vAlign w:val="bottom"/>
          </w:tcPr>
          <w:p>
            <w:pPr>
              <w:jc w:val="center"/>
              <w:ind w:left="4"/>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289"/>
        </w:trPr>
        <w:tc>
          <w:tcPr>
            <w:tcW w:w="4120" w:type="dxa"/>
            <w:vAlign w:val="bottom"/>
          </w:tcPr>
          <w:p>
            <w:pPr>
              <w:jc w:val="center"/>
              <w:ind w:right="42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2960" w:type="dxa"/>
            <w:vAlign w:val="bottom"/>
          </w:tcPr>
          <w:p>
            <w:pPr>
              <w:jc w:val="center"/>
              <w:ind w:right="742"/>
              <w:spacing w:after="0"/>
              <w:rPr>
                <w:sz w:val="20"/>
                <w:szCs w:val="20"/>
                <w:color w:val="auto"/>
              </w:rPr>
            </w:pPr>
            <w:r>
              <w:rPr>
                <w:rFonts w:ascii="Arial" w:cs="Arial" w:eastAsia="Arial" w:hAnsi="Arial"/>
                <w:sz w:val="16"/>
                <w:szCs w:val="16"/>
                <w:b w:val="1"/>
                <w:bCs w:val="1"/>
                <w:color w:val="auto"/>
              </w:rPr>
              <w:t>VRRM</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5"/>
              </w:rPr>
              <w:t>Nasdaq Capital Market</w:t>
            </w:r>
          </w:p>
        </w:tc>
      </w:tr>
    </w:tbl>
    <w:p>
      <w:pPr>
        <w:spacing w:after="0" w:line="13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2021, there were 156,061,922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rPr>
              <w:t>VERRA MOBILITY CORPORATION</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2800"/>
              <w:spacing w:after="0"/>
              <w:rPr>
                <w:sz w:val="20"/>
                <w:szCs w:val="20"/>
                <w:color w:val="auto"/>
              </w:rPr>
            </w:pPr>
            <w:r>
              <w:rPr>
                <w:rFonts w:ascii="Arial" w:cs="Arial" w:eastAsia="Arial" w:hAnsi="Arial"/>
                <w:sz w:val="18"/>
                <w:szCs w:val="18"/>
                <w:b w:val="1"/>
                <w:bCs w:val="1"/>
                <w:color w:val="auto"/>
                <w:w w:val="99"/>
              </w:rPr>
              <w:t>FORM 10-Q</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11"/>
          </w:tcPr>
          <w:p>
            <w:pPr>
              <w:jc w:val="center"/>
              <w:ind w:right="1380"/>
              <w:spacing w:after="0"/>
              <w:rPr>
                <w:sz w:val="20"/>
                <w:szCs w:val="20"/>
                <w:color w:val="auto"/>
              </w:rPr>
            </w:pPr>
            <w:r>
              <w:rPr>
                <w:rFonts w:ascii="Arial" w:cs="Arial" w:eastAsia="Arial" w:hAnsi="Arial"/>
                <w:sz w:val="18"/>
                <w:szCs w:val="18"/>
                <w:b w:val="1"/>
                <w:bCs w:val="1"/>
                <w:color w:val="auto"/>
                <w:w w:val="97"/>
              </w:rPr>
              <w:t>FOR THE QUARTER ENDED SEPTEMBER 30, 2021</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2840"/>
              <w:spacing w:after="0"/>
              <w:rPr>
                <w:sz w:val="20"/>
                <w:szCs w:val="20"/>
                <w:color w:val="auto"/>
              </w:rPr>
            </w:pPr>
            <w:r>
              <w:rPr>
                <w:rFonts w:ascii="Arial" w:cs="Arial" w:eastAsia="Arial" w:hAnsi="Arial"/>
                <w:sz w:val="18"/>
                <w:szCs w:val="18"/>
                <w:b w:val="1"/>
                <w:bCs w:val="1"/>
                <w:color w:val="auto"/>
                <w:w w:val="97"/>
              </w:rPr>
              <w:t>TABLE OF CONTENTS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16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I—FINANCIAL INFORMATION</w:t>
              </w:r>
            </w:hyperlink>
          </w:p>
        </w:tc>
        <w:tc>
          <w:tcPr>
            <w:tcW w:w="6220" w:type="dxa"/>
            <w:vAlign w:val="bottom"/>
            <w:gridSpan w:val="1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20" w:type="dxa"/>
            <w:vAlign w:val="bottom"/>
            <w:tcBorders>
              <w:bottom w:val="single" w:sz="8" w:color="0000EE"/>
            </w:tcBorders>
          </w:tcPr>
          <w:p>
            <w:pPr>
              <w:spacing w:after="0"/>
              <w:rPr>
                <w:sz w:val="24"/>
                <w:szCs w:val="24"/>
                <w:color w:val="auto"/>
              </w:rPr>
            </w:pPr>
          </w:p>
        </w:tc>
        <w:tc>
          <w:tcPr>
            <w:tcW w:w="5520" w:type="dxa"/>
            <w:vAlign w:val="bottom"/>
            <w:gridSpan w:val="9"/>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8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w:t>
              </w:r>
            </w:hyperlink>
          </w:p>
        </w:tc>
        <w:tc>
          <w:tcPr>
            <w:tcW w:w="1320" w:type="dxa"/>
            <w:vAlign w:val="bottom"/>
            <w:tcBorders>
              <w:top w:val="single" w:sz="8" w:color="0000FF"/>
            </w:tcBorders>
          </w:tcPr>
          <w:p>
            <w:pPr>
              <w:spacing w:after="0"/>
              <w:rPr>
                <w:sz w:val="24"/>
                <w:szCs w:val="24"/>
                <w:color w:val="auto"/>
              </w:rPr>
            </w:pPr>
          </w:p>
        </w:tc>
        <w:tc>
          <w:tcPr>
            <w:tcW w:w="2760" w:type="dxa"/>
            <w:vAlign w:val="bottom"/>
            <w:gridSpan w:val="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24"/>
                <w:szCs w:val="24"/>
                <w:color w:val="auto"/>
              </w:rPr>
            </w:pPr>
          </w:p>
        </w:tc>
        <w:tc>
          <w:tcPr>
            <w:tcW w:w="4740" w:type="dxa"/>
            <w:vAlign w:val="bottom"/>
            <w:gridSpan w:val="7"/>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the Condensed Consolidated Financial Statements</w:t>
              </w:r>
            </w:hyperlink>
          </w:p>
        </w:tc>
        <w:tc>
          <w:tcPr>
            <w:tcW w:w="20" w:type="dxa"/>
            <w:vAlign w:val="bottom"/>
            <w:tcBorders>
              <w:bottom w:val="single" w:sz="8" w:color="0000EE"/>
            </w:tcBorders>
          </w:tcPr>
          <w:p>
            <w:pPr>
              <w:spacing w:after="0"/>
              <w:rPr>
                <w:sz w:val="24"/>
                <w:szCs w:val="24"/>
                <w:color w:val="auto"/>
              </w:rPr>
            </w:pPr>
          </w:p>
        </w:tc>
        <w:tc>
          <w:tcPr>
            <w:tcW w:w="420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2. Management’s Discussion and Analysis of Financial Condition and Results of Operations</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 Quantitative and Qualitative Disclosures About Market Risk</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160" w:type="dxa"/>
            <w:vAlign w:val="bottom"/>
            <w:tcBorders>
              <w:left w:val="single" w:sz="8" w:color="0000FF"/>
            </w:tcBorders>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 Controls and Procedures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860" w:type="dxa"/>
            <w:vAlign w:val="bottom"/>
            <w:tcBorders>
              <w:bottom w:val="single" w:sz="8" w:color="0000FF"/>
            </w:tcBorders>
            <w:gridSpan w:val="9"/>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II—OTHER INFORMATION</w:t>
              </w:r>
            </w:hyperlink>
          </w:p>
        </w:tc>
        <w:tc>
          <w:tcPr>
            <w:tcW w:w="6520" w:type="dxa"/>
            <w:vAlign w:val="bottom"/>
            <w:gridSpan w:val="13"/>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 Legal Proceedings</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1A. Risk Factors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2. Unregistered Sales of Equity Securities and Use of Proceeds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 Defaults Upon Senior Securities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4. Mine Safety Disclosures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5. Other Information</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6. Exhibits</w:t>
              </w:r>
            </w:hyperlink>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900" w:type="dxa"/>
            <w:vAlign w:val="bottom"/>
            <w:gridSpan w:val="18"/>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rFonts w:ascii="Arial" w:cs="Arial" w:eastAsia="Arial" w:hAnsi="Arial"/>
                <w:sz w:val="18"/>
                <w:szCs w:val="18"/>
                <w:b w:val="1"/>
                <w:bCs w:val="1"/>
                <w:color w:val="0000FF"/>
                <w:w w:val="96"/>
              </w:rPr>
            </w:pPr>
            <w:hyperlink w:anchor="page51">
              <w:r>
                <w:rPr>
                  <w:rFonts w:ascii="Arial" w:cs="Arial" w:eastAsia="Arial" w:hAnsi="Arial"/>
                  <w:sz w:val="18"/>
                  <w:szCs w:val="18"/>
                  <w:b w:val="1"/>
                  <w:bCs w:val="1"/>
                  <w:color w:val="0000FF"/>
                  <w:w w:val="96"/>
                </w:rPr>
                <w:t>SIGNATURES</w:t>
              </w:r>
            </w:hyperlink>
          </w:p>
        </w:tc>
        <w:tc>
          <w:tcPr>
            <w:tcW w:w="8220" w:type="dxa"/>
            <w:vAlign w:val="bottom"/>
            <w:gridSpan w:val="1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763"/>
        </w:trPr>
        <w:tc>
          <w:tcPr>
            <w:tcW w:w="6640" w:type="dxa"/>
            <w:vAlign w:val="bottom"/>
            <w:gridSpan w:val="21"/>
          </w:tcPr>
          <w:p>
            <w:pPr>
              <w:jc w:val="center"/>
              <w:ind w:left="4510"/>
              <w:spacing w:after="0"/>
              <w:rPr>
                <w:sz w:val="20"/>
                <w:szCs w:val="20"/>
                <w:color w:val="auto"/>
              </w:rPr>
            </w:pPr>
            <w:r>
              <w:rPr>
                <w:rFonts w:ascii="Arial" w:cs="Arial" w:eastAsia="Arial" w:hAnsi="Arial"/>
                <w:sz w:val="18"/>
                <w:szCs w:val="18"/>
                <w:color w:val="auto"/>
                <w:w w:val="79"/>
              </w:rPr>
              <w:t>2</w:t>
            </w: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10-K/A for the year ended December 31, 2020, filed on May 17, 2021.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Factors that could cause actual results to differ materially from those expressed or implied in forward-looking statements include,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97"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impact of payment delays related to $80.8 million in outstanding receivables with 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disruption to our business and results of operations as a result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pandemic;</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impact of the COVID-19 pandemic on our revenues from key customers in the rental car industry and from photo enforcement programs;</w:t>
      </w:r>
    </w:p>
    <w:p>
      <w:pPr>
        <w:spacing w:after="0" w:line="2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historical data regarding our business, results of operations, financial condition and liquidity may not reflect the impact of COVID-19;</w:t>
      </w: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customer concentration in our Commercial Services and Government Solutions segments;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98"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risks and uncertainties related to our government contracts, including legislative changes, termination rights, delays in payments, audits and investigations;</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decreased interest in outsourcing from our customers;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properly perform under our contracts and otherwise satisfy our customers;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compete in a highly competitive and rapidly evolving market;</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keep up with technological developments and changing customer preferences;</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success of our new products and changes to existing products and services;</w:t>
      </w:r>
    </w:p>
    <w:p>
      <w:pPr>
        <w:spacing w:after="0" w:line="198"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our ability to successfully integrate our recent or future acquisitions, including, but not limited to, our June 2021 acquisition of Redflex (as defined herein); and</w:t>
      </w:r>
    </w:p>
    <w:p>
      <w:pPr>
        <w:spacing w:after="0" w:line="1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in or breaches of our networks or systems, including as a result of cyber-attacks.</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line="324" w:lineRule="auto"/>
        <w:rPr>
          <w:sz w:val="20"/>
          <w:szCs w:val="20"/>
          <w:color w:val="auto"/>
        </w:rPr>
      </w:pPr>
      <w:r>
        <w:rPr>
          <w:rFonts w:ascii="Arial" w:cs="Arial" w:eastAsia="Arial" w:hAnsi="Arial"/>
          <w:sz w:val="17"/>
          <w:szCs w:val="17"/>
          <w:color w:val="auto"/>
        </w:rPr>
        <w:t>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07"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r>
      <w:tr>
        <w:trPr>
          <w:trHeight w:val="162"/>
        </w:trPr>
        <w:tc>
          <w:tcPr>
            <w:tcW w:w="74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restated)</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46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128,247</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120,259</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r>
      <w:tr>
        <w:trPr>
          <w:trHeight w:val="249"/>
        </w:trPr>
        <w:tc>
          <w:tcPr>
            <w:tcW w:w="20" w:type="dxa"/>
            <w:vAlign w:val="bottom"/>
            <w:shd w:val="clear" w:color="auto" w:fill="CFF0FC"/>
          </w:tcPr>
          <w:p>
            <w:pPr>
              <w:spacing w:after="0"/>
              <w:rPr>
                <w:sz w:val="21"/>
                <w:szCs w:val="21"/>
                <w:color w:val="auto"/>
              </w:rPr>
            </w:pPr>
          </w:p>
        </w:tc>
        <w:tc>
          <w:tcPr>
            <w:tcW w:w="7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receivable (net of allowance for credit loss of $14.7 million and</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0" w:type="dxa"/>
            <w:vAlign w:val="bottom"/>
            <w:shd w:val="clear" w:color="auto" w:fill="CFF0FC"/>
          </w:tcPr>
          <w:p>
            <w:pPr>
              <w:spacing w:after="0"/>
              <w:rPr>
                <w:sz w:val="21"/>
                <w:szCs w:val="21"/>
                <w:color w:val="auto"/>
              </w:rPr>
            </w:pPr>
          </w:p>
        </w:tc>
        <w:tc>
          <w:tcPr>
            <w:tcW w:w="7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$11.5 million at September 30, 2021 and December 31, 2020, respectively)</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174,463</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168,783</w:t>
            </w:r>
          </w:p>
        </w:tc>
        <w:tc>
          <w:tcPr>
            <w:tcW w:w="10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27,422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39,054</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372,131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328,037</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Installation and service parts, net</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10,596</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95,786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70,284</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32,960</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317,031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342,139</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637,739</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586,435</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r>
      <w:tr>
        <w:trPr>
          <w:trHeight w:val="290"/>
        </w:trPr>
        <w:tc>
          <w:tcPr>
            <w:tcW w:w="7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1,481,916</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46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48,632</w:t>
            </w:r>
          </w:p>
        </w:tc>
        <w:tc>
          <w:tcPr>
            <w:tcW w:w="3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53,663</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18"/>
                <w:szCs w:val="18"/>
                <w:color w:val="auto"/>
              </w:rPr>
              <w:t>Payable to related party pursuant to tax receivable agreement, current portion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5,202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9,433</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116,930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64,040</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965,362</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31,570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27,986</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Payable to related party pursuant to tax receivable agreement, net of current portion</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64,329</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67,869</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Private placement warrant liabilities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35,933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Asset retirement obligation</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10,708</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Deferred tax liabilities, net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12,378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74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1,238,250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1,051,753</w:t>
            </w:r>
          </w:p>
        </w:tc>
        <w:tc>
          <w:tcPr>
            <w:tcW w:w="100" w:type="dxa"/>
            <w:vAlign w:val="bottom"/>
          </w:tcPr>
          <w:p>
            <w:pPr>
              <w:spacing w:after="0"/>
              <w:rPr>
                <w:sz w:val="21"/>
                <w:szCs w:val="21"/>
                <w:color w:val="auto"/>
              </w:rPr>
            </w:pPr>
          </w:p>
        </w:tc>
      </w:tr>
      <w:tr>
        <w:trPr>
          <w:trHeight w:val="263"/>
        </w:trPr>
        <w:tc>
          <w:tcPr>
            <w:tcW w:w="7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Preferred stock, $0.0001 par value</w:t>
            </w:r>
          </w:p>
        </w:tc>
        <w:tc>
          <w:tcPr>
            <w:tcW w:w="2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Common stock, $0.0001 par value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Common stock contingent consideration</w:t>
            </w:r>
          </w:p>
        </w:tc>
        <w:tc>
          <w:tcPr>
            <w:tcW w:w="2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311,003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373,620</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(100,482 )</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(94,850 )</w:t>
            </w:r>
          </w:p>
        </w:tc>
      </w:tr>
      <w:tr>
        <w:trPr>
          <w:trHeight w:val="250"/>
        </w:trPr>
        <w:tc>
          <w:tcPr>
            <w:tcW w:w="20" w:type="dxa"/>
            <w:vAlign w:val="bottom"/>
          </w:tcPr>
          <w:p>
            <w:pPr>
              <w:spacing w:after="0"/>
              <w:rPr>
                <w:sz w:val="21"/>
                <w:szCs w:val="21"/>
                <w:color w:val="auto"/>
              </w:rPr>
            </w:pPr>
          </w:p>
        </w:tc>
        <w:tc>
          <w:tcPr>
            <w:tcW w:w="7440" w:type="dxa"/>
            <w:vAlign w:val="bottom"/>
            <w:gridSpan w:val="2"/>
          </w:tcPr>
          <w:p>
            <w:pPr>
              <w:ind w:left="10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(3,446 )</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r>
      <w:tr>
        <w:trPr>
          <w:trHeight w:val="250"/>
        </w:trPr>
        <w:tc>
          <w:tcPr>
            <w:tcW w:w="7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243,666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460" w:type="dxa"/>
            <w:vAlign w:val="bottom"/>
            <w:gridSpan w:val="3"/>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1,481,916</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1,367,325</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-5474335</wp:posOffset>
            </wp:positionV>
            <wp:extent cx="1885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-5474335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-4156710</wp:posOffset>
            </wp:positionV>
            <wp:extent cx="1885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-4139565</wp:posOffset>
            </wp:positionV>
            <wp:extent cx="188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-4156710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-3150870</wp:posOffset>
            </wp:positionV>
            <wp:extent cx="1885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-3150870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-1839595</wp:posOffset>
            </wp:positionV>
            <wp:extent cx="1885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-1839595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-193675</wp:posOffset>
            </wp:positionV>
            <wp:extent cx="1885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62"/>
        </w:trPr>
        <w:tc>
          <w:tcPr>
            <w:tcW w:w="49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(As restated)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(As restated)</w:t>
            </w:r>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Service revenue</w:t>
            </w:r>
          </w:p>
        </w:tc>
        <w:tc>
          <w:tcPr>
            <w:tcW w:w="880" w:type="dxa"/>
            <w:vAlign w:val="bottom"/>
            <w:shd w:val="clear" w:color="auto" w:fill="CFF0FC"/>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141,811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82,980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245,292</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Product sales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48,138</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4900" w:type="dxa"/>
            <w:vAlign w:val="bottom"/>
            <w:gridSpan w:val="2"/>
            <w:shd w:val="clear" w:color="auto" w:fill="CFF0FC"/>
          </w:tcPr>
          <w:p>
            <w:pPr>
              <w:ind w:left="100"/>
              <w:spacing w:after="0"/>
              <w:rPr>
                <w:sz w:val="20"/>
                <w:szCs w:val="20"/>
                <w:color w:val="auto"/>
              </w:rPr>
            </w:pPr>
            <w:r>
              <w:rPr>
                <w:rFonts w:ascii="Arial" w:cs="Arial" w:eastAsia="Arial" w:hAnsi="Arial"/>
                <w:sz w:val="16"/>
                <w:szCs w:val="16"/>
                <w:b w:val="1"/>
                <w:bCs w:val="1"/>
                <w:color w:val="auto"/>
              </w:rPr>
              <w:t>Total revenue</w:t>
            </w: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162,095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96,908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380,610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293,430</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Cost of service revenue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Pr>
          <w:p>
            <w:pPr>
              <w:spacing w:after="0"/>
              <w:rPr>
                <w:sz w:val="19"/>
                <w:szCs w:val="19"/>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Cost of product sales</w:t>
            </w: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24,838</w:t>
            </w:r>
          </w:p>
        </w:tc>
        <w:tc>
          <w:tcPr>
            <w:tcW w:w="100" w:type="dxa"/>
            <w:vAlign w:val="bottom"/>
            <w:shd w:val="clear" w:color="auto" w:fill="CFF0FC"/>
          </w:tcPr>
          <w:p>
            <w:pPr>
              <w:spacing w:after="0"/>
              <w:rPr>
                <w:sz w:val="20"/>
                <w:szCs w:val="20"/>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48,309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26,544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115,235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85,502</w:t>
            </w:r>
          </w:p>
        </w:tc>
        <w:tc>
          <w:tcPr>
            <w:tcW w:w="100" w:type="dxa"/>
            <w:vAlign w:val="bottom"/>
          </w:tcPr>
          <w:p>
            <w:pPr>
              <w:spacing w:after="0"/>
              <w:rPr>
                <w:sz w:val="19"/>
                <w:szCs w:val="19"/>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31,580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86,252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64,218</w:t>
            </w:r>
          </w:p>
        </w:tc>
        <w:tc>
          <w:tcPr>
            <w:tcW w:w="100" w:type="dxa"/>
            <w:vAlign w:val="bottom"/>
            <w:shd w:val="clear" w:color="auto" w:fill="CFF0FC"/>
          </w:tcPr>
          <w:p>
            <w:pPr>
              <w:spacing w:after="0"/>
              <w:rPr>
                <w:sz w:val="20"/>
                <w:szCs w:val="20"/>
                <w:color w:val="auto"/>
              </w:rPr>
            </w:pPr>
          </w:p>
        </w:tc>
      </w:tr>
      <w:tr>
        <w:trPr>
          <w:trHeight w:val="206"/>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Depreciation, amortization and (gain) loss on</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0" w:type="dxa"/>
            <w:vAlign w:val="bottom"/>
            <w:tcBorders>
              <w:bottom w:val="single" w:sz="8" w:color="CFF0FC"/>
            </w:tcBorders>
          </w:tcPr>
          <w:p>
            <w:pPr>
              <w:spacing w:after="0"/>
              <w:rPr>
                <w:sz w:val="19"/>
                <w:szCs w:val="19"/>
                <w:color w:val="auto"/>
              </w:rPr>
            </w:pPr>
          </w:p>
        </w:tc>
        <w:tc>
          <w:tcPr>
            <w:tcW w:w="49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disposal of assets,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29,590</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84,806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88,002</w:t>
            </w:r>
          </w:p>
        </w:tc>
        <w:tc>
          <w:tcPr>
            <w:tcW w:w="100" w:type="dxa"/>
            <w:vAlign w:val="bottom"/>
            <w:tcBorders>
              <w:bottom w:val="single" w:sz="8" w:color="CFF0FC"/>
            </w:tcBorders>
          </w:tcPr>
          <w:p>
            <w:pPr>
              <w:spacing w:after="0"/>
              <w:rPr>
                <w:sz w:val="19"/>
                <w:szCs w:val="19"/>
                <w:color w:val="auto"/>
              </w:rPr>
            </w:pPr>
          </w:p>
        </w:tc>
      </w:tr>
      <w:tr>
        <w:trPr>
          <w:trHeight w:val="213"/>
        </w:trPr>
        <w:tc>
          <w:tcPr>
            <w:tcW w:w="20" w:type="dxa"/>
            <w:vAlign w:val="bottom"/>
            <w:tcBorders>
              <w:bottom w:val="single" w:sz="8" w:color="CFF0FC"/>
            </w:tcBorders>
            <w:shd w:val="clear" w:color="auto" w:fill="CFF0FC"/>
          </w:tcPr>
          <w:p>
            <w:pPr>
              <w:spacing w:after="0"/>
              <w:rPr>
                <w:sz w:val="18"/>
                <w:szCs w:val="18"/>
                <w:color w:val="auto"/>
              </w:rPr>
            </w:pPr>
          </w:p>
        </w:tc>
        <w:tc>
          <w:tcPr>
            <w:tcW w:w="49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color w:val="auto"/>
              </w:rPr>
              <w:t>Total costs and expenses</w:t>
            </w: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120,221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81,640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305,479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265,699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Income from operations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41,874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75,131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27,731</w:t>
            </w:r>
          </w:p>
        </w:tc>
        <w:tc>
          <w:tcPr>
            <w:tcW w:w="100" w:type="dxa"/>
            <w:vAlign w:val="bottom"/>
          </w:tcPr>
          <w:p>
            <w:pPr>
              <w:spacing w:after="0"/>
              <w:rPr>
                <w:sz w:val="18"/>
                <w:szCs w:val="18"/>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31,568</w:t>
            </w:r>
          </w:p>
        </w:tc>
        <w:tc>
          <w:tcPr>
            <w:tcW w:w="100" w:type="dxa"/>
            <w:vAlign w:val="bottom"/>
            <w:shd w:val="clear" w:color="auto" w:fill="CFF0FC"/>
          </w:tcPr>
          <w:p>
            <w:pPr>
              <w:spacing w:after="0"/>
              <w:rPr>
                <w:sz w:val="20"/>
                <w:szCs w:val="20"/>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Change in fair value of private placement warrants</w:t>
            </w:r>
          </w:p>
        </w:tc>
        <w:tc>
          <w:tcPr>
            <w:tcW w:w="8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(5,067 )</w:t>
            </w:r>
          </w:p>
        </w:tc>
        <w:tc>
          <w:tcPr>
            <w:tcW w:w="1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(4,400 )</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(11,533 )</w:t>
            </w: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Tax receivable agreement liability adjustment</w:t>
            </w:r>
          </w:p>
        </w:tc>
        <w:tc>
          <w:tcPr>
            <w:tcW w:w="8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FF0FC"/>
          </w:tcPr>
          <w:p>
            <w:pPr>
              <w:spacing w:after="0"/>
              <w:rPr>
                <w:sz w:val="20"/>
                <w:szCs w:val="20"/>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Loss on extinguishment of debt</w:t>
            </w:r>
          </w:p>
        </w:tc>
        <w:tc>
          <w:tcPr>
            <w:tcW w:w="8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3"/>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8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(3,494 )</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(4,982 )</w:t>
            </w: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(9,305 )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(9,430 )</w:t>
            </w:r>
          </w:p>
        </w:tc>
      </w:tr>
      <w:tr>
        <w:trPr>
          <w:trHeight w:val="223"/>
        </w:trPr>
        <w:tc>
          <w:tcPr>
            <w:tcW w:w="20" w:type="dxa"/>
            <w:vAlign w:val="bottom"/>
            <w:tcBorders>
              <w:top w:val="single" w:sz="8" w:color="CFF0FC"/>
            </w:tcBorders>
          </w:tcPr>
          <w:p>
            <w:pPr>
              <w:spacing w:after="0"/>
              <w:rPr>
                <w:sz w:val="19"/>
                <w:szCs w:val="19"/>
                <w:color w:val="auto"/>
              </w:rPr>
            </w:pPr>
          </w:p>
        </w:tc>
        <w:tc>
          <w:tcPr>
            <w:tcW w:w="4900" w:type="dxa"/>
            <w:vAlign w:val="bottom"/>
            <w:tcBorders>
              <w:top w:val="single" w:sz="8" w:color="CFF0FC"/>
            </w:tcBorders>
            <w:gridSpan w:val="2"/>
          </w:tcPr>
          <w:p>
            <w:pPr>
              <w:ind w:left="100"/>
              <w:spacing w:after="0"/>
              <w:rPr>
                <w:sz w:val="20"/>
                <w:szCs w:val="20"/>
                <w:color w:val="auto"/>
              </w:rPr>
            </w:pPr>
            <w:r>
              <w:rPr>
                <w:rFonts w:ascii="Arial" w:cs="Arial" w:eastAsia="Arial" w:hAnsi="Arial"/>
                <w:sz w:val="16"/>
                <w:szCs w:val="16"/>
                <w:color w:val="auto"/>
              </w:rPr>
              <w:t>Total other expenses</w:t>
            </w: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3,076</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35,238</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15,051</w:t>
            </w:r>
          </w:p>
        </w:tc>
        <w:tc>
          <w:tcPr>
            <w:tcW w:w="100" w:type="dxa"/>
            <w:vAlign w:val="bottom"/>
            <w:tcBorders>
              <w:top w:val="single" w:sz="8" w:color="CFF0FC"/>
            </w:tcBorders>
          </w:tcPr>
          <w:p>
            <w:pPr>
              <w:spacing w:after="0"/>
              <w:rPr>
                <w:sz w:val="19"/>
                <w:szCs w:val="19"/>
                <w:color w:val="auto"/>
              </w:rPr>
            </w:pPr>
          </w:p>
        </w:tc>
      </w:tr>
      <w:tr>
        <w:trPr>
          <w:trHeight w:val="22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12,680</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Income tax provision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19"/>
                <w:szCs w:val="19"/>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9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27,306</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11,086</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22,383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49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Change in foreign currency translation adjustment</w:t>
            </w:r>
          </w:p>
        </w:tc>
        <w:tc>
          <w:tcPr>
            <w:tcW w:w="8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(3,818 )</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(3,657 )</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(1,408 )</w:t>
            </w:r>
          </w:p>
        </w:tc>
      </w:tr>
      <w:tr>
        <w:trPr>
          <w:trHeight w:val="217"/>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Arial" w:cs="Arial" w:eastAsia="Arial" w:hAnsi="Arial"/>
                <w:sz w:val="16"/>
                <w:szCs w:val="16"/>
                <w:color w:val="auto"/>
              </w:rPr>
              <w:t>Total comprehensive income</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23,488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18,726</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Basic</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9"/>
                <w:szCs w:val="19"/>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880" w:type="dxa"/>
            <w:vAlign w:val="bottom"/>
            <w:shd w:val="clear" w:color="auto" w:fill="CFF0FC"/>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FF0FC"/>
          </w:tcPr>
          <w:p>
            <w:pPr>
              <w:spacing w:after="0"/>
              <w:rPr>
                <w:sz w:val="20"/>
                <w:szCs w:val="20"/>
                <w:color w:val="auto"/>
              </w:rPr>
            </w:pPr>
          </w:p>
        </w:tc>
      </w:tr>
      <w:tr>
        <w:trPr>
          <w:trHeight w:val="220"/>
        </w:trPr>
        <w:tc>
          <w:tcPr>
            <w:tcW w:w="492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9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159,358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161,744</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161,334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161,460</w:t>
            </w:r>
          </w:p>
        </w:tc>
        <w:tc>
          <w:tcPr>
            <w:tcW w:w="100" w:type="dxa"/>
            <w:vAlign w:val="bottom"/>
            <w:shd w:val="clear" w:color="auto" w:fill="CFF0FC"/>
          </w:tcPr>
          <w:p>
            <w:pPr>
              <w:spacing w:after="0"/>
              <w:rPr>
                <w:sz w:val="20"/>
                <w:szCs w:val="20"/>
                <w:color w:val="auto"/>
              </w:rPr>
            </w:pPr>
          </w:p>
        </w:tc>
      </w:tr>
      <w:tr>
        <w:trPr>
          <w:trHeight w:val="210"/>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Diluted</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165,431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162,568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164,808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161,995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-3008630</wp:posOffset>
            </wp:positionV>
            <wp:extent cx="19685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9705"/>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-3008630</wp:posOffset>
            </wp:positionV>
            <wp:extent cx="16256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7970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-3008630</wp:posOffset>
            </wp:positionV>
            <wp:extent cx="1879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796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-3008630</wp:posOffset>
            </wp:positionV>
            <wp:extent cx="939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-1964055</wp:posOffset>
            </wp:positionV>
            <wp:extent cx="1714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-1964055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-1964055</wp:posOffset>
            </wp:positionV>
            <wp:extent cx="1625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-1964055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-1358265</wp:posOffset>
            </wp:positionV>
            <wp:extent cx="171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-1341120</wp:posOffset>
            </wp:positionV>
            <wp:extent cx="171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-1358265</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-1341120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-1358265</wp:posOffset>
            </wp:positionV>
            <wp:extent cx="162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-1341120</wp:posOffset>
            </wp:positionV>
            <wp:extent cx="162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-1358265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-1341120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40" w:type="dxa"/>
            <w:vAlign w:val="bottom"/>
            <w:gridSpan w:val="5"/>
          </w:tcPr>
          <w:p>
            <w:pPr>
              <w:ind w:left="20"/>
              <w:spacing w:after="0"/>
              <w:rPr>
                <w:sz w:val="20"/>
                <w:szCs w:val="20"/>
                <w:color w:val="auto"/>
              </w:rPr>
            </w:pPr>
            <w:r>
              <w:rPr>
                <w:rFonts w:ascii="Arial" w:cs="Arial" w:eastAsia="Arial" w:hAnsi="Arial"/>
                <w:sz w:val="13"/>
                <w:szCs w:val="13"/>
                <w:b w:val="1"/>
                <w:bCs w:val="1"/>
                <w:color w:val="auto"/>
              </w:rPr>
              <w:t>For the Three and Nine Months Ended September 30, 2021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Stock</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Contingent</w:t>
            </w:r>
          </w:p>
        </w:tc>
        <w:tc>
          <w:tcPr>
            <w:tcW w:w="16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7"/>
        </w:trPr>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Consideration</w:t>
            </w:r>
          </w:p>
        </w:tc>
        <w:tc>
          <w:tcPr>
            <w:tcW w:w="16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w w:val="95"/>
              </w:rPr>
              <w:t>Balance as of December 31, 2020 (as restated)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162,269</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373,620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(94,850 )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315,572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(8,915 )</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(8,915 )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 ("</w:t>
            </w:r>
            <w:r>
              <w:rPr>
                <w:rFonts w:ascii="Arial" w:cs="Arial" w:eastAsia="Arial" w:hAnsi="Arial"/>
                <w:sz w:val="13"/>
                <w:szCs w:val="13"/>
                <w:b w:val="1"/>
                <w:bCs w:val="1"/>
                <w:i w:val="1"/>
                <w:iCs w:val="1"/>
                <w:color w:val="auto"/>
              </w:rPr>
              <w:t>RSUs</w:t>
            </w: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60" w:type="dxa"/>
            <w:vAlign w:val="bottom"/>
            <w:gridSpan w:val="3"/>
          </w:tcPr>
          <w:p>
            <w:pPr>
              <w:ind w:left="20"/>
              <w:spacing w:after="0"/>
              <w:rPr>
                <w:sz w:val="20"/>
                <w:szCs w:val="20"/>
                <w:color w:val="auto"/>
              </w:rPr>
            </w:pPr>
            <w:r>
              <w:rPr>
                <w:rFonts w:ascii="Arial" w:cs="Arial" w:eastAsia="Arial" w:hAnsi="Arial"/>
                <w:sz w:val="13"/>
                <w:szCs w:val="13"/>
                <w:color w:val="auto"/>
                <w:w w:val="99"/>
              </w:rPr>
              <w:t>Payment of employee tax withholding related to</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(857 )</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(857 )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(190 )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162,360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375,671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(103,765 )</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308,518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Net income</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3,992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9"/>
              </w:rPr>
              <w:t>Payment of employee tax withholding related to</w:t>
            </w: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(96 )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3,573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Other comprehensive gain, net of tax</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351</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60" w:type="dxa"/>
            <w:vAlign w:val="bottom"/>
          </w:tcPr>
          <w:p>
            <w:pPr>
              <w:jc w:val="right"/>
              <w:spacing w:after="0"/>
              <w:rPr>
                <w:sz w:val="20"/>
                <w:szCs w:val="20"/>
                <w:color w:val="auto"/>
              </w:rPr>
            </w:pPr>
            <w:r>
              <w:rPr>
                <w:rFonts w:ascii="Arial" w:cs="Arial" w:eastAsia="Arial" w:hAnsi="Arial"/>
                <w:sz w:val="13"/>
                <w:szCs w:val="13"/>
                <w:color w:val="auto"/>
              </w:rPr>
              <w:t>162,408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379,235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(99,773 )</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316,425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27,306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Share repurchase and retirement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(6,849 )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(71,985 )</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(28,015 )</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(100,000 )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4"/>
              </w:rPr>
              <w:t>Adjustment to employee tax withholding related to</w:t>
            </w: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3,703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(3,818 )</w:t>
            </w: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(3,818 )</w:t>
            </w:r>
          </w:p>
        </w:tc>
        <w:tc>
          <w:tcPr>
            <w:tcW w:w="0" w:type="dxa"/>
            <w:vAlign w:val="bottom"/>
          </w:tcPr>
          <w:p>
            <w:pPr>
              <w:spacing w:after="0"/>
              <w:rPr>
                <w:sz w:val="1"/>
                <w:szCs w:val="1"/>
                <w:color w:val="auto"/>
              </w:rPr>
            </w:pPr>
          </w:p>
        </w:tc>
      </w:tr>
      <w:tr>
        <w:trPr>
          <w:trHeight w:val="22"/>
        </w:trPr>
        <w:tc>
          <w:tcPr>
            <w:tcW w:w="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960" w:type="dxa"/>
            <w:vAlign w:val="bottom"/>
          </w:tcPr>
          <w:p>
            <w:pPr>
              <w:jc w:val="right"/>
              <w:spacing w:after="0"/>
              <w:rPr>
                <w:sz w:val="20"/>
                <w:szCs w:val="20"/>
                <w:color w:val="auto"/>
              </w:rPr>
            </w:pPr>
            <w:r>
              <w:rPr>
                <w:rFonts w:ascii="Arial" w:cs="Arial" w:eastAsia="Arial" w:hAnsi="Arial"/>
                <w:sz w:val="13"/>
                <w:szCs w:val="13"/>
                <w:color w:val="auto"/>
              </w:rPr>
              <w:t>155,564</w:t>
            </w:r>
          </w:p>
        </w:tc>
        <w:tc>
          <w:tcPr>
            <w:tcW w:w="220" w:type="dxa"/>
            <w:vAlign w:val="bottom"/>
          </w:tcPr>
          <w:p>
            <w:pPr>
              <w:spacing w:after="0"/>
              <w:rPr>
                <w:sz w:val="16"/>
                <w:szCs w:val="16"/>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311,003</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(100,482 )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(3,446 )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243,666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940" w:type="dxa"/>
            <w:vAlign w:val="bottom"/>
            <w:gridSpan w:val="5"/>
          </w:tcPr>
          <w:p>
            <w:pPr>
              <w:ind w:left="20"/>
              <w:spacing w:after="0"/>
              <w:rPr>
                <w:sz w:val="20"/>
                <w:szCs w:val="20"/>
                <w:color w:val="auto"/>
              </w:rPr>
            </w:pPr>
            <w:r>
              <w:rPr>
                <w:rFonts w:ascii="Arial" w:cs="Arial" w:eastAsia="Arial" w:hAnsi="Arial"/>
                <w:sz w:val="13"/>
                <w:szCs w:val="13"/>
                <w:b w:val="1"/>
                <w:bCs w:val="1"/>
                <w:color w:val="auto"/>
              </w:rPr>
              <w:t>For the Three and Nine Months Ended September 30, 2020</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w w:val="95"/>
              </w:rPr>
              <w:t>Balance as of December 31, 2019 (as restated)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159,150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54,862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346,891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(89,578 )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(2,577 )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309,614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Net income (as restated)</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22,140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22,140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Cumulative effect of adoption of the credit loss</w:t>
            </w: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accounting standard, net of tax</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(694 )</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(694 )</w:t>
            </w: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w w:val="99"/>
              </w:rPr>
              <w:t>Earn-out shares issued to Platinum Stockholder</w:t>
            </w:r>
          </w:p>
        </w:tc>
        <w:tc>
          <w:tcPr>
            <w:tcW w:w="960" w:type="dxa"/>
            <w:vAlign w:val="bottom"/>
          </w:tcPr>
          <w:p>
            <w:pPr>
              <w:jc w:val="right"/>
              <w:spacing w:after="0"/>
              <w:rPr>
                <w:sz w:val="20"/>
                <w:szCs w:val="20"/>
                <w:color w:val="auto"/>
              </w:rPr>
            </w:pPr>
            <w:r>
              <w:rPr>
                <w:rFonts w:ascii="Arial" w:cs="Arial" w:eastAsia="Arial" w:hAnsi="Arial"/>
                <w:sz w:val="13"/>
                <w:szCs w:val="13"/>
                <w:color w:val="auto"/>
              </w:rPr>
              <w:t>2,500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(18,287 )</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18,287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60" w:type="dxa"/>
            <w:vAlign w:val="bottom"/>
            <w:gridSpan w:val="3"/>
          </w:tcPr>
          <w:p>
            <w:pPr>
              <w:ind w:left="20"/>
              <w:spacing w:after="0"/>
              <w:rPr>
                <w:sz w:val="20"/>
                <w:szCs w:val="20"/>
                <w:color w:val="auto"/>
              </w:rPr>
            </w:pPr>
            <w:r>
              <w:rPr>
                <w:rFonts w:ascii="Arial" w:cs="Arial" w:eastAsia="Arial" w:hAnsi="Arial"/>
                <w:sz w:val="13"/>
                <w:szCs w:val="13"/>
                <w:color w:val="auto"/>
                <w:w w:val="99"/>
              </w:rPr>
              <w:t>Payment of employee tax withholding related to</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(327 )</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(327 )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(3,367 )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(3,367 )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2020 (as restated)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161,692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367,619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(68,132 )</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(5,944 )</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330,134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Net loss (as restated)</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(23,722 )</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(23,722 )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60" w:type="dxa"/>
            <w:vAlign w:val="bottom"/>
            <w:gridSpan w:val="3"/>
          </w:tcPr>
          <w:p>
            <w:pPr>
              <w:ind w:left="20"/>
              <w:spacing w:after="0"/>
              <w:rPr>
                <w:sz w:val="20"/>
                <w:szCs w:val="20"/>
                <w:color w:val="auto"/>
              </w:rPr>
            </w:pPr>
            <w:r>
              <w:rPr>
                <w:rFonts w:ascii="Arial" w:cs="Arial" w:eastAsia="Arial" w:hAnsi="Arial"/>
                <w:sz w:val="13"/>
                <w:szCs w:val="13"/>
                <w:color w:val="auto"/>
                <w:w w:val="99"/>
              </w:rPr>
              <w:t>Payment of employee tax withholding related to</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(25 )</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97"/>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(508 )</w:t>
            </w: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(508 )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2020 (as restated)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161,737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370,865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(91,854 )</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(6,452 )</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309,150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Net income (as restated)</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11,086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Vesting of 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60" w:type="dxa"/>
            <w:vAlign w:val="bottom"/>
            <w:gridSpan w:val="3"/>
          </w:tcPr>
          <w:p>
            <w:pPr>
              <w:ind w:left="20"/>
              <w:spacing w:after="0"/>
              <w:rPr>
                <w:sz w:val="20"/>
                <w:szCs w:val="20"/>
                <w:color w:val="auto"/>
              </w:rPr>
            </w:pPr>
            <w:r>
              <w:rPr>
                <w:rFonts w:ascii="Arial" w:cs="Arial" w:eastAsia="Arial" w:hAnsi="Arial"/>
                <w:sz w:val="13"/>
                <w:szCs w:val="13"/>
                <w:color w:val="auto"/>
                <w:w w:val="99"/>
              </w:rPr>
              <w:t>Payment of employee tax withholding related to</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RSUs vesting</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(134 )</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(134 )</w:t>
            </w:r>
          </w:p>
        </w:tc>
        <w:tc>
          <w:tcPr>
            <w:tcW w:w="0" w:type="dxa"/>
            <w:vAlign w:val="bottom"/>
          </w:tcPr>
          <w:p>
            <w:pPr>
              <w:spacing w:after="0"/>
              <w:rPr>
                <w:sz w:val="1"/>
                <w:szCs w:val="1"/>
                <w:color w:val="auto"/>
              </w:rPr>
            </w:pPr>
          </w:p>
        </w:tc>
      </w:tr>
      <w:tr>
        <w:trPr>
          <w:trHeight w:val="211"/>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60" w:type="dxa"/>
            <w:vAlign w:val="bottom"/>
            <w:gridSpan w:val="3"/>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w w:val="93"/>
              </w:rPr>
              <w:t>Balance as of September 30, 2020 (as restated)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161,770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373,884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(80,768 )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(3,985 )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325,722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-4591050</wp:posOffset>
            </wp:positionV>
            <wp:extent cx="1454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-4591050</wp:posOffset>
            </wp:positionV>
            <wp:extent cx="13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-4591050</wp:posOffset>
            </wp:positionV>
            <wp:extent cx="1460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-4591050</wp:posOffset>
            </wp:positionV>
            <wp:extent cx="12890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-4591050</wp:posOffset>
            </wp:positionV>
            <wp:extent cx="1289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-4591050</wp:posOffset>
            </wp:positionV>
            <wp:extent cx="1289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-4591050</wp:posOffset>
            </wp:positionV>
            <wp:extent cx="431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-3519805</wp:posOffset>
            </wp:positionV>
            <wp:extent cx="1454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-3519805</wp:posOffset>
            </wp:positionV>
            <wp:extent cx="1371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-3519805</wp:posOffset>
            </wp:positionV>
            <wp:extent cx="146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-3519805</wp:posOffset>
            </wp:positionV>
            <wp:extent cx="1289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-3519805</wp:posOffset>
            </wp:positionV>
            <wp:extent cx="1289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-3519805</wp:posOffset>
            </wp:positionV>
            <wp:extent cx="1289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-3519805</wp:posOffset>
            </wp:positionV>
            <wp:extent cx="431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-25400</wp:posOffset>
            </wp:positionV>
            <wp:extent cx="1454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-8255</wp:posOffset>
            </wp:positionV>
            <wp:extent cx="1454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-25400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1460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1460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128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128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-25400</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62"/>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restated)</w:t>
            </w: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22,383</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r>
      <w:tr>
        <w:trPr>
          <w:trHeight w:val="263"/>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84,756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87,828</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Amortization of deferred financing costs and discounts</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private placement warrants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(11,533 )</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Tax receivable agreement liability adjustment</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Credit loss expense</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(8,677 )</w:t>
            </w: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(3,920 )</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Gain from third-party insurance proceeds</w:t>
            </w:r>
          </w:p>
        </w:tc>
        <w:tc>
          <w:tcPr>
            <w:tcW w:w="96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(1,400 )</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(5,442 )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(58,913 )</w:t>
            </w: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Unbilled receivables</w:t>
            </w: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(5,655 )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(5,014 )</w:t>
            </w: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15,596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(15,134 )</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liabilities</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(1,717 )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(3,669 )</w:t>
            </w:r>
          </w:p>
        </w:tc>
      </w:tr>
      <w:tr>
        <w:trPr>
          <w:trHeight w:val="243"/>
        </w:trPr>
        <w:tc>
          <w:tcPr>
            <w:tcW w:w="764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129,284</w:t>
            </w:r>
          </w:p>
        </w:tc>
        <w:tc>
          <w:tcPr>
            <w:tcW w:w="28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44,350</w:t>
            </w: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Acquisition of business, net of cash and restricted cash acquired</w:t>
            </w: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(107,004 )</w:t>
            </w:r>
          </w:p>
        </w:tc>
        <w:tc>
          <w:tcPr>
            <w:tcW w:w="2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7"/>
              </w:rPr>
              <w:t>(15,633 )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(18,317 )</w:t>
            </w:r>
          </w:p>
        </w:tc>
      </w:tr>
      <w:tr>
        <w:trPr>
          <w:trHeight w:val="256"/>
        </w:trPr>
        <w:tc>
          <w:tcPr>
            <w:tcW w:w="20" w:type="dxa"/>
            <w:vAlign w:val="bottom"/>
          </w:tcPr>
          <w:p>
            <w:pPr>
              <w:spacing w:after="0"/>
              <w:rPr>
                <w:sz w:val="22"/>
                <w:szCs w:val="22"/>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Cash proceeds from the sale of assets</w:t>
            </w:r>
          </w:p>
        </w:tc>
        <w:tc>
          <w:tcPr>
            <w:tcW w:w="9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r>
      <w:tr>
        <w:trPr>
          <w:trHeight w:val="250"/>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5"/>
              </w:rPr>
              <w:t>(122,412 )</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(18,250 )</w:t>
            </w:r>
          </w:p>
        </w:tc>
      </w:tr>
      <w:tr>
        <w:trPr>
          <w:trHeight w:val="250"/>
        </w:trPr>
        <w:tc>
          <w:tcPr>
            <w:tcW w:w="764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Borrowings of long-term debt</w:t>
            </w:r>
          </w:p>
        </w:tc>
        <w:tc>
          <w:tcPr>
            <w:tcW w:w="9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996,750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Repayment of long-term debt</w:t>
            </w: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(882,905 )</w:t>
            </w: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(26,503 )</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Payment of debt issuance costs</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(6,628 )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(960 )</w:t>
            </w: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Payment of debt extinguishment costs</w:t>
            </w:r>
          </w:p>
        </w:tc>
        <w:tc>
          <w:tcPr>
            <w:tcW w:w="9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(1,066 )</w:t>
            </w:r>
          </w:p>
        </w:tc>
        <w:tc>
          <w:tcPr>
            <w:tcW w:w="2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Share repurchase and retirement</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5"/>
              </w:rPr>
              <w:t>(100,000 )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62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shd w:val="clear" w:color="auto" w:fill="CFF0FC"/>
          </w:tcPr>
          <w:p>
            <w:pPr>
              <w:spacing w:after="0"/>
              <w:rPr>
                <w:sz w:val="22"/>
                <w:szCs w:val="22"/>
                <w:color w:val="auto"/>
              </w:rPr>
            </w:pPr>
          </w:p>
        </w:tc>
        <w:tc>
          <w:tcPr>
            <w:tcW w:w="76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Payment of employee tax withholding related to RSUs vesting</w:t>
            </w:r>
          </w:p>
        </w:tc>
        <w:tc>
          <w:tcPr>
            <w:tcW w:w="9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(924 )</w:t>
            </w:r>
          </w:p>
        </w:tc>
        <w:tc>
          <w:tcPr>
            <w:tcW w:w="2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(486 )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(27,949 )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(1,907 )</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(874 )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10,300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(2,723 )</w:t>
            </w:r>
          </w:p>
        </w:tc>
      </w:tr>
      <w:tr>
        <w:trPr>
          <w:trHeight w:val="263"/>
        </w:trPr>
        <w:tc>
          <w:tcPr>
            <w:tcW w:w="76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9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120,892</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131,192</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129,707</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-3168015</wp:posOffset>
            </wp:positionV>
            <wp:extent cx="1803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-3168015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-870585</wp:posOffset>
            </wp:positionV>
            <wp:extent cx="1803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-527685</wp:posOffset>
            </wp:positionV>
            <wp:extent cx="1803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060" w:type="dxa"/>
            <w:vAlign w:val="bottom"/>
          </w:tcPr>
          <w:p>
            <w:pPr>
              <w:ind w:left="68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cash flow information:</w:t>
            </w:r>
          </w:p>
        </w:tc>
        <w:tc>
          <w:tcPr>
            <w:tcW w:w="106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18,803</w:t>
            </w:r>
          </w:p>
        </w:tc>
        <w:tc>
          <w:tcPr>
            <w:tcW w:w="13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28,200</w:t>
            </w:r>
          </w:p>
        </w:tc>
        <w:tc>
          <w:tcPr>
            <w:tcW w:w="8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paid, net of refunds</w:t>
            </w:r>
          </w:p>
        </w:tc>
        <w:tc>
          <w:tcPr>
            <w:tcW w:w="10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14,503</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w:t>
            </w:r>
          </w:p>
        </w:tc>
        <w:tc>
          <w:tcPr>
            <w:tcW w:w="8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Supplemental non-cash investing and financing activities:</w:t>
            </w: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Purchases of installation and service parts and property and equipment in accounts payable and</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 at period-end</w:t>
            </w:r>
          </w:p>
        </w:tc>
        <w:tc>
          <w:tcPr>
            <w:tcW w:w="10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80" w:type="dxa"/>
            <w:vAlign w:val="bottom"/>
            <w:shd w:val="clear" w:color="auto" w:fill="CFF0FC"/>
          </w:tcPr>
          <w:p>
            <w:pPr>
              <w:spacing w:after="0"/>
              <w:rPr>
                <w:sz w:val="21"/>
                <w:szCs w:val="21"/>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Additions related to asset retirement obligations, property and equipment, and other</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Earn-out shares issued to Platinum Stockholder</w:t>
            </w:r>
          </w:p>
        </w:tc>
        <w:tc>
          <w:tcPr>
            <w:tcW w:w="10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18,287</w:t>
            </w:r>
          </w:p>
        </w:tc>
        <w:tc>
          <w:tcPr>
            <w:tcW w:w="80" w:type="dxa"/>
            <w:vAlign w:val="bottom"/>
            <w:shd w:val="clear" w:color="auto" w:fill="CFF0FC"/>
          </w:tcPr>
          <w:p>
            <w:pPr>
              <w:spacing w:after="0"/>
              <w:rPr>
                <w:sz w:val="22"/>
                <w:szCs w:val="22"/>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Verra Mobility offers integrated technology solutions and services to commercial fleets, rental car companies, state and local governments domestically, and government agencies internationally. The Company has customers located throughout the world, primarily within the United States, Australia, Europe and Canada. The Company is organized into two operating segments: Commercial Services and Government Solutions (see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185"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6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Government Solutions segment offers photo enforcement solutions and services to its customers. Through its acquisition of Redflex Holdings Limited (“</w:t>
      </w:r>
      <w:r>
        <w:rPr>
          <w:rFonts w:ascii="Arial" w:cs="Arial" w:eastAsia="Arial" w:hAnsi="Arial"/>
          <w:sz w:val="16"/>
          <w:szCs w:val="16"/>
          <w:b w:val="1"/>
          <w:bCs w:val="1"/>
          <w:i w:val="1"/>
          <w:iCs w:val="1"/>
          <w:color w:val="auto"/>
        </w:rPr>
        <w:t>Redflex</w:t>
      </w:r>
      <w:r>
        <w:rPr>
          <w:rFonts w:ascii="Arial" w:cs="Arial" w:eastAsia="Arial" w:hAnsi="Arial"/>
          <w:sz w:val="16"/>
          <w:szCs w:val="16"/>
          <w:color w:val="auto"/>
        </w:rPr>
        <w:t xml:space="preserve">”) on June 17, 2021, the Company expanded its current footprint in the United States and gained access to international markets (see Note 3. </w:t>
      </w:r>
      <w:r>
        <w:rPr>
          <w:rFonts w:ascii="Arial" w:cs="Arial" w:eastAsia="Arial" w:hAnsi="Arial"/>
          <w:sz w:val="16"/>
          <w:szCs w:val="16"/>
          <w:i w:val="1"/>
          <w:iCs w:val="1"/>
          <w:color w:val="auto"/>
        </w:rPr>
        <w:t>Aquisition</w:t>
      </w:r>
      <w:r>
        <w:rPr>
          <w:rFonts w:ascii="Arial" w:cs="Arial" w:eastAsia="Arial" w:hAnsi="Arial"/>
          <w:sz w:val="16"/>
          <w:szCs w:val="16"/>
          <w:color w:val="auto"/>
        </w:rPr>
        <w:t>).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newly acquired international operations through Redflex primarily involve the sale of traffic enforcement products and related maintenance services.</w:t>
      </w:r>
    </w:p>
    <w:p>
      <w:pPr>
        <w:spacing w:after="0" w:line="26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3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Previously Issued Condensed Consolidated Financial Statements</w:t>
      </w:r>
    </w:p>
    <w:p>
      <w:pPr>
        <w:spacing w:after="0" w:line="13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notes included herein should be read in conjunction with the Company’s restated audited consolidated financial statements included in the Company’s Annual Report on Form 10-K/A filed with the SEC on May 17,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both"/>
        <w:ind w:firstLine="749"/>
        <w:spacing w:after="0" w:line="279" w:lineRule="auto"/>
        <w:rPr>
          <w:sz w:val="20"/>
          <w:szCs w:val="20"/>
          <w:color w:val="auto"/>
        </w:rPr>
      </w:pPr>
      <w:r>
        <w:rPr>
          <w:rFonts w:ascii="Arial" w:cs="Arial" w:eastAsia="Arial" w:hAnsi="Arial"/>
          <w:sz w:val="18"/>
          <w:szCs w:val="18"/>
          <w:color w:val="auto"/>
        </w:rPr>
        <w:t>The Company restated its previously issued consolidated financial statements as of December 31, 2020 and 2019 and for the years ended December 31, 2020, 2019 and 2018 and the related quarterly financial information to reflect adjustments resulting from changes to our accounting for private placement warrants.</w:t>
      </w:r>
    </w:p>
    <w:p>
      <w:pPr>
        <w:spacing w:after="0" w:line="18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impact of the restatement was increases of $4.4 million for the three months ended September 30, 2020 and $11.5 million for the nine months ended September 30, 2020 to net income, and an increase to private placement warrant liabilities of $18.2 million as of September 30, 2020, with offsetting decreases of $20.4 million to additional paid-in capital and $2.2 million to accumulated deficit line items. There was no net cash impact to the condensed consolidated statements of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condensed consolidated financial statements and accompanying notes. Significant items subject to such estimates and assumptions include the fair values assigned to net assets acquired (including identifiable intangible assets) in business combinations, the carrying amounts of inventory, long-lived assets and goodwill, the allowance for credit loss, fair value of private placement warrant liabilities, valuation allowances on deferred tax assets, asset retirement obligations, contingent consideration and the recognition and measurement of loss contingencies.</w:t>
      </w:r>
    </w:p>
    <w:p>
      <w:pPr>
        <w:spacing w:after="0" w:line="160"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Significant customers are those which represent more than 10% of the Company’s total revenue or accounts receivable. Revenue from the single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Solutions customer exceeding 10% as a percent of total revenue is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r>
      <w:tr>
        <w:trPr>
          <w:trHeight w:val="256"/>
        </w:trPr>
        <w:tc>
          <w:tcPr>
            <w:tcW w:w="5460" w:type="dxa"/>
            <w:vAlign w:val="bottom"/>
            <w:gridSpan w:val="2"/>
            <w:shd w:val="clear" w:color="auto" w:fill="CFF0FC"/>
          </w:tcPr>
          <w:p>
            <w:pPr>
              <w:jc w:val="right"/>
              <w:ind w:right="1888"/>
              <w:spacing w:after="0"/>
              <w:rPr>
                <w:sz w:val="20"/>
                <w:szCs w:val="20"/>
                <w:color w:val="auto"/>
              </w:rPr>
            </w:pPr>
            <w:r>
              <w:rPr>
                <w:rFonts w:ascii="Arial" w:cs="Arial" w:eastAsia="Arial" w:hAnsi="Arial"/>
                <w:sz w:val="18"/>
                <w:szCs w:val="18"/>
                <w:color w:val="auto"/>
                <w:w w:val="93"/>
              </w:rPr>
              <w:t>City of New York Department of Transportation</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25.5 %</w:t>
            </w:r>
          </w:p>
        </w:tc>
        <w:tc>
          <w:tcPr>
            <w:tcW w:w="9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6"/>
              </w:rPr>
              <w:t>32.7 %</w:t>
            </w: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25.6 %</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32.0 %</w:t>
            </w:r>
          </w:p>
        </w:tc>
      </w:tr>
    </w:tbl>
    <w:p>
      <w:pPr>
        <w:spacing w:after="0" w:line="26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As of September 30, 2021, the City of New York Department of Transportation (“</w:t>
      </w:r>
      <w:r>
        <w:rPr>
          <w:rFonts w:ascii="Arial" w:cs="Arial" w:eastAsia="Arial" w:hAnsi="Arial"/>
          <w:sz w:val="17"/>
          <w:szCs w:val="17"/>
          <w:b w:val="1"/>
          <w:bCs w:val="1"/>
          <w:i w:val="1"/>
          <w:iCs w:val="1"/>
          <w:color w:val="auto"/>
        </w:rPr>
        <w:t>NYCDOT</w:t>
      </w:r>
      <w:r>
        <w:rPr>
          <w:rFonts w:ascii="Arial" w:cs="Arial" w:eastAsia="Arial" w:hAnsi="Arial"/>
          <w:sz w:val="17"/>
          <w:szCs w:val="17"/>
          <w:color w:val="auto"/>
        </w:rPr>
        <w:t>”) represented 46.3% of total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(ii) an emergency contract for the purchase, installation, maintenance and operation of the expanded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At September 30, 2021, the Legacy Contract had an open receivable balance of $16.1 million, of which $7.6 million had aged beyond NYCDOT’s 45-day payment terms. As of September 30, 2021, the Company had invoiced NYCDOT for $80.9 million in product revenue and $48.8 million in service revenue under the Emergency Contract, and the Emergency Contract had an open receivables balance of $64.8 million, of which $41.6 million had aged beyond the 45-day payment terms. The total outstanding receivables balance decreased $46.2 million at September 30, 2021 compared to the outstanding balance at June 30, 2021 as the Company collected $87.5 million during the third quarter of 2021 related to both contracts. There is no material reserve related to open receivables as amounts are deemed collectible based on current conditions and expectations. No other Government Solutions customer exceeded 10% of total accounts receivable, net as of any period presented.</w:t>
      </w:r>
    </w:p>
    <w:p>
      <w:pPr>
        <w:spacing w:after="0" w:line="17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Significant customer revenue concentrations generated through the Company’s Commercial Services partners as a percent of total revenue is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r>
      <w:tr>
        <w:trPr>
          <w:trHeight w:val="256"/>
        </w:trPr>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Hertz Corporation</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12.9 %</w:t>
            </w:r>
          </w:p>
        </w:tc>
        <w:tc>
          <w:tcPr>
            <w:tcW w:w="9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6"/>
              </w:rPr>
              <w:t>10.4 %</w:t>
            </w: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13.2 %</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12.1 %</w:t>
            </w:r>
          </w:p>
        </w:tc>
      </w:tr>
      <w:tr>
        <w:trPr>
          <w:trHeight w:val="25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Avis Budget Group, Inc.</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13.5 %</w:t>
            </w:r>
          </w:p>
        </w:tc>
        <w:tc>
          <w:tcPr>
            <w:tcW w:w="9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9.3 %</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12.8 %</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9.5 %</w:t>
            </w:r>
          </w:p>
        </w:tc>
      </w:tr>
      <w:tr>
        <w:trPr>
          <w:trHeight w:val="263"/>
        </w:trPr>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Enterprise Holdings, Inc.</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10.9 %</w:t>
            </w:r>
          </w:p>
        </w:tc>
        <w:tc>
          <w:tcPr>
            <w:tcW w:w="9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6"/>
              </w:rPr>
              <w:t>13.4 %</w:t>
            </w: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12.4 %</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10.9 %</w:t>
            </w: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Commercial Services customer exceeded 10% of total accounts receivable as of any period presented.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w:t>
      </w:r>
    </w:p>
    <w:p>
      <w:pPr>
        <w:spacing w:after="0" w:line="13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Company reviews historical credit losses and customer payment trends on receivables and develops loss rate estimates as of the balance sheet date, which includes adjustments for future expectations using probability-weighted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8"/>
          <w:szCs w:val="18"/>
          <w:color w:val="auto"/>
        </w:rPr>
        <w:t>assumptions about potential outcomes. Receivables are written off against the allowance for credit loss when it is probable that amounts will not be collected based on the terms of the customer contracts, and subsequent recoveries reverse the previous write-off and apply to the receivable in the period recovered. No interest or late fees are charged on delinquent accounts.</w:t>
      </w:r>
    </w:p>
    <w:p>
      <w:pPr>
        <w:spacing w:after="0" w:line="183"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7"/>
          <w:szCs w:val="17"/>
          <w:color w:val="auto"/>
        </w:rPr>
        <w:t>The Company identified portfolio segments based on the type of business, industry in which the customer operates and historical credit loss patterns. The following presents the activity in the allowance for credit loss for the nine months ended September 30,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74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Commercial Services</w:t>
            </w:r>
          </w:p>
        </w:tc>
        <w:tc>
          <w:tcPr>
            <w:tcW w:w="220" w:type="dxa"/>
            <w:vAlign w:val="bottom"/>
          </w:tcPr>
          <w:p>
            <w:pPr>
              <w:spacing w:after="0"/>
              <w:rPr>
                <w:sz w:val="13"/>
                <w:szCs w:val="13"/>
                <w:color w:val="auto"/>
              </w:rPr>
            </w:pPr>
          </w:p>
        </w:tc>
        <w:tc>
          <w:tcPr>
            <w:tcW w:w="156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3"/>
                <w:szCs w:val="13"/>
                <w:color w:val="auto"/>
              </w:rPr>
            </w:pPr>
          </w:p>
        </w:tc>
        <w:tc>
          <w:tcPr>
            <w:tcW w:w="14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4"/>
              </w:rPr>
              <w:t>Government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458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6"/>
                <w:szCs w:val="16"/>
                <w:color w:val="auto"/>
              </w:rPr>
            </w:pPr>
          </w:p>
        </w:tc>
        <w:tc>
          <w:tcPr>
            <w:tcW w:w="1600" w:type="dxa"/>
            <w:vAlign w:val="bottom"/>
            <w:gridSpan w:val="2"/>
          </w:tcPr>
          <w:p>
            <w:pPr>
              <w:jc w:val="center"/>
              <w:ind w:right="440"/>
              <w:spacing w:after="0" w:line="191" w:lineRule="exact"/>
              <w:rPr>
                <w:sz w:val="20"/>
                <w:szCs w:val="20"/>
                <w:color w:val="auto"/>
              </w:rPr>
            </w:pPr>
            <w:r>
              <w:rPr>
                <w:rFonts w:ascii="Arial" w:cs="Arial" w:eastAsia="Arial" w:hAnsi="Arial"/>
                <w:sz w:val="14"/>
                <w:szCs w:val="14"/>
                <w:b w:val="1"/>
                <w:bCs w:val="1"/>
                <w:color w:val="auto"/>
                <w:w w:val="94"/>
              </w:rPr>
              <w:t xml:space="preserve">(Driver-billed) </w:t>
            </w:r>
            <w:r>
              <w:rPr>
                <w:rFonts w:ascii="Arial" w:cs="Arial" w:eastAsia="Arial" w:hAnsi="Arial"/>
                <w:sz w:val="19"/>
                <w:szCs w:val="19"/>
                <w:b w:val="1"/>
                <w:bCs w:val="1"/>
                <w:color w:val="auto"/>
                <w:w w:val="94"/>
                <w:vertAlign w:val="superscript"/>
              </w:rPr>
              <w:t>(1)</w:t>
            </w:r>
          </w:p>
        </w:tc>
        <w:tc>
          <w:tcPr>
            <w:tcW w:w="22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(All other)</w:t>
            </w:r>
          </w:p>
        </w:tc>
        <w:tc>
          <w:tcPr>
            <w:tcW w:w="20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32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45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shd w:val="clear" w:color="auto" w:fill="CFF0FC"/>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Credit loss expense</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7,944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(820 )</w:t>
            </w:r>
          </w:p>
        </w:tc>
        <w:tc>
          <w:tcPr>
            <w:tcW w:w="2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(408 )</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1"/>
                <w:szCs w:val="21"/>
                <w:color w:val="auto"/>
              </w:rPr>
            </w:pPr>
          </w:p>
        </w:tc>
      </w:tr>
      <w:tr>
        <w:trPr>
          <w:trHeight w:val="257"/>
        </w:trPr>
        <w:tc>
          <w:tcPr>
            <w:tcW w:w="20" w:type="dxa"/>
            <w:vAlign w:val="bottom"/>
            <w:shd w:val="clear" w:color="auto" w:fill="CFF0FC"/>
          </w:tcPr>
          <w:p>
            <w:pPr>
              <w:spacing w:after="0"/>
              <w:rPr>
                <w:sz w:val="22"/>
                <w:szCs w:val="22"/>
                <w:color w:val="auto"/>
              </w:rPr>
            </w:pPr>
          </w:p>
        </w:tc>
        <w:tc>
          <w:tcPr>
            <w:tcW w:w="45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Write-offs, net of recoveries</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(3,446 )</w:t>
            </w:r>
          </w:p>
        </w:tc>
        <w:tc>
          <w:tcPr>
            <w:tcW w:w="2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(45 )</w:t>
            </w: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(21 )</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(3,512 )</w:t>
            </w:r>
          </w:p>
        </w:tc>
      </w:tr>
      <w:tr>
        <w:trPr>
          <w:trHeight w:val="250"/>
        </w:trPr>
        <w:tc>
          <w:tcPr>
            <w:tcW w:w="20" w:type="dxa"/>
            <w:vAlign w:val="bottom"/>
            <w:tcBorders>
              <w:top w:val="single" w:sz="8" w:color="CFF0FC"/>
            </w:tcBorders>
          </w:tcPr>
          <w:p>
            <w:pPr>
              <w:spacing w:after="0"/>
              <w:rPr>
                <w:sz w:val="21"/>
                <w:szCs w:val="21"/>
                <w:color w:val="auto"/>
              </w:rPr>
            </w:pPr>
          </w:p>
        </w:tc>
        <w:tc>
          <w:tcPr>
            <w:tcW w:w="456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100" w:type="dxa"/>
            <w:vAlign w:val="bottom"/>
            <w:tcBorders>
              <w:top w:val="single" w:sz="8" w:color="CFF0FC"/>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740" w:type="dxa"/>
            <w:vAlign w:val="bottom"/>
            <w:gridSpan w:val="3"/>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Commercial Services</w:t>
            </w:r>
          </w:p>
        </w:tc>
        <w:tc>
          <w:tcPr>
            <w:tcW w:w="220" w:type="dxa"/>
            <w:vAlign w:val="bottom"/>
          </w:tcPr>
          <w:p>
            <w:pPr>
              <w:spacing w:after="0"/>
              <w:rPr>
                <w:sz w:val="13"/>
                <w:szCs w:val="13"/>
                <w:color w:val="auto"/>
              </w:rPr>
            </w:pPr>
          </w:p>
        </w:tc>
        <w:tc>
          <w:tcPr>
            <w:tcW w:w="156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3"/>
                <w:szCs w:val="13"/>
                <w:color w:val="auto"/>
              </w:rPr>
            </w:pPr>
          </w:p>
        </w:tc>
        <w:tc>
          <w:tcPr>
            <w:tcW w:w="144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4"/>
              </w:rPr>
              <w:t>Government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458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6"/>
                <w:szCs w:val="16"/>
                <w:color w:val="auto"/>
              </w:rPr>
            </w:pPr>
          </w:p>
        </w:tc>
        <w:tc>
          <w:tcPr>
            <w:tcW w:w="1600" w:type="dxa"/>
            <w:vAlign w:val="bottom"/>
            <w:gridSpan w:val="2"/>
          </w:tcPr>
          <w:p>
            <w:pPr>
              <w:jc w:val="center"/>
              <w:ind w:right="440"/>
              <w:spacing w:after="0" w:line="191" w:lineRule="exact"/>
              <w:rPr>
                <w:sz w:val="20"/>
                <w:szCs w:val="20"/>
                <w:color w:val="auto"/>
              </w:rPr>
            </w:pPr>
            <w:r>
              <w:rPr>
                <w:rFonts w:ascii="Arial" w:cs="Arial" w:eastAsia="Arial" w:hAnsi="Arial"/>
                <w:sz w:val="14"/>
                <w:szCs w:val="14"/>
                <w:b w:val="1"/>
                <w:bCs w:val="1"/>
                <w:color w:val="auto"/>
                <w:w w:val="94"/>
              </w:rPr>
              <w:t xml:space="preserve">(Driver-billed) </w:t>
            </w:r>
            <w:r>
              <w:rPr>
                <w:rFonts w:ascii="Arial" w:cs="Arial" w:eastAsia="Arial" w:hAnsi="Arial"/>
                <w:sz w:val="19"/>
                <w:szCs w:val="19"/>
                <w:b w:val="1"/>
                <w:bCs w:val="1"/>
                <w:color w:val="auto"/>
                <w:w w:val="94"/>
                <w:vertAlign w:val="superscript"/>
              </w:rPr>
              <w:t>(1)</w:t>
            </w:r>
          </w:p>
        </w:tc>
        <w:tc>
          <w:tcPr>
            <w:tcW w:w="22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(All other)</w:t>
            </w:r>
          </w:p>
        </w:tc>
        <w:tc>
          <w:tcPr>
            <w:tcW w:w="20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Solutions</w:t>
            </w:r>
          </w:p>
        </w:tc>
        <w:tc>
          <w:tcPr>
            <w:tcW w:w="32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4560" w:type="dxa"/>
            <w:vAlign w:val="bottom"/>
            <w:gridSpan w:val="2"/>
            <w:shd w:val="clear" w:color="auto" w:fill="CFF0FC"/>
          </w:tcPr>
          <w:p>
            <w:pPr>
              <w:ind w:left="100"/>
              <w:spacing w:after="0" w:line="237" w:lineRule="exact"/>
              <w:rPr>
                <w:sz w:val="20"/>
                <w:szCs w:val="20"/>
                <w:color w:val="auto"/>
              </w:rPr>
            </w:pPr>
            <w:r>
              <w:rPr>
                <w:rFonts w:ascii="Arial" w:cs="Arial" w:eastAsia="Arial" w:hAnsi="Arial"/>
                <w:sz w:val="18"/>
                <w:szCs w:val="18"/>
                <w:color w:val="auto"/>
              </w:rPr>
              <w:t xml:space="preserve">Balance at January 1, 2020 </w:t>
            </w:r>
            <w:r>
              <w:rPr>
                <w:rFonts w:ascii="Arial" w:cs="Arial" w:eastAsia="Arial" w:hAnsi="Arial"/>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00" w:type="dxa"/>
            <w:vAlign w:val="bottom"/>
            <w:shd w:val="clear" w:color="auto" w:fill="CFF0FC"/>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Credit loss expense</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4,063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21"/>
                <w:szCs w:val="21"/>
                <w:color w:val="auto"/>
              </w:rPr>
            </w:pPr>
          </w:p>
        </w:tc>
      </w:tr>
      <w:tr>
        <w:trPr>
          <w:trHeight w:val="257"/>
        </w:trPr>
        <w:tc>
          <w:tcPr>
            <w:tcW w:w="20" w:type="dxa"/>
            <w:vAlign w:val="bottom"/>
            <w:shd w:val="clear" w:color="auto" w:fill="CFF0FC"/>
          </w:tcPr>
          <w:p>
            <w:pPr>
              <w:spacing w:after="0"/>
              <w:rPr>
                <w:sz w:val="22"/>
                <w:szCs w:val="22"/>
                <w:color w:val="auto"/>
              </w:rPr>
            </w:pPr>
          </w:p>
        </w:tc>
        <w:tc>
          <w:tcPr>
            <w:tcW w:w="45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Write-offs, net of recoveries</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(7,967 )</w:t>
            </w:r>
          </w:p>
        </w:tc>
        <w:tc>
          <w:tcPr>
            <w:tcW w:w="2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(344 )</w:t>
            </w: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(627 )</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(8,938 )</w:t>
            </w:r>
          </w:p>
        </w:tc>
      </w:tr>
      <w:tr>
        <w:trPr>
          <w:trHeight w:val="250"/>
        </w:trPr>
        <w:tc>
          <w:tcPr>
            <w:tcW w:w="20" w:type="dxa"/>
            <w:vAlign w:val="bottom"/>
            <w:tcBorders>
              <w:top w:val="single" w:sz="8" w:color="CFF0FC"/>
            </w:tcBorders>
          </w:tcPr>
          <w:p>
            <w:pPr>
              <w:spacing w:after="0"/>
              <w:rPr>
                <w:sz w:val="21"/>
                <w:szCs w:val="21"/>
                <w:color w:val="auto"/>
              </w:rPr>
            </w:pPr>
          </w:p>
        </w:tc>
        <w:tc>
          <w:tcPr>
            <w:tcW w:w="456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color w:val="auto"/>
              </w:rPr>
              <w:t>Balance at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100" w:type="dxa"/>
            <w:vAlign w:val="bottom"/>
            <w:tcBorders>
              <w:top w:val="single" w:sz="8" w:color="CFF0FC"/>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-1419225</wp:posOffset>
            </wp:positionV>
            <wp:extent cx="1803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-1419225</wp:posOffset>
            </wp:positionV>
            <wp:extent cx="1714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-1419225</wp:posOffset>
            </wp:positionV>
            <wp:extent cx="1543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-193675</wp:posOffset>
            </wp:positionV>
            <wp:extent cx="1803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-193675</wp:posOffset>
            </wp:positionV>
            <wp:extent cx="1714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-193675</wp:posOffset>
            </wp:positionV>
            <wp:extent cx="15430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ind w:left="1080" w:hanging="323"/>
        <w:spacing w:after="0" w:line="27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20" w:lineRule="exact"/>
        <w:rPr>
          <w:rFonts w:ascii="Arial" w:cs="Arial" w:eastAsia="Arial" w:hAnsi="Arial"/>
          <w:sz w:val="18"/>
          <w:szCs w:val="18"/>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includes a $0.8 million increase to the allowance for credit loss as a result of adopting the credit loss standard.</w:t>
      </w:r>
    </w:p>
    <w:p>
      <w:pPr>
        <w:spacing w:after="0" w:line="23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The Company adjusted down its estimate for credit loss as of September 30, 2021 for the Commercial Services (All other) segment to reflect improved economic conditions based on customer payment trends in the last 12 months. The credit loss estimate as of September 30, 2020 was based on higher probabilities of loss given the uncertainty caused by COVID-19 on the travel industry. The Commercial Services (Driver-billed) portfolio segment's credit loss estimate as of September 30, 2021 increased compared to the prior year due to increased revenue that impacted the volume of transactions as a result of recovery from COVID-19. The Commercial Services (Driver-billed) write-offs, net of recoveries decreased $4.5 million during the nine months ended September 30, 2021 compared to same period in 2020. Write-offs during the 2021 period correlate to the lower volume of administrative fees on tolls and violations recognized as revenue during 2020 while the write-offs during the 2020 period correlate to the higher volume of administrative fees on tolls and violations recognized as revenue in 2019.</w:t>
      </w:r>
    </w:p>
    <w:p>
      <w:pPr>
        <w:spacing w:after="0" w:line="18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Company evaluates the adequacy of its allowance for expected credit losses by comparing its actual historical write-offs to its previously recorded estimates and adjusts appropriately.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Sale of Traffic Management Systems</w:t>
      </w:r>
    </w:p>
    <w:p>
      <w:pPr>
        <w:spacing w:after="0" w:line="14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Revenue from Redflex international customers in our Government Solutions segment where the Company provides equipment accompanied by systems development integration and installation services is recognized as the Company satisfies its performance obligations. The measure of progress of satisfying these performance obligations is based on the percentage-of-completion method since it best depicts the transfer of control of assets to the customer, as a single performance obligation over the contract term. Under this method, revenue is recognized based on the percentage of costs incurred (most notably material and labor) on projects at the reporting date relative to the total estimated costs for each contract. Where the contract outcome cannot be reliably measured, revenue is recognized only to the extent that costs have been incurred and are recoverable.</w:t>
      </w:r>
    </w:p>
    <w:p>
      <w:pPr>
        <w:spacing w:after="0" w:line="163" w:lineRule="exact"/>
        <w:rPr>
          <w:sz w:val="20"/>
          <w:szCs w:val="20"/>
          <w:color w:val="auto"/>
        </w:rPr>
      </w:pPr>
    </w:p>
    <w:p>
      <w:pPr>
        <w:jc w:val="both"/>
        <w:ind w:firstLine="806"/>
        <w:spacing w:after="0" w:line="293" w:lineRule="auto"/>
        <w:rPr>
          <w:sz w:val="20"/>
          <w:szCs w:val="20"/>
          <w:color w:val="auto"/>
        </w:rPr>
      </w:pPr>
      <w:r>
        <w:rPr>
          <w:rFonts w:ascii="Arial" w:cs="Arial" w:eastAsia="Arial" w:hAnsi="Arial"/>
          <w:sz w:val="18"/>
          <w:szCs w:val="18"/>
          <w:color w:val="auto"/>
        </w:rPr>
        <w:t>For the Company’s policy on revenue recognition for all other transactions with customers, refer to the 2020 Annual Report on Form 10-K/A filed on May 17,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Inventories consist of raw materials, parts and electronic components used in the production of photo enforcement equipment sold to certain domestic and international Government Solutions customers. Inventories are stated at lower of cost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8"/>
          <w:szCs w:val="18"/>
          <w:color w:val="auto"/>
        </w:rPr>
        <w:t>or market. The Company writes down inventories to estimated market value upon evaluation of historical experience and assumptions regarding future usage, and any such write down establishes a new cost basis for the items. Inventories are presented within the prepaid and other current assets line item on the condensed consolidated balance sheets and the related footnote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September 30, 2021, there were warrants outstanding to acquire 19,999,967 shares of the Company’s Class A Common Stock including: (i)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6,666,666 warrants originally issued to Gores Sponsor II, LLC in a private placement in connection with the IPO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and</w:t>
      </w:r>
    </w:p>
    <w:p>
      <w:pPr>
        <w:spacing w:after="0" w:line="46" w:lineRule="exact"/>
        <w:rPr>
          <w:sz w:val="20"/>
          <w:szCs w:val="20"/>
          <w:color w:val="auto"/>
        </w:rPr>
      </w:pPr>
    </w:p>
    <w:p>
      <w:pPr>
        <w:jc w:val="both"/>
        <w:ind w:firstLine="8"/>
        <w:spacing w:after="0" w:line="279" w:lineRule="auto"/>
        <w:tabs>
          <w:tab w:leader="none" w:pos="278" w:val="left"/>
        </w:tabs>
        <w:numPr>
          <w:ilvl w:val="0"/>
          <w:numId w:val="6"/>
        </w:numPr>
        <w:rPr>
          <w:rFonts w:ascii="Arial" w:cs="Arial" w:eastAsia="Arial" w:hAnsi="Arial"/>
          <w:sz w:val="18"/>
          <w:szCs w:val="18"/>
          <w:color w:val="auto"/>
        </w:rPr>
      </w:pPr>
      <w:r>
        <w:rPr>
          <w:rFonts w:ascii="Arial" w:cs="Arial" w:eastAsia="Arial" w:hAnsi="Arial"/>
          <w:sz w:val="18"/>
          <w:szCs w:val="18"/>
          <w:color w:val="auto"/>
        </w:rPr>
        <w:t>13,333,301 warrants issued in 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entitle the registered holder to purchase one share of our Class A Common Stock at a price of $11.50 per share, subject to certain adjustments.</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The Company may redeem the outstanding Warrants at a price of $0.01 per warrant, if the last sale price of its Class A Common Stock equals or exceeds $18.00 per share for any 20 trading days within a 30 trading 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19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under FASB ASC 480, Distinguishing Liabilities from Equity (“</w:t>
      </w:r>
      <w:r>
        <w:rPr>
          <w:rFonts w:ascii="Arial" w:cs="Arial" w:eastAsia="Arial" w:hAnsi="Arial"/>
          <w:sz w:val="17"/>
          <w:szCs w:val="17"/>
          <w:b w:val="1"/>
          <w:bCs w:val="1"/>
          <w:i w:val="1"/>
          <w:i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among other conditions for equity classification.</w:t>
      </w:r>
    </w:p>
    <w:p>
      <w:pPr>
        <w:spacing w:after="0" w:line="174"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Public Warrants meet the criteria for equity classification and accordingly, are reported as component of shareholders’ equity while the Company’s Private Placement Warrants do not meet the criteria for equity classification because the holder of the instrument is not an input into the pricing of a fixed-for-fixed option on equity shares and are instead classified as a liability. The fair value of the Private Placement Warrants is estimated at period-end using a Black-Scholes option pricing model. Shares issuable under the Warrants were considered for inclusion in the diluted share count in accordance with GAAP. As the shares issuable under the Warrants are issuable shares when exercised by the holders, they are included when computing diluted income per share, if such exercise is dilutive to income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In August 2018,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2018-13,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The amendments in this update modify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on fair value measurements in Topic 820, Fair Value Measurement.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standard during the first quarter of 2021 and provided relevant disclosures for the private placement warrant liabilities which are a Level 3 measurement, that fall within the scope of the standard. See Note 8. </w:t>
      </w:r>
      <w:r>
        <w:rPr>
          <w:rFonts w:ascii="Arial" w:cs="Arial" w:eastAsia="Arial" w:hAnsi="Arial"/>
          <w:sz w:val="17"/>
          <w:szCs w:val="17"/>
          <w:i w:val="1"/>
          <w:iCs w:val="1"/>
          <w:color w:val="auto"/>
        </w:rPr>
        <w:t>Fair Value of Financial Instruments.</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ASU removes specific exceptions to the general principles in Topic 740 in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8"/>
          <w:szCs w:val="18"/>
          <w:color w:val="auto"/>
        </w:rPr>
        <w:t>transactions with a government that result in a step-up in tax basis of goodwill, separate financial statements of legal entities that are not subject to tax, and enacted changes in tax laws in interim periods. The Company adopted the ASU as of January 1, 2021 which did not have a material impact on the Company’s financial statements or related disclosures.</w:t>
      </w:r>
    </w:p>
    <w:p>
      <w:pPr>
        <w:spacing w:after="0" w:line="18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Contracts in Entity’s Own Equity (Subtopic 815-40): Accounting for Convertible Instruments and Contracts in an Entity’s Own Equity</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calculation in certain areas. The Company early adopted this standard as of January 1, 2021 which did not have an impact on the Company’s financial statements and related disclosures, as the Company had no instruments subject to the standard. If the Company were to issue instruments subject to the standard in the future, such guidance as early adopted by the Company would apply.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31"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 The impact of the implementation of this guidance is still being determined by the Company.</w:t>
      </w:r>
    </w:p>
    <w:p>
      <w:pPr>
        <w:spacing w:after="0" w:line="16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ASU provides guidance for a modification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a freestanding equity-classified written call option that is not within the scope of another Topic. It specifically addresses the treatment, measurement and recognition of the effect of a modification of the terms or conditions or an exchange of a freestanding equity-classified written call option if it remains equity-classified after the modification or exchange. The amendments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The impact of the implementation of this guidance is still being determined by the Company.</w:t>
      </w:r>
    </w:p>
    <w:p>
      <w:pPr>
        <w:spacing w:after="0" w:line="19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which requires entities to apply Topic 606 to recognize and measure contract assets and contract liabilities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 amendments improve comparability after the business combination by providing consistent recognition and measurement guidance for revenue contracts with customers acquired in a business combination and revenue contracts with customers not acquired in a business combination. The amendments are effective for fiscal years, including interim periods within those fiscal years, beginning after December 15, 2022. Early adoption is permitted. The Company is currently evaluating the impact of the implementation of this guidance including the possibility of early adopting the standard in the fourth quarter of 2021.</w:t>
      </w:r>
    </w:p>
    <w:p>
      <w:pPr>
        <w:spacing w:after="0" w:line="29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Redflex Acquisition</w:t>
      </w:r>
    </w:p>
    <w:p>
      <w:pPr>
        <w:spacing w:after="0" w:line="13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On June 17, 2021, the Company completed the acquisition of Redflex, a public company limited by shares, incorporated in Australia and listed on the Australian Securities Exchange. Redflex is a provider of intelligent traffic management products and services that are sold and managed in the Asia Pacific, North America, Europe, and Middle East regions. Redflex develops, manufactures, and operates a wide range of platform-based solutions, utilizing advanced sensor and image capture technologies that enable active management of state and local motorways. The Company has included the financial results of Redflex in the condensed consolidated financial statements from the date of acquisition.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firstLine="749"/>
        <w:spacing w:after="0" w:line="314" w:lineRule="auto"/>
        <w:rPr>
          <w:sz w:val="20"/>
          <w:szCs w:val="20"/>
          <w:color w:val="auto"/>
        </w:rPr>
      </w:pPr>
      <w:r>
        <w:rPr>
          <w:rFonts w:ascii="Arial" w:cs="Arial" w:eastAsia="Arial" w:hAnsi="Arial"/>
          <w:sz w:val="16"/>
          <w:szCs w:val="16"/>
          <w:color w:val="auto"/>
        </w:rPr>
        <w:t>Pursuant to the Scheme Implementation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entered into by the Company and Redflex on January 21, 2021, as amended by the Deed of Amendment and Consent, dated April 30, 2021, VM Consolidated, Inc., an indirect wholly owned subsidiary of the Company, purchased one hundred percent of the outstanding equity of Redflex at A$0.96 per share at consideration of A$152.5 million, or approximately US$117.9 million. Transaction costs for Redflex were $9.0 million which primarily related to professional fees and other expenses related to the acquisition, and were included within the selling, general and administrative expenses in the condensed consolidated statements of operations.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allocation of the preliminary purchase consideration is summarized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92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 acquired</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2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8,760</w:t>
            </w: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Restricted cash</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2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Unbilled receivables</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80" w:type="dxa"/>
            <w:vAlign w:val="bottom"/>
            <w:shd w:val="clear" w:color="auto" w:fill="CFF0FC"/>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920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Property and equipment </w:t>
            </w:r>
            <w:r>
              <w:rPr>
                <w:rFonts w:ascii="Arial" w:cs="Arial" w:eastAsia="Arial" w:hAnsi="Arial"/>
                <w:sz w:val="24"/>
                <w:szCs w:val="24"/>
                <w:color w:val="auto"/>
                <w:vertAlign w:val="superscript"/>
              </w:rPr>
              <w:t>(a)</w:t>
            </w:r>
          </w:p>
        </w:tc>
        <w:tc>
          <w:tcPr>
            <w:tcW w:w="7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28,859</w:t>
            </w:r>
          </w:p>
        </w:tc>
        <w:tc>
          <w:tcPr>
            <w:tcW w:w="80" w:type="dxa"/>
            <w:vAlign w:val="bottom"/>
          </w:tcPr>
          <w:p>
            <w:pPr>
              <w:spacing w:after="0"/>
              <w:rPr>
                <w:sz w:val="22"/>
                <w:szCs w:val="22"/>
                <w:color w:val="auto"/>
              </w:rPr>
            </w:pPr>
          </w:p>
        </w:tc>
      </w:tr>
      <w:tr>
        <w:trPr>
          <w:trHeight w:val="257"/>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Deferred tax assets</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8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20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13,729</w:t>
            </w: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Trademark</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20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23,500</w:t>
            </w:r>
          </w:p>
        </w:tc>
        <w:tc>
          <w:tcPr>
            <w:tcW w:w="8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9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Developed technology</w:t>
            </w:r>
          </w:p>
        </w:tc>
        <w:tc>
          <w:tcPr>
            <w:tcW w:w="72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9220" w:type="dxa"/>
            <w:vAlign w:val="bottom"/>
            <w:gridSpan w:val="3"/>
          </w:tcPr>
          <w:p>
            <w:pPr>
              <w:ind w:left="20"/>
              <w:spacing w:after="0"/>
              <w:rPr>
                <w:sz w:val="20"/>
                <w:szCs w:val="20"/>
                <w:color w:val="auto"/>
              </w:rPr>
            </w:pPr>
            <w:r>
              <w:rPr>
                <w:rFonts w:ascii="Arial" w:cs="Arial" w:eastAsia="Arial" w:hAnsi="Arial"/>
                <w:sz w:val="18"/>
                <w:szCs w:val="18"/>
                <w:color w:val="auto"/>
              </w:rPr>
              <w:t>Total assets acquired</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119,917</w:t>
            </w: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8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9220" w:type="dxa"/>
            <w:vAlign w:val="bottom"/>
            <w:gridSpan w:val="3"/>
          </w:tcPr>
          <w:p>
            <w:pPr>
              <w:ind w:left="20"/>
              <w:spacing w:after="0"/>
              <w:rPr>
                <w:sz w:val="20"/>
                <w:szCs w:val="20"/>
                <w:color w:val="auto"/>
              </w:rPr>
            </w:pPr>
            <w:r>
              <w:rPr>
                <w:rFonts w:ascii="Arial" w:cs="Arial" w:eastAsia="Arial" w:hAnsi="Arial"/>
                <w:sz w:val="18"/>
                <w:szCs w:val="18"/>
                <w:color w:val="auto"/>
              </w:rPr>
              <w:t>Liabilities assumed</w:t>
            </w: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30,137</w:t>
            </w:r>
          </w:p>
        </w:tc>
        <w:tc>
          <w:tcPr>
            <w:tcW w:w="8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92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1,772</w:t>
            </w:r>
          </w:p>
        </w:tc>
        <w:tc>
          <w:tcPr>
            <w:tcW w:w="8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9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Long-term debt</w:t>
            </w:r>
          </w:p>
        </w:tc>
        <w:tc>
          <w:tcPr>
            <w:tcW w:w="7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14,014</w:t>
            </w:r>
          </w:p>
        </w:tc>
        <w:tc>
          <w:tcPr>
            <w:tcW w:w="80" w:type="dxa"/>
            <w:vAlign w:val="bottom"/>
            <w:shd w:val="clear" w:color="auto" w:fill="CFF0FC"/>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920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4"/>
                <w:szCs w:val="24"/>
                <w:color w:val="auto"/>
                <w:vertAlign w:val="superscript"/>
              </w:rPr>
              <w:t>(a)</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9,237</w:t>
            </w:r>
          </w:p>
        </w:tc>
        <w:tc>
          <w:tcPr>
            <w:tcW w:w="80" w:type="dxa"/>
            <w:vAlign w:val="bottom"/>
          </w:tcPr>
          <w:p>
            <w:pPr>
              <w:spacing w:after="0"/>
              <w:rPr>
                <w:sz w:val="22"/>
                <w:szCs w:val="22"/>
                <w:color w:val="auto"/>
              </w:rPr>
            </w:pPr>
          </w:p>
        </w:tc>
      </w:tr>
      <w:tr>
        <w:trPr>
          <w:trHeight w:val="250"/>
        </w:trPr>
        <w:tc>
          <w:tcPr>
            <w:tcW w:w="92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7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55,160</w:t>
            </w:r>
          </w:p>
        </w:tc>
        <w:tc>
          <w:tcPr>
            <w:tcW w:w="80" w:type="dxa"/>
            <w:vAlign w:val="bottom"/>
            <w:shd w:val="clear" w:color="auto" w:fill="CFF0FC"/>
          </w:tcPr>
          <w:p>
            <w:pPr>
              <w:spacing w:after="0"/>
              <w:rPr>
                <w:sz w:val="21"/>
                <w:szCs w:val="21"/>
                <w:color w:val="auto"/>
              </w:rPr>
            </w:pPr>
          </w:p>
        </w:tc>
      </w:tr>
      <w:tr>
        <w:trPr>
          <w:trHeight w:val="256"/>
        </w:trPr>
        <w:tc>
          <w:tcPr>
            <w:tcW w:w="9220" w:type="dxa"/>
            <w:vAlign w:val="bottom"/>
            <w:gridSpan w:val="3"/>
          </w:tcPr>
          <w:p>
            <w:pPr>
              <w:ind w:left="20"/>
              <w:spacing w:after="0" w:line="257"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4"/>
                <w:szCs w:val="24"/>
                <w:color w:val="auto"/>
                <w:vertAlign w:val="superscript"/>
              </w:rPr>
              <w:t>(a)</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53,170</w:t>
            </w:r>
          </w:p>
        </w:tc>
        <w:tc>
          <w:tcPr>
            <w:tcW w:w="80" w:type="dxa"/>
            <w:vAlign w:val="bottom"/>
          </w:tcPr>
          <w:p>
            <w:pPr>
              <w:spacing w:after="0"/>
              <w:rPr>
                <w:sz w:val="22"/>
                <w:szCs w:val="22"/>
                <w:color w:val="auto"/>
              </w:rPr>
            </w:pPr>
          </w:p>
        </w:tc>
      </w:tr>
      <w:tr>
        <w:trPr>
          <w:trHeight w:val="284"/>
        </w:trPr>
        <w:tc>
          <w:tcPr>
            <w:tcW w:w="92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purchase consideration</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117,927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-1676400</wp:posOffset>
            </wp:positionV>
            <wp:extent cx="514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left="760" w:hanging="3"/>
        <w:spacing w:after="0" w:line="272" w:lineRule="auto"/>
        <w:tabs>
          <w:tab w:leader="none" w:pos="10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adjusted the fair values from the initial valuation included in its financial results as of June 30, 2021 to reflect new information obtained about facts and circumstances that existed as of the Redflex acquisition date. The measurement period adjustments include a $1.3 million increase to the property and equipment line item, $0.7 million decrease to the asset retirement obligations included in the other long-term liabilities, and the offsetting decrease of $2.0 million to the goodwill line item. There was no impact to the statement of operations as a result of these adjustments.</w:t>
      </w:r>
    </w:p>
    <w:p>
      <w:pPr>
        <w:spacing w:after="0" w:line="24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primary areas that remain preliminary relate to the fair values of intangible assets acquired, certain tangible assets and liabilities acquired, legal and other contingencies as of the acquisition date, income and non-income based taxes and residual goodwill. The Company expects to finalize the valuation as soon as practicable, but not later than one year from the acquisition date.</w:t>
      </w:r>
    </w:p>
    <w:p>
      <w:pPr>
        <w:spacing w:after="0" w:line="18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Goodwill consists largely of the expected cash flows and future growth anticipated for the Company and was assigned to the Company’s Government Solutions segment. Management has determined that the Redflex international operations represent a new reporting unit for the purposes of assessing potential impairment of goodwill, and as a result of the acquisition, the Government Solutions segment has two reporting units. The total operating and reportable segments for the Company has not changed as the manner in which the Company allocates resources and monitors operating performance has not changed. The goodwill is not expected to be deductible for tax purposes. The preliminary customer relationships value was based on the multi-period excess earnings methodology utilizing projected cash flows. The preliminary values for the trademark and the developed technology related assets were based on a relief-from-royalty method. The trademark, customer relationships and the developed technology related assets were assigned preliminary useful lives of 5.0 years, 10.0 years, and 9.2 years,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3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The pro forma information below gives effect to the Redflex acquisition as if it had been completed on the first day of each period presented. The pro forma results of operations are presented for information purposes only. As such, they are not necessarily indicative of the Company’s results had the Redflex acquisition been completed on the first day of each period presented, nor do they intend to represent the Company’s future results. The pro forma information does not reflect any cost savings from operating efficiencies or synergies that could result from the acquisition and does not reflect additional revenue opportunities following the acquisition of Redflex. The pro forma information includes adjustments to record the assets and liabilities associated with the Redflex acquisition at their respective preliminary fair values.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75"/>
        </w:trPr>
        <w:tc>
          <w:tcPr>
            <w:tcW w:w="39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184,807</w:t>
            </w:r>
          </w:p>
        </w:tc>
        <w:tc>
          <w:tcPr>
            <w:tcW w:w="124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115,659</w:t>
            </w:r>
          </w:p>
        </w:tc>
        <w:tc>
          <w:tcPr>
            <w:tcW w:w="11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442,323</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346,148</w:t>
            </w:r>
          </w:p>
        </w:tc>
        <w:tc>
          <w:tcPr>
            <w:tcW w:w="100" w:type="dxa"/>
            <w:vAlign w:val="bottom"/>
            <w:shd w:val="clear" w:color="auto" w:fill="CFF0FC"/>
          </w:tcPr>
          <w:p>
            <w:pPr>
              <w:spacing w:after="0"/>
              <w:rPr>
                <w:sz w:val="20"/>
                <w:szCs w:val="20"/>
                <w:color w:val="auto"/>
              </w:rPr>
            </w:pPr>
          </w:p>
        </w:tc>
      </w:tr>
      <w:tr>
        <w:trPr>
          <w:trHeight w:val="243"/>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27,672</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6,515</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24,983</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(16,020 )</w:t>
            </w:r>
          </w:p>
        </w:tc>
      </w:tr>
    </w:tbl>
    <w:p>
      <w:pPr>
        <w:spacing w:after="0" w:line="2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pro forma results primarily include adjustments related to amortization of intangibles, depreciation expense, interest expense and related debt extinguishment costs from the debt refinancing transactions and exclusion of acquisition-related costs and certain capitalized costs related to operating leases and developed technology.</w:t>
      </w:r>
    </w:p>
    <w:p>
      <w:pPr>
        <w:spacing w:after="0" w:line="28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7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40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Prepaid tolls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8,624</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100" w:type="dxa"/>
            <w:vAlign w:val="bottom"/>
            <w:shd w:val="clear" w:color="auto" w:fill="CFF0FC"/>
          </w:tcPr>
          <w:p>
            <w:pPr>
              <w:spacing w:after="0"/>
              <w:rPr>
                <w:sz w:val="20"/>
                <w:szCs w:val="20"/>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Prepaid services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6,288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FF0FC"/>
          </w:tcPr>
          <w:p>
            <w:pPr>
              <w:spacing w:after="0"/>
              <w:rPr>
                <w:sz w:val="22"/>
                <w:szCs w:val="22"/>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Photo enforcement equipment inventory</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5,702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FF0FC"/>
          </w:tcPr>
          <w:p>
            <w:pPr>
              <w:spacing w:after="0"/>
              <w:rPr>
                <w:sz w:val="22"/>
                <w:szCs w:val="22"/>
                <w:color w:val="auto"/>
              </w:rPr>
            </w:pP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Prepaid computer maintenance</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FF0FC"/>
          </w:tcPr>
          <w:p>
            <w:pPr>
              <w:spacing w:after="0"/>
              <w:rPr>
                <w:sz w:val="22"/>
                <w:szCs w:val="22"/>
                <w:color w:val="auto"/>
              </w:rPr>
            </w:pPr>
          </w:p>
        </w:tc>
      </w:tr>
      <w:tr>
        <w:trPr>
          <w:trHeight w:val="250"/>
        </w:trPr>
        <w:tc>
          <w:tcPr>
            <w:tcW w:w="762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21"/>
                <w:szCs w:val="21"/>
                <w:color w:val="auto"/>
              </w:rPr>
            </w:pPr>
          </w:p>
        </w:tc>
      </w:tr>
      <w:tr>
        <w:trPr>
          <w:trHeight w:val="282"/>
        </w:trPr>
        <w:tc>
          <w:tcPr>
            <w:tcW w:w="20" w:type="dxa"/>
            <w:vAlign w:val="bottom"/>
            <w:tcBorders>
              <w:bottom w:val="single" w:sz="8" w:color="CFF0FC"/>
            </w:tcBorders>
            <w:shd w:val="clear" w:color="auto" w:fill="CFF0FC"/>
          </w:tcPr>
          <w:p>
            <w:pPr>
              <w:spacing w:after="0"/>
              <w:rPr>
                <w:sz w:val="24"/>
                <w:szCs w:val="24"/>
                <w:color w:val="auto"/>
              </w:rPr>
            </w:pPr>
          </w:p>
        </w:tc>
        <w:tc>
          <w:tcPr>
            <w:tcW w:w="76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39,054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6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803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80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-196215</wp:posOffset>
            </wp:positionV>
            <wp:extent cx="1803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-196215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Goodwill from Redflex acquisition </w:t>
      </w:r>
      <w:r>
        <w:rPr>
          <w:rFonts w:ascii="Arial" w:cs="Arial" w:eastAsia="Arial" w:hAnsi="Arial"/>
          <w:sz w:val="23"/>
          <w:szCs w:val="23"/>
          <w:color w:val="auto"/>
          <w:vertAlign w:val="superscript"/>
        </w:rPr>
        <w:t>(a)</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6"/>
                <w:szCs w:val="16"/>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Government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22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Solutions</w:t>
            </w: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243"/>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426,689</w:t>
            </w:r>
          </w:p>
        </w:tc>
        <w:tc>
          <w:tcPr>
            <w:tcW w:w="26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159,746</w:t>
            </w:r>
          </w:p>
        </w:tc>
        <w:tc>
          <w:tcPr>
            <w:tcW w:w="24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586,435</w:t>
            </w:r>
          </w:p>
        </w:tc>
        <w:tc>
          <w:tcPr>
            <w:tcW w:w="60" w:type="dxa"/>
            <w:vAlign w:val="bottom"/>
          </w:tcPr>
          <w:p>
            <w:pPr>
              <w:spacing w:after="0"/>
              <w:rPr>
                <w:sz w:val="21"/>
                <w:szCs w:val="21"/>
                <w:color w:val="auto"/>
              </w:rPr>
            </w:pPr>
          </w:p>
        </w:tc>
      </w:tr>
      <w:tr>
        <w:trPr>
          <w:trHeight w:val="256"/>
        </w:trPr>
        <w:tc>
          <w:tcPr>
            <w:tcW w:w="220" w:type="dxa"/>
            <w:vAlign w:val="bottom"/>
          </w:tcPr>
          <w:p>
            <w:pPr>
              <w:spacing w:after="0"/>
              <w:rPr>
                <w:sz w:val="22"/>
                <w:szCs w:val="22"/>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53,170</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53,170</w:t>
            </w:r>
          </w:p>
        </w:tc>
        <w:tc>
          <w:tcPr>
            <w:tcW w:w="60" w:type="dxa"/>
            <w:vAlign w:val="bottom"/>
          </w:tcPr>
          <w:p>
            <w:pPr>
              <w:spacing w:after="0"/>
              <w:rPr>
                <w:sz w:val="22"/>
                <w:szCs w:val="22"/>
                <w:color w:val="auto"/>
              </w:rPr>
            </w:pPr>
          </w:p>
        </w:tc>
      </w:tr>
      <w:tr>
        <w:trPr>
          <w:trHeight w:val="263"/>
        </w:trPr>
        <w:tc>
          <w:tcPr>
            <w:tcW w:w="22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(1,412 )</w:t>
            </w:r>
          </w:p>
        </w:tc>
        <w:tc>
          <w:tcPr>
            <w:tcW w:w="2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(454 )</w:t>
            </w:r>
          </w:p>
        </w:tc>
        <w:tc>
          <w:tcPr>
            <w:tcW w:w="3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(1,866 )</w:t>
            </w:r>
          </w:p>
        </w:tc>
      </w:tr>
      <w:tr>
        <w:trPr>
          <w:trHeight w:val="250"/>
        </w:trPr>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425,277</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212,462</w:t>
            </w:r>
          </w:p>
        </w:tc>
        <w:tc>
          <w:tcPr>
            <w:tcW w:w="2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637,739</w:t>
            </w:r>
          </w:p>
        </w:tc>
        <w:tc>
          <w:tcPr>
            <w:tcW w:w="60" w:type="dxa"/>
            <w:vAlign w:val="bottom"/>
          </w:tcPr>
          <w:p>
            <w:pPr>
              <w:spacing w:after="0"/>
              <w:rPr>
                <w:sz w:val="21"/>
                <w:szCs w:val="2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-685165</wp:posOffset>
            </wp:positionV>
            <wp:extent cx="71323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-359410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720"/>
            <w:col w:w="4760"/>
          </w:cols>
          <w:pgMar w:left="320" w:top="692" w:right="339" w:bottom="1440" w:gutter="0" w:footer="0" w:header="0"/>
          <w:type w:val="continuous"/>
        </w:sectPr>
      </w:pPr>
    </w:p>
    <w:p>
      <w:pPr>
        <w:spacing w:after="0" w:line="29" w:lineRule="exact"/>
        <w:rPr>
          <w:sz w:val="20"/>
          <w:szCs w:val="20"/>
          <w:color w:val="auto"/>
        </w:rPr>
      </w:pPr>
    </w:p>
    <w:p>
      <w:pPr>
        <w:ind w:left="1140" w:right="20" w:hanging="383"/>
        <w:spacing w:after="0" w:line="293" w:lineRule="auto"/>
        <w:tabs>
          <w:tab w:leader="none" w:pos="11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Company adjusted down the initial value for goodwill of $55.2 million related to the Redflex acquisition as part of measurement period adjustments, as discussed in Note 3.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6" w:name="page17"/>
    <w:bookmarkEnd w:id="16"/>
    <w:p>
      <w:pPr>
        <w:ind w:left="760"/>
        <w:spacing w:after="0"/>
        <w:rPr>
          <w:sz w:val="20"/>
          <w:szCs w:val="20"/>
          <w:color w:val="auto"/>
        </w:rPr>
      </w:pPr>
      <w:r>
        <w:rPr>
          <w:rFonts w:ascii="Arial" w:cs="Arial" w:eastAsia="Arial" w:hAnsi="Arial"/>
          <w:sz w:val="18"/>
          <w:szCs w:val="18"/>
          <w:color w:val="auto"/>
        </w:rPr>
        <w:t>Intangible assets consist of the following as of the respective period-ends: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0"/>
              </w:rPr>
              <w:t>September 30, 2021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December 31, 2020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7"/>
                <w:szCs w:val="17"/>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7"/>
                <w:szCs w:val="17"/>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7"/>
                <w:szCs w:val="17"/>
                <w:color w:val="auto"/>
              </w:rPr>
            </w:pPr>
          </w:p>
        </w:tc>
      </w:tr>
      <w:tr>
        <w:trPr>
          <w:trHeight w:val="188"/>
        </w:trPr>
        <w:tc>
          <w:tcPr>
            <w:tcW w:w="358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Trademarks</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0.2 years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0.3 years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29,358</w:t>
            </w:r>
          </w:p>
        </w:tc>
        <w:tc>
          <w:tcPr>
            <w:tcW w:w="100" w:type="dxa"/>
            <w:vAlign w:val="bottom"/>
            <w:shd w:val="clear" w:color="auto" w:fill="CFF0FC"/>
          </w:tcPr>
          <w:p>
            <w:pPr>
              <w:spacing w:after="0"/>
              <w:rPr>
                <w:sz w:val="20"/>
                <w:szCs w:val="20"/>
                <w:color w:val="auto"/>
              </w:rPr>
            </w:pPr>
          </w:p>
        </w:tc>
      </w:tr>
      <w:tr>
        <w:trPr>
          <w:trHeight w:val="250"/>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Non-compete agreements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1.3 years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62,563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46,841</w:t>
            </w:r>
          </w:p>
        </w:tc>
        <w:tc>
          <w:tcPr>
            <w:tcW w:w="2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37,412</w:t>
            </w:r>
          </w:p>
        </w:tc>
        <w:tc>
          <w:tcPr>
            <w:tcW w:w="100" w:type="dxa"/>
            <w:vAlign w:val="bottom"/>
          </w:tcPr>
          <w:p>
            <w:pPr>
              <w:spacing w:after="0"/>
              <w:rPr>
                <w:sz w:val="21"/>
                <w:szCs w:val="21"/>
                <w:color w:val="auto"/>
              </w:rPr>
            </w:pPr>
          </w:p>
        </w:tc>
      </w:tr>
      <w:tr>
        <w:trPr>
          <w:trHeight w:val="263"/>
        </w:trPr>
        <w:tc>
          <w:tcPr>
            <w:tcW w:w="3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 years</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389,910</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155,090</w:t>
            </w:r>
          </w:p>
        </w:tc>
        <w:tc>
          <w:tcPr>
            <w:tcW w:w="260" w:type="dxa"/>
            <w:vAlign w:val="bottom"/>
            <w:shd w:val="clear" w:color="auto" w:fill="CFF0FC"/>
          </w:tcPr>
          <w:p>
            <w:pPr>
              <w:spacing w:after="0"/>
              <w:rPr>
                <w:sz w:val="22"/>
                <w:szCs w:val="22"/>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5.9 years</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367,512</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123,784</w:t>
            </w:r>
          </w:p>
        </w:tc>
        <w:tc>
          <w:tcPr>
            <w:tcW w:w="100" w:type="dxa"/>
            <w:vAlign w:val="bottom"/>
            <w:shd w:val="clear" w:color="auto" w:fill="CFF0FC"/>
          </w:tcPr>
          <w:p>
            <w:pPr>
              <w:spacing w:after="0"/>
              <w:rPr>
                <w:sz w:val="22"/>
                <w:szCs w:val="22"/>
                <w:color w:val="auto"/>
              </w:rPr>
            </w:pPr>
          </w:p>
        </w:tc>
      </w:tr>
      <w:tr>
        <w:trPr>
          <w:trHeight w:val="257"/>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Developed technology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 years</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183,716</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119,008</w:t>
            </w:r>
          </w:p>
        </w:tc>
        <w:tc>
          <w:tcPr>
            <w:tcW w:w="2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2.3 years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166,217</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100" w:type="dxa"/>
            <w:vAlign w:val="bottom"/>
          </w:tcPr>
          <w:p>
            <w:pPr>
              <w:spacing w:after="0"/>
              <w:rPr>
                <w:sz w:val="22"/>
                <w:szCs w:val="22"/>
                <w:color w:val="auto"/>
              </w:rPr>
            </w:pPr>
          </w:p>
        </w:tc>
      </w:tr>
      <w:tr>
        <w:trPr>
          <w:trHeight w:val="290"/>
        </w:trPr>
        <w:tc>
          <w:tcPr>
            <w:tcW w:w="3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Gross carrying value of intangible assets</w:t>
            </w:r>
          </w:p>
        </w:tc>
        <w:tc>
          <w:tcPr>
            <w:tcW w:w="10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669,232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352,201</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628,541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(352,201 )</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(286,402 )</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35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317,031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342,139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-385445</wp:posOffset>
            </wp:positionV>
            <wp:extent cx="1714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-367665</wp:posOffset>
            </wp:positionV>
            <wp:extent cx="171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-385445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-367665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163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454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45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1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Amortization expense was $22.9 million and $23.6 million for the three months ended September 30, 2021 and 2020, respectively, and was $66.9 million and $70.6 million for the nine months ended September 30, 2021 and 2020, respectively.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Accrued liabilities consist of the following at:</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520"/>
        <w:spacing w:after="0"/>
        <w:tabs>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22,129</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85,404</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56,701</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46,210</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43,512</w:t>
      </w:r>
    </w:p>
    <w:p>
      <w:pPr>
        <w:spacing w:after="0" w:line="73"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63,075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38100</wp:posOffset>
            </wp:positionV>
            <wp:extent cx="10198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6" w:lineRule="exact"/>
        <w:rPr>
          <w:sz w:val="20"/>
          <w:szCs w:val="20"/>
          <w:color w:val="auto"/>
        </w:rPr>
      </w:pPr>
    </w:p>
    <w:p>
      <w:pPr>
        <w:ind w:left="1520"/>
        <w:spacing w:after="0"/>
        <w:tabs>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317,031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25" w:lineRule="exact"/>
        <w:rPr>
          <w:sz w:val="20"/>
          <w:szCs w:val="20"/>
          <w:color w:val="auto"/>
        </w:rPr>
      </w:pPr>
    </w:p>
    <w:p>
      <w:pPr>
        <w:ind w:left="300"/>
        <w:spacing w:after="0"/>
        <w:tabs>
          <w:tab w:leader="none" w:pos="2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7300" w:space="720"/>
            <w:col w:w="322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0" w:type="dxa"/>
            <w:vAlign w:val="bottom"/>
            <w:shd w:val="clear" w:color="auto" w:fill="CFF0FC"/>
          </w:tcPr>
          <w:p>
            <w:pPr>
              <w:spacing w:after="0"/>
              <w:rPr>
                <w:sz w:val="22"/>
                <w:szCs w:val="22"/>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39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16,213</w:t>
            </w:r>
          </w:p>
        </w:tc>
        <w:tc>
          <w:tcPr>
            <w:tcW w:w="8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FF0FC"/>
          </w:tcPr>
          <w:p>
            <w:pPr>
              <w:spacing w:after="0"/>
              <w:rPr>
                <w:sz w:val="22"/>
                <w:szCs w:val="22"/>
                <w:color w:val="auto"/>
              </w:rPr>
            </w:pPr>
          </w:p>
        </w:tc>
      </w:tr>
      <w:tr>
        <w:trPr>
          <w:trHeight w:val="250"/>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Accrued salaries and wages</w:t>
            </w:r>
          </w:p>
        </w:tc>
        <w:tc>
          <w:tcPr>
            <w:tcW w:w="3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14,119</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4,432</w:t>
            </w:r>
          </w:p>
        </w:tc>
        <w:tc>
          <w:tcPr>
            <w:tcW w:w="80" w:type="dxa"/>
            <w:vAlign w:val="bottom"/>
          </w:tcPr>
          <w:p>
            <w:pPr>
              <w:spacing w:after="0"/>
              <w:rPr>
                <w:sz w:val="21"/>
                <w:szCs w:val="21"/>
                <w:color w:val="auto"/>
              </w:rPr>
            </w:pPr>
          </w:p>
        </w:tc>
      </w:tr>
      <w:tr>
        <w:trPr>
          <w:trHeight w:val="263"/>
        </w:trPr>
        <w:tc>
          <w:tcPr>
            <w:tcW w:w="4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Accrued interest payable</w:t>
            </w:r>
          </w:p>
        </w:tc>
        <w:tc>
          <w:tcPr>
            <w:tcW w:w="3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10,041</w:t>
            </w:r>
          </w:p>
        </w:tc>
        <w:tc>
          <w:tcPr>
            <w:tcW w:w="2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22"/>
                <w:szCs w:val="22"/>
                <w:color w:val="auto"/>
              </w:rPr>
            </w:pPr>
          </w:p>
        </w:tc>
      </w:tr>
      <w:tr>
        <w:trPr>
          <w:trHeight w:val="250"/>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3,468</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21"/>
                <w:szCs w:val="21"/>
                <w:color w:val="auto"/>
              </w:rPr>
            </w:pPr>
          </w:p>
        </w:tc>
      </w:tr>
      <w:tr>
        <w:trPr>
          <w:trHeight w:val="263"/>
        </w:trPr>
        <w:tc>
          <w:tcPr>
            <w:tcW w:w="4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Restricted cash due to customers</w:t>
            </w:r>
          </w:p>
        </w:tc>
        <w:tc>
          <w:tcPr>
            <w:tcW w:w="3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FF0FC"/>
          </w:tcPr>
          <w:p>
            <w:pPr>
              <w:spacing w:after="0"/>
              <w:rPr>
                <w:sz w:val="22"/>
                <w:szCs w:val="22"/>
                <w:color w:val="auto"/>
              </w:rPr>
            </w:pPr>
          </w:p>
        </w:tc>
      </w:tr>
      <w:tr>
        <w:trPr>
          <w:trHeight w:val="250"/>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Advanced deposits payable</w:t>
            </w:r>
          </w:p>
        </w:tc>
        <w:tc>
          <w:tcPr>
            <w:tcW w:w="3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2,832</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2,922</w:t>
            </w:r>
          </w:p>
        </w:tc>
        <w:tc>
          <w:tcPr>
            <w:tcW w:w="80" w:type="dxa"/>
            <w:vAlign w:val="bottom"/>
          </w:tcPr>
          <w:p>
            <w:pPr>
              <w:spacing w:after="0"/>
              <w:rPr>
                <w:sz w:val="21"/>
                <w:szCs w:val="21"/>
                <w:color w:val="auto"/>
              </w:rPr>
            </w:pPr>
          </w:p>
        </w:tc>
      </w:tr>
      <w:tr>
        <w:trPr>
          <w:trHeight w:val="263"/>
        </w:trPr>
        <w:tc>
          <w:tcPr>
            <w:tcW w:w="4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328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FF0FC"/>
          </w:tcPr>
          <w:p>
            <w:pPr>
              <w:spacing w:after="0"/>
              <w:rPr>
                <w:sz w:val="22"/>
                <w:szCs w:val="22"/>
                <w:color w:val="auto"/>
              </w:rPr>
            </w:pPr>
          </w:p>
        </w:tc>
      </w:tr>
      <w:tr>
        <w:trPr>
          <w:trHeight w:val="250"/>
        </w:trPr>
        <w:tc>
          <w:tcPr>
            <w:tcW w:w="436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21"/>
                <w:szCs w:val="21"/>
                <w:color w:val="auto"/>
              </w:rPr>
            </w:pPr>
          </w:p>
        </w:tc>
      </w:tr>
      <w:tr>
        <w:trPr>
          <w:trHeight w:val="290"/>
        </w:trPr>
        <w:tc>
          <w:tcPr>
            <w:tcW w:w="20" w:type="dxa"/>
            <w:vAlign w:val="bottom"/>
            <w:shd w:val="clear" w:color="auto" w:fill="CFF0FC"/>
          </w:tcPr>
          <w:p>
            <w:pPr>
              <w:spacing w:after="0"/>
              <w:rPr>
                <w:sz w:val="24"/>
                <w:szCs w:val="24"/>
                <w:color w:val="auto"/>
              </w:rPr>
            </w:pPr>
          </w:p>
        </w:tc>
        <w:tc>
          <w:tcPr>
            <w:tcW w:w="4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accrued liabilities</w:t>
            </w:r>
          </w:p>
        </w:tc>
        <w:tc>
          <w:tcPr>
            <w:tcW w:w="39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53,663</w:t>
            </w:r>
          </w:p>
        </w:tc>
        <w:tc>
          <w:tcPr>
            <w:tcW w:w="8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w:t>
            </w:r>
          </w:p>
        </w:tc>
        <w:tc>
          <w:tcPr>
            <w:tcW w:w="80" w:type="dxa"/>
            <w:vAlign w:val="bottom"/>
            <w:shd w:val="clear" w:color="auto" w:fill="CFF0FC"/>
          </w:tcPr>
          <w:p>
            <w:pPr>
              <w:spacing w:after="0"/>
              <w:rPr>
                <w:sz w:val="24"/>
                <w:szCs w:val="24"/>
                <w:color w:val="auto"/>
              </w:rPr>
            </w:pPr>
          </w:p>
        </w:tc>
      </w:tr>
      <w:tr>
        <w:trPr>
          <w:trHeight w:val="662"/>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1830"/>
              <w:spacing w:after="0"/>
              <w:rPr>
                <w:sz w:val="20"/>
                <w:szCs w:val="20"/>
                <w:color w:val="auto"/>
              </w:rPr>
            </w:pPr>
            <w:r>
              <w:rPr>
                <w:rFonts w:ascii="Arial" w:cs="Arial" w:eastAsia="Arial" w:hAnsi="Arial"/>
                <w:sz w:val="18"/>
                <w:szCs w:val="18"/>
                <w:color w:val="auto"/>
              </w:rPr>
              <w:t>17</w:t>
            </w: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-530860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171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-530860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-513715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7" w:name="page18"/>
    <w:bookmarkEnd w:id="17"/>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summary of the Company’s long-term debt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40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2021 Term Loan, due 2028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646,750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Senior Notes, due 2029</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PPP Loan</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2018 Term Loan</w:t>
            </w:r>
          </w:p>
        </w:tc>
        <w:tc>
          <w:tcPr>
            <w:tcW w:w="24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865,642</w:t>
            </w:r>
          </w:p>
        </w:tc>
        <w:tc>
          <w:tcPr>
            <w:tcW w:w="100" w:type="dxa"/>
            <w:vAlign w:val="bottom"/>
          </w:tcPr>
          <w:p>
            <w:pPr>
              <w:spacing w:after="0"/>
              <w:rPr>
                <w:sz w:val="21"/>
                <w:szCs w:val="21"/>
                <w:color w:val="auto"/>
              </w:rPr>
            </w:pPr>
          </w:p>
        </w:tc>
      </w:tr>
      <w:tr>
        <w:trPr>
          <w:trHeight w:val="263"/>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 original issue discounts</w:t>
            </w:r>
          </w:p>
        </w:tc>
        <w:tc>
          <w:tcPr>
            <w:tcW w:w="2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(5,788 )</w:t>
            </w:r>
          </w:p>
        </w:tc>
        <w:tc>
          <w:tcPr>
            <w:tcW w:w="2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(3,952 )</w:t>
            </w:r>
          </w:p>
        </w:tc>
      </w:tr>
      <w:tr>
        <w:trPr>
          <w:trHeight w:val="257"/>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4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(19,100 )</w:t>
            </w:r>
          </w:p>
        </w:tc>
        <w:tc>
          <w:tcPr>
            <w:tcW w:w="24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(19,645 )</w:t>
            </w:r>
          </w:p>
        </w:tc>
      </w:tr>
      <w:tr>
        <w:trPr>
          <w:trHeight w:val="250"/>
        </w:trPr>
        <w:tc>
          <w:tcPr>
            <w:tcW w:w="76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974,795</w:t>
            </w:r>
          </w:p>
        </w:tc>
        <w:tc>
          <w:tcPr>
            <w:tcW w:w="2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842,045</w:t>
            </w:r>
          </w:p>
        </w:tc>
        <w:tc>
          <w:tcPr>
            <w:tcW w:w="100" w:type="dxa"/>
            <w:vAlign w:val="bottom"/>
            <w:shd w:val="clear" w:color="auto" w:fill="CFF0FC"/>
          </w:tcPr>
          <w:p>
            <w:pPr>
              <w:spacing w:after="0"/>
              <w:rPr>
                <w:sz w:val="21"/>
                <w:szCs w:val="21"/>
                <w:color w:val="auto"/>
              </w:rPr>
            </w:pPr>
          </w:p>
        </w:tc>
      </w:tr>
      <w:tr>
        <w:trPr>
          <w:trHeight w:val="256"/>
        </w:trPr>
        <w:tc>
          <w:tcPr>
            <w:tcW w:w="7620" w:type="dxa"/>
            <w:vAlign w:val="bottom"/>
            <w:gridSpan w:val="3"/>
          </w:tcPr>
          <w:p>
            <w:pPr>
              <w:ind w:left="2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(9,433 )</w:t>
            </w:r>
          </w:p>
        </w:tc>
        <w:tc>
          <w:tcPr>
            <w:tcW w:w="24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(9,104 )</w:t>
            </w: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76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long-term debt, net of current portion</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965,362</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171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71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13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In March 2021, VM Consolidated, Inc., the Company’s wholly owned subsidiary, entered into an Amendment and Restatement Agreement No.1 to the First Lien Term Loan Credit Agreement (the “</w:t>
      </w:r>
      <w:r>
        <w:rPr>
          <w:rFonts w:ascii="Arial" w:cs="Arial" w:eastAsia="Arial" w:hAnsi="Arial"/>
          <w:sz w:val="17"/>
          <w:szCs w:val="17"/>
          <w:b w:val="1"/>
          <w:bCs w:val="1"/>
          <w:i w:val="1"/>
          <w:iCs w:val="1"/>
          <w:color w:val="auto"/>
        </w:rPr>
        <w:t>2021 Term Loan</w:t>
      </w:r>
      <w:r>
        <w:rPr>
          <w:rFonts w:ascii="Arial" w:cs="Arial" w:eastAsia="Arial" w:hAnsi="Arial"/>
          <w:sz w:val="17"/>
          <w:szCs w:val="17"/>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the Company incurred $5.7 million in lender and third-party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capitalized as deferred financing costs and are being amortized over the remaining life of the Senior Notes.</w:t>
      </w:r>
    </w:p>
    <w:p>
      <w:pPr>
        <w:spacing w:after="0" w:line="183"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7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September 30, 2021, the interest rate on the 2021 Term Loan was 3.4%.</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prepayment</w:t>
            </w:r>
          </w:p>
        </w:tc>
      </w:tr>
      <w:tr>
        <w:trPr>
          <w:trHeight w:val="192"/>
        </w:trPr>
        <w:tc>
          <w:tcPr>
            <w:tcW w:w="8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Consolidated first lien net leverage ratio (as defined by the 2021 Term Loan agreement)</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percentage</w:t>
            </w:r>
          </w:p>
        </w:tc>
      </w:tr>
      <w:tr>
        <w:trPr>
          <w:trHeight w:val="256"/>
        </w:trPr>
        <w:tc>
          <w:tcPr>
            <w:tcW w:w="8720" w:type="dxa"/>
            <w:vAlign w:val="bottom"/>
            <w:gridSpan w:val="5"/>
            <w:shd w:val="clear" w:color="auto" w:fill="CFF0FC"/>
          </w:tcPr>
          <w:p>
            <w:pPr>
              <w:jc w:val="center"/>
              <w:spacing w:after="0"/>
              <w:rPr>
                <w:sz w:val="20"/>
                <w:szCs w:val="20"/>
                <w:color w:val="auto"/>
              </w:rPr>
            </w:pPr>
            <w:r>
              <w:rPr>
                <w:rFonts w:ascii="Arial" w:cs="Arial" w:eastAsia="Arial" w:hAnsi="Arial"/>
                <w:sz w:val="18"/>
                <w:szCs w:val="18"/>
                <w:color w:val="auto"/>
                <w:w w:val="90"/>
              </w:rPr>
              <w:t>&gt; 3.70:1.00</w:t>
            </w:r>
          </w:p>
        </w:tc>
        <w:tc>
          <w:tcPr>
            <w:tcW w:w="25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50%</w:t>
            </w:r>
          </w:p>
        </w:tc>
      </w:tr>
      <w:tr>
        <w:trPr>
          <w:trHeight w:val="203"/>
        </w:trPr>
        <w:tc>
          <w:tcPr>
            <w:tcW w:w="3360" w:type="dxa"/>
            <w:vAlign w:val="bottom"/>
          </w:tcPr>
          <w:p>
            <w:pPr>
              <w:spacing w:after="0"/>
              <w:rPr>
                <w:sz w:val="17"/>
                <w:szCs w:val="17"/>
                <w:color w:val="auto"/>
              </w:rPr>
            </w:pPr>
          </w:p>
        </w:tc>
        <w:tc>
          <w:tcPr>
            <w:tcW w:w="5360" w:type="dxa"/>
            <w:vAlign w:val="bottom"/>
            <w:gridSpan w:val="4"/>
          </w:tcPr>
          <w:p>
            <w:pPr>
              <w:jc w:val="center"/>
              <w:ind w:right="3360"/>
              <w:spacing w:after="0" w:line="202" w:lineRule="exact"/>
              <w:rPr>
                <w:sz w:val="20"/>
                <w:szCs w:val="20"/>
                <w:color w:val="auto"/>
              </w:rPr>
            </w:pPr>
            <w:r>
              <w:rPr>
                <w:rFonts w:ascii="Arial" w:cs="Arial" w:eastAsia="Arial" w:hAnsi="Arial"/>
                <w:sz w:val="18"/>
                <w:szCs w:val="18"/>
                <w:color w:val="auto"/>
                <w:w w:val="90"/>
              </w:rPr>
              <w:t>&lt; 3.70:1.00 and &gt; 3.20:1.00</w:t>
            </w:r>
          </w:p>
        </w:tc>
        <w:tc>
          <w:tcPr>
            <w:tcW w:w="25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4"/>
              </w:rPr>
              <w:t>25%</w:t>
            </w:r>
          </w:p>
        </w:tc>
      </w:tr>
      <w:tr>
        <w:trPr>
          <w:trHeight w:val="34"/>
        </w:trPr>
        <w:tc>
          <w:tcPr>
            <w:tcW w:w="3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03"/>
        </w:trPr>
        <w:tc>
          <w:tcPr>
            <w:tcW w:w="8720" w:type="dxa"/>
            <w:vAlign w:val="bottom"/>
            <w:gridSpan w:val="5"/>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&lt; 3.20:1.00</w:t>
            </w:r>
          </w:p>
        </w:tc>
        <w:tc>
          <w:tcPr>
            <w:tcW w:w="25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2"/>
              </w:rPr>
              <w:t>0%</w:t>
            </w:r>
          </w:p>
        </w:tc>
      </w:tr>
      <w:tr>
        <w:trPr>
          <w:trHeight w:val="34"/>
        </w:trPr>
        <w:tc>
          <w:tcPr>
            <w:tcW w:w="33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r>
    </w:tbl>
    <w:p>
      <w:pPr>
        <w:spacing w:after="0" w:line="26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jc w:val="center"/>
              <w:ind w:left="3355"/>
              <w:spacing w:after="0"/>
              <w:rPr>
                <w:sz w:val="20"/>
                <w:szCs w:val="20"/>
                <w:color w:val="auto"/>
              </w:rPr>
            </w:pPr>
            <w:r>
              <w:rPr>
                <w:rFonts w:ascii="Arial" w:cs="Arial" w:eastAsia="Arial" w:hAnsi="Arial"/>
                <w:sz w:val="14"/>
                <w:szCs w:val="14"/>
                <w:b w:val="1"/>
                <w:bCs w:val="1"/>
                <w:color w:val="auto"/>
                <w:w w:val="98"/>
              </w:rPr>
              <w:t>Year</w:t>
            </w:r>
          </w:p>
        </w:tc>
        <w:tc>
          <w:tcPr>
            <w:tcW w:w="3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56"/>
        </w:trPr>
        <w:tc>
          <w:tcPr>
            <w:tcW w:w="5300" w:type="dxa"/>
            <w:vAlign w:val="bottom"/>
            <w:shd w:val="clear" w:color="auto" w:fill="CFF0FC"/>
          </w:tcPr>
          <w:p>
            <w:pPr>
              <w:jc w:val="center"/>
              <w:ind w:left="3335"/>
              <w:spacing w:after="0"/>
              <w:rPr>
                <w:sz w:val="20"/>
                <w:szCs w:val="20"/>
                <w:color w:val="auto"/>
              </w:rPr>
            </w:pPr>
            <w:r>
              <w:rPr>
                <w:rFonts w:ascii="Arial" w:cs="Arial" w:eastAsia="Arial" w:hAnsi="Arial"/>
                <w:sz w:val="18"/>
                <w:szCs w:val="18"/>
                <w:color w:val="auto"/>
                <w:w w:val="89"/>
              </w:rPr>
              <w:t>2024</w:t>
            </w:r>
          </w:p>
        </w:tc>
        <w:tc>
          <w:tcPr>
            <w:tcW w:w="5940" w:type="dxa"/>
            <w:vAlign w:val="bottom"/>
            <w:gridSpan w:val="3"/>
            <w:shd w:val="clear" w:color="auto" w:fill="CFF0FC"/>
          </w:tcPr>
          <w:p>
            <w:pPr>
              <w:jc w:val="center"/>
              <w:ind w:left="3550"/>
              <w:spacing w:after="0"/>
              <w:rPr>
                <w:sz w:val="20"/>
                <w:szCs w:val="20"/>
                <w:color w:val="auto"/>
              </w:rPr>
            </w:pPr>
            <w:r>
              <w:rPr>
                <w:rFonts w:ascii="Arial" w:cs="Arial" w:eastAsia="Arial" w:hAnsi="Arial"/>
                <w:sz w:val="18"/>
                <w:szCs w:val="18"/>
                <w:color w:val="auto"/>
                <w:w w:val="91"/>
              </w:rPr>
              <w:t>102.750%</w:t>
            </w:r>
          </w:p>
        </w:tc>
      </w:tr>
      <w:tr>
        <w:trPr>
          <w:trHeight w:val="250"/>
        </w:trPr>
        <w:tc>
          <w:tcPr>
            <w:tcW w:w="5300" w:type="dxa"/>
            <w:vAlign w:val="bottom"/>
          </w:tcPr>
          <w:p>
            <w:pPr>
              <w:jc w:val="center"/>
              <w:ind w:left="3335"/>
              <w:spacing w:after="0"/>
              <w:rPr>
                <w:sz w:val="20"/>
                <w:szCs w:val="20"/>
                <w:color w:val="auto"/>
              </w:rPr>
            </w:pPr>
            <w:r>
              <w:rPr>
                <w:rFonts w:ascii="Arial" w:cs="Arial" w:eastAsia="Arial" w:hAnsi="Arial"/>
                <w:sz w:val="18"/>
                <w:szCs w:val="18"/>
                <w:color w:val="auto"/>
                <w:w w:val="89"/>
              </w:rPr>
              <w:t>2025</w:t>
            </w:r>
          </w:p>
        </w:tc>
        <w:tc>
          <w:tcPr>
            <w:tcW w:w="5940" w:type="dxa"/>
            <w:vAlign w:val="bottom"/>
            <w:gridSpan w:val="3"/>
          </w:tcPr>
          <w:p>
            <w:pPr>
              <w:jc w:val="center"/>
              <w:ind w:left="3550"/>
              <w:spacing w:after="0"/>
              <w:rPr>
                <w:sz w:val="20"/>
                <w:szCs w:val="20"/>
                <w:color w:val="auto"/>
              </w:rPr>
            </w:pPr>
            <w:r>
              <w:rPr>
                <w:rFonts w:ascii="Arial" w:cs="Arial" w:eastAsia="Arial" w:hAnsi="Arial"/>
                <w:sz w:val="18"/>
                <w:szCs w:val="18"/>
                <w:color w:val="auto"/>
                <w:w w:val="91"/>
              </w:rPr>
              <w:t>101.375%</w:t>
            </w:r>
          </w:p>
        </w:tc>
      </w:tr>
      <w:tr>
        <w:trPr>
          <w:trHeight w:val="263"/>
        </w:trPr>
        <w:tc>
          <w:tcPr>
            <w:tcW w:w="5300" w:type="dxa"/>
            <w:vAlign w:val="bottom"/>
            <w:shd w:val="clear" w:color="auto" w:fill="CFF0FC"/>
          </w:tcPr>
          <w:p>
            <w:pPr>
              <w:jc w:val="center"/>
              <w:ind w:left="3335"/>
              <w:spacing w:after="0"/>
              <w:rPr>
                <w:sz w:val="20"/>
                <w:szCs w:val="20"/>
                <w:color w:val="auto"/>
              </w:rPr>
            </w:pPr>
            <w:r>
              <w:rPr>
                <w:rFonts w:ascii="Arial" w:cs="Arial" w:eastAsia="Arial" w:hAnsi="Arial"/>
                <w:sz w:val="18"/>
                <w:szCs w:val="18"/>
                <w:color w:val="auto"/>
                <w:w w:val="89"/>
              </w:rPr>
              <w:t>2026 and thereafter</w:t>
            </w:r>
          </w:p>
        </w:tc>
        <w:tc>
          <w:tcPr>
            <w:tcW w:w="5940" w:type="dxa"/>
            <w:vAlign w:val="bottom"/>
            <w:gridSpan w:val="3"/>
            <w:shd w:val="clear" w:color="auto" w:fill="CFF0FC"/>
          </w:tcPr>
          <w:p>
            <w:pPr>
              <w:jc w:val="center"/>
              <w:ind w:left="3550"/>
              <w:spacing w:after="0"/>
              <w:rPr>
                <w:sz w:val="20"/>
                <w:szCs w:val="20"/>
                <w:color w:val="auto"/>
              </w:rPr>
            </w:pPr>
            <w:r>
              <w:rPr>
                <w:rFonts w:ascii="Arial" w:cs="Arial" w:eastAsia="Arial" w:hAnsi="Arial"/>
                <w:sz w:val="18"/>
                <w:szCs w:val="18"/>
                <w:color w:val="auto"/>
                <w:w w:val="91"/>
              </w:rPr>
              <w:t>100.000%</w:t>
            </w:r>
          </w:p>
        </w:tc>
      </w:tr>
      <w:tr>
        <w:trPr>
          <w:trHeight w:val="675"/>
        </w:trPr>
        <w:tc>
          <w:tcPr>
            <w:tcW w:w="5300" w:type="dxa"/>
            <w:vAlign w:val="bottom"/>
          </w:tcPr>
          <w:p>
            <w:pPr>
              <w:spacing w:after="0"/>
              <w:rPr>
                <w:sz w:val="24"/>
                <w:szCs w:val="24"/>
                <w:color w:val="auto"/>
              </w:rPr>
            </w:pPr>
          </w:p>
        </w:tc>
        <w:tc>
          <w:tcPr>
            <w:tcW w:w="3420" w:type="dxa"/>
            <w:vAlign w:val="bottom"/>
          </w:tcPr>
          <w:p>
            <w:pPr>
              <w:jc w:val="right"/>
              <w:ind w:right="29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8" w:name="page19"/>
    <w:bookmarkEnd w:id="18"/>
    <w:p>
      <w:pPr>
        <w:ind w:left="760"/>
        <w:spacing w:after="0"/>
        <w:rPr>
          <w:sz w:val="20"/>
          <w:szCs w:val="20"/>
          <w:color w:val="auto"/>
        </w:rPr>
      </w:pPr>
      <w:r>
        <w:rPr>
          <w:rFonts w:ascii="Arial" w:cs="Arial" w:eastAsia="Arial" w:hAnsi="Arial"/>
          <w:sz w:val="17"/>
          <w:szCs w:val="17"/>
          <w:color w:val="auto"/>
        </w:rPr>
        <w:t>In addition, the Company may redeem up to 40% of the Senior Notes before April 15, 2024, with the net cash proceeds from certain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offerings.</w:t>
      </w:r>
    </w:p>
    <w:p>
      <w:pPr>
        <w:spacing w:after="0" w:line="238"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The Company evaluated the refinancing transactions on a lender by lender basis and accounted for the portion of the transaction that did not meet the accounting criteria for debt extinguishment as a debt modification. Accordingly, the Company recognized a loss on extinguishment of debt of $5.3 million on the 2018 Term Loan during the nine months ended September 30, 2021 consisting of a $4.0 million write-off of pre-existing deferred financing costs and $1.3 million of lender and third-party costs associated with the issuance of the new 2021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13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At September 30, 2021, the loan amount outstanding was $2.9 million and is payable within a year, and is included in the current portion of long-term debt. In early 2021, Redflex applied for forgiveness of this loan and awaits approval from the SBA.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13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Company has a Revolving Credit Agreement (the “</w:t>
      </w:r>
      <w:r>
        <w:rPr>
          <w:rFonts w:ascii="Arial" w:cs="Arial" w:eastAsia="Arial" w:hAnsi="Arial"/>
          <w:sz w:val="18"/>
          <w:szCs w:val="18"/>
          <w:b w:val="1"/>
          <w:bCs w:val="1"/>
          <w:i w:val="1"/>
          <w:iCs w:val="1"/>
          <w:color w:val="auto"/>
        </w:rPr>
        <w:t>Revolver</w:t>
      </w:r>
      <w:r>
        <w:rPr>
          <w:rFonts w:ascii="Arial" w:cs="Arial" w:eastAsia="Arial" w:hAnsi="Arial"/>
          <w:sz w:val="18"/>
          <w:szCs w:val="18"/>
          <w:color w:val="auto"/>
        </w:rPr>
        <w:t>”) with a commitment of up to $75 million available for loans and letters of credit. The Revolver matures on February 28, 2023. The terms of the Revolver were not affected by the other debt instruments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September 30, 2021, the Company had no outstanding borrowings on the Revolver and the availability to borrow was $62.2 million, net of $6.2 million of outstanding letters of credit.</w:t>
      </w:r>
    </w:p>
    <w:p>
      <w:pPr>
        <w:spacing w:after="0" w:line="19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$6.2 million of outstanding letters of credit as of September 30, 2021.</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September 30, 2021, the Company was compliant with all debt covenants. Substantially all of the Company’s assets are pledged as collateral to secure the Company’s indebtedness under the 2021 Term Loan.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$11.6 million and $9.6 million for the three months ended September 30, 2021 and 2020, respectively, and $32.5 million and $31.6 million for the nine months ended September 30, 2021 and 2020, respectively.</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weighted average effective interest rates on the Company’s outstanding borrowings were 4.1% and 3.4% at September 30, 2021 and December 31, 2020, respectively.</w:t>
      </w:r>
    </w:p>
    <w:p>
      <w:pPr>
        <w:spacing w:after="0" w:line="27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9" w:name="page20"/>
    <w:bookmarkEnd w:id="19"/>
    <w:p>
      <w:pPr>
        <w:ind w:left="760" w:right="20"/>
        <w:spacing w:after="0" w:line="29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43" w:lineRule="exact"/>
        <w:rPr>
          <w:sz w:val="20"/>
          <w:szCs w:val="20"/>
          <w:color w:val="auto"/>
        </w:rPr>
      </w:pPr>
    </w:p>
    <w:p>
      <w:pPr>
        <w:ind w:left="760" w:right="20"/>
        <w:spacing w:after="0" w:line="29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model, discounted cash flow, or similar technique.</w:t>
      </w:r>
    </w:p>
    <w:p>
      <w:pPr>
        <w:spacing w:after="0" w:line="170"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The carrying amounts reported in the Company’s condensed consolidated balance sheets for cash, accounts receivable, accounts payable, accrued expenses and the PPP Loan approximate fair value due to the immediate to short-term maturity of these financial instruments. The estimated fair value of the Company’s long-term debt was calculated based upon available market information. The carrying value and the estimated fair value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Level in</w:t>
            </w: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6"/>
                <w:szCs w:val="16"/>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4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6"/>
                <w:szCs w:val="16"/>
                <w:color w:val="auto"/>
              </w:rPr>
            </w:pPr>
          </w:p>
        </w:tc>
        <w:tc>
          <w:tcPr>
            <w:tcW w:w="1420" w:type="dxa"/>
            <w:vAlign w:val="bottom"/>
          </w:tcPr>
          <w:p>
            <w:pPr>
              <w:jc w:val="right"/>
              <w:ind w:right="328"/>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Hierarchy</w:t>
            </w:r>
          </w:p>
        </w:tc>
        <w:tc>
          <w:tcPr>
            <w:tcW w:w="280" w:type="dxa"/>
            <w:vAlign w:val="bottom"/>
          </w:tcPr>
          <w:p>
            <w:pPr>
              <w:spacing w:after="0"/>
              <w:rPr>
                <w:sz w:val="16"/>
                <w:szCs w:val="16"/>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8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2021 Term Loan</w:t>
            </w:r>
          </w:p>
        </w:tc>
        <w:tc>
          <w:tcPr>
            <w:tcW w:w="138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FF0FC"/>
          </w:tcPr>
          <w:p>
            <w:pPr>
              <w:spacing w:after="0"/>
              <w:rPr>
                <w:sz w:val="19"/>
                <w:szCs w:val="19"/>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627,118</w:t>
            </w:r>
          </w:p>
        </w:tc>
        <w:tc>
          <w:tcPr>
            <w:tcW w:w="5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628,686</w:t>
            </w:r>
          </w:p>
        </w:tc>
        <w:tc>
          <w:tcPr>
            <w:tcW w:w="5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1660" w:type="dxa"/>
            <w:vAlign w:val="bottom"/>
            <w:gridSpan w:val="2"/>
            <w:vMerge w:val="restart"/>
            <w:shd w:val="clear" w:color="auto" w:fill="CFF0FC"/>
          </w:tcPr>
          <w:p>
            <w:pPr>
              <w:jc w:val="right"/>
              <w:ind w:right="1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CFF0FC"/>
          </w:tcPr>
          <w:p>
            <w:pPr>
              <w:spacing w:after="0"/>
              <w:rPr>
                <w:sz w:val="4"/>
                <w:szCs w:val="4"/>
                <w:color w:val="auto"/>
              </w:rPr>
            </w:pPr>
          </w:p>
        </w:tc>
        <w:tc>
          <w:tcPr>
            <w:tcW w:w="980" w:type="dxa"/>
            <w:vAlign w:val="bottom"/>
            <w:shd w:val="clear" w:color="auto" w:fill="CFF0FC"/>
          </w:tcPr>
          <w:p>
            <w:pPr>
              <w:spacing w:after="0"/>
              <w:rPr>
                <w:sz w:val="4"/>
                <w:szCs w:val="4"/>
                <w:color w:val="auto"/>
              </w:rPr>
            </w:pPr>
          </w:p>
        </w:tc>
        <w:tc>
          <w:tcPr>
            <w:tcW w:w="2120" w:type="dxa"/>
            <w:vAlign w:val="bottom"/>
            <w:shd w:val="clear" w:color="auto" w:fill="CFF0FC"/>
          </w:tcPr>
          <w:p>
            <w:pPr>
              <w:spacing w:after="0"/>
              <w:rPr>
                <w:sz w:val="4"/>
                <w:szCs w:val="4"/>
                <w:color w:val="auto"/>
              </w:rPr>
            </w:pPr>
          </w:p>
        </w:tc>
        <w:tc>
          <w:tcPr>
            <w:tcW w:w="1380" w:type="dxa"/>
            <w:vAlign w:val="bottom"/>
            <w:vMerge w:val="continue"/>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280" w:type="dxa"/>
            <w:vAlign w:val="bottom"/>
            <w:vMerge w:val="continue"/>
            <w:shd w:val="clear" w:color="auto" w:fill="CFF0FC"/>
          </w:tcPr>
          <w:p>
            <w:pPr>
              <w:spacing w:after="0"/>
              <w:rPr>
                <w:sz w:val="4"/>
                <w:szCs w:val="4"/>
                <w:color w:val="auto"/>
              </w:rPr>
            </w:pPr>
          </w:p>
        </w:tc>
        <w:tc>
          <w:tcPr>
            <w:tcW w:w="1160" w:type="dxa"/>
            <w:vAlign w:val="bottom"/>
            <w:vMerge w:val="continue"/>
            <w:shd w:val="clear" w:color="auto" w:fill="CFF0FC"/>
          </w:tcPr>
          <w:p>
            <w:pPr>
              <w:spacing w:after="0"/>
              <w:rPr>
                <w:sz w:val="4"/>
                <w:szCs w:val="4"/>
                <w:color w:val="auto"/>
              </w:rPr>
            </w:pPr>
          </w:p>
        </w:tc>
        <w:tc>
          <w:tcPr>
            <w:tcW w:w="540" w:type="dxa"/>
            <w:vAlign w:val="bottom"/>
            <w:gridSpan w:val="2"/>
            <w:vMerge w:val="continue"/>
            <w:shd w:val="clear" w:color="auto" w:fill="CFF0FC"/>
          </w:tcPr>
          <w:p>
            <w:pPr>
              <w:spacing w:after="0"/>
              <w:rPr>
                <w:sz w:val="4"/>
                <w:szCs w:val="4"/>
                <w:color w:val="auto"/>
              </w:rPr>
            </w:pPr>
          </w:p>
        </w:tc>
        <w:tc>
          <w:tcPr>
            <w:tcW w:w="1180" w:type="dxa"/>
            <w:vAlign w:val="bottom"/>
            <w:vMerge w:val="continue"/>
            <w:shd w:val="clear" w:color="auto" w:fill="CFF0FC"/>
          </w:tcPr>
          <w:p>
            <w:pPr>
              <w:spacing w:after="0"/>
              <w:rPr>
                <w:sz w:val="4"/>
                <w:szCs w:val="4"/>
                <w:color w:val="auto"/>
              </w:rPr>
            </w:pPr>
          </w:p>
        </w:tc>
        <w:tc>
          <w:tcPr>
            <w:tcW w:w="520" w:type="dxa"/>
            <w:vAlign w:val="bottom"/>
            <w:gridSpan w:val="2"/>
            <w:vMerge w:val="continue"/>
            <w:shd w:val="clear" w:color="auto" w:fill="CFF0FC"/>
          </w:tcPr>
          <w:p>
            <w:pPr>
              <w:spacing w:after="0"/>
              <w:rPr>
                <w:sz w:val="4"/>
                <w:szCs w:val="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Senior Notes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344,744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352,069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2018 Term Loan</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842,045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861,314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21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price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5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80" w:type="dxa"/>
            <w:vAlign w:val="bottom"/>
            <w:shd w:val="clear" w:color="auto" w:fill="CFF0FC"/>
          </w:tcPr>
          <w:p>
            <w:pPr>
              <w:spacing w:after="0"/>
              <w:rPr>
                <w:sz w:val="22"/>
                <w:szCs w:val="22"/>
                <w:color w:val="auto"/>
              </w:rPr>
            </w:pP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11.50</w:t>
            </w:r>
          </w:p>
        </w:tc>
        <w:tc>
          <w:tcPr>
            <w:tcW w:w="5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21"/>
                <w:szCs w:val="21"/>
                <w:color w:val="auto"/>
              </w:rPr>
            </w:pPr>
          </w:p>
        </w:tc>
      </w:tr>
      <w:tr>
        <w:trPr>
          <w:trHeight w:val="26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FF0FC"/>
          </w:tcPr>
          <w:p>
            <w:pPr>
              <w:spacing w:after="0"/>
              <w:rPr>
                <w:sz w:val="22"/>
                <w:szCs w:val="22"/>
                <w:color w:val="auto"/>
              </w:rPr>
            </w:pPr>
          </w:p>
        </w:tc>
        <w:tc>
          <w:tcPr>
            <w:tcW w:w="2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44.0 %</w:t>
            </w:r>
          </w:p>
        </w:tc>
        <w:tc>
          <w:tcPr>
            <w:tcW w:w="300" w:type="dxa"/>
            <w:vAlign w:val="bottom"/>
            <w:shd w:val="clear" w:color="auto" w:fill="CFF0FC"/>
          </w:tcPr>
          <w:p>
            <w:pPr>
              <w:spacing w:after="0"/>
              <w:rPr>
                <w:sz w:val="22"/>
                <w:szCs w:val="22"/>
                <w:color w:val="auto"/>
              </w:rPr>
            </w:pPr>
          </w:p>
        </w:tc>
        <w:tc>
          <w:tcPr>
            <w:tcW w:w="2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44.0 %</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Remaining life (in years)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r>
      <w:tr>
        <w:trPr>
          <w:trHeight w:val="263"/>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FF0FC"/>
          </w:tcPr>
          <w:p>
            <w:pPr>
              <w:spacing w:after="0"/>
              <w:rPr>
                <w:sz w:val="22"/>
                <w:szCs w:val="22"/>
                <w:color w:val="auto"/>
              </w:rPr>
            </w:pPr>
          </w:p>
        </w:tc>
        <w:tc>
          <w:tcPr>
            <w:tcW w:w="2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0.29 %</w:t>
            </w:r>
          </w:p>
        </w:tc>
        <w:tc>
          <w:tcPr>
            <w:tcW w:w="300" w:type="dxa"/>
            <w:vAlign w:val="bottom"/>
            <w:shd w:val="clear" w:color="auto" w:fill="CFF0FC"/>
          </w:tcPr>
          <w:p>
            <w:pPr>
              <w:spacing w:after="0"/>
              <w:rPr>
                <w:sz w:val="22"/>
                <w:szCs w:val="22"/>
                <w:color w:val="auto"/>
              </w:rPr>
            </w:pPr>
          </w:p>
        </w:tc>
        <w:tc>
          <w:tcPr>
            <w:tcW w:w="2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0.16 %</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1"/>
                <w:szCs w:val="21"/>
                <w:color w:val="auto"/>
              </w:rPr>
            </w:pPr>
          </w:p>
        </w:tc>
        <w:tc>
          <w:tcPr>
            <w:tcW w:w="2240" w:type="dxa"/>
            <w:vAlign w:val="bottom"/>
            <w:gridSpan w:val="2"/>
          </w:tcPr>
          <w:p>
            <w:pPr>
              <w:jc w:val="right"/>
              <w:ind w:right="360"/>
              <w:spacing w:after="0"/>
              <w:rPr>
                <w:sz w:val="20"/>
                <w:szCs w:val="20"/>
                <w:color w:val="auto"/>
              </w:rPr>
            </w:pPr>
            <w:r>
              <w:rPr>
                <w:rFonts w:ascii="Arial" w:cs="Arial" w:eastAsia="Arial" w:hAnsi="Arial"/>
                <w:sz w:val="18"/>
                <w:szCs w:val="18"/>
                <w:color w:val="auto"/>
              </w:rPr>
              <w:t>0.0 %</w:t>
            </w:r>
          </w:p>
        </w:tc>
        <w:tc>
          <w:tcPr>
            <w:tcW w:w="300" w:type="dxa"/>
            <w:vAlign w:val="bottom"/>
          </w:tcPr>
          <w:p>
            <w:pPr>
              <w:spacing w:after="0"/>
              <w:rPr>
                <w:sz w:val="21"/>
                <w:szCs w:val="21"/>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r>
      <w:tr>
        <w:trPr>
          <w:trHeight w:val="290"/>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fair value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52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FF0FC"/>
          </w:tcPr>
          <w:p>
            <w:pPr>
              <w:spacing w:after="0"/>
              <w:rPr>
                <w:sz w:val="24"/>
                <w:szCs w:val="24"/>
                <w:color w:val="auto"/>
              </w:rPr>
            </w:pPr>
          </w:p>
        </w:tc>
      </w:tr>
    </w:tbl>
    <w:p>
      <w:pPr>
        <w:spacing w:after="0" w:line="26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Company is exposed to valuation risk on its Level 3 financial instruments. The risk of exposure is estimated using a sensitivity analysis of potential changes in the significant unobservable inputs, primarily the volatility input that is the most susceptible to valuation risk. A 5% increase to the volatility input at September 30, 2021 would increase the estimated fair value by $0.33 per unit. A 5% decrease to the volatility input at September 30, 2021 would decrease the estimate fair value by $0.32 per unit. The following summarizes the changes in the private placement warrant liabilities included in net income for the respective periods: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r>
      <w:tr>
        <w:trPr>
          <w:trHeight w:val="215"/>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restated)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restated)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4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41,000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w:t>
            </w:r>
          </w:p>
        </w:tc>
        <w:tc>
          <w:tcPr>
            <w:tcW w:w="100" w:type="dxa"/>
            <w:vAlign w:val="bottom"/>
            <w:shd w:val="clear" w:color="auto" w:fill="CFF0FC"/>
          </w:tcPr>
          <w:p>
            <w:pPr>
              <w:spacing w:after="0"/>
              <w:rPr>
                <w:sz w:val="22"/>
                <w:szCs w:val="22"/>
                <w:color w:val="auto"/>
              </w:rPr>
            </w:pPr>
          </w:p>
        </w:tc>
      </w:tr>
      <w:tr>
        <w:trPr>
          <w:trHeight w:val="256"/>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(5,067 )</w:t>
            </w:r>
          </w:p>
        </w:tc>
        <w:tc>
          <w:tcPr>
            <w:tcW w:w="26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(4,400 )</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(11,533 )</w:t>
            </w:r>
          </w:p>
        </w:tc>
      </w:tr>
      <w:tr>
        <w:trPr>
          <w:trHeight w:val="290"/>
        </w:trPr>
        <w:tc>
          <w:tcPr>
            <w:tcW w:w="20" w:type="dxa"/>
            <w:vAlign w:val="bottom"/>
            <w:tcBorders>
              <w:bottom w:val="single" w:sz="8" w:color="CFF0FC"/>
            </w:tcBorders>
            <w:shd w:val="clear" w:color="auto" w:fill="CFF0FC"/>
          </w:tcPr>
          <w:p>
            <w:pPr>
              <w:spacing w:after="0"/>
              <w:rPr>
                <w:sz w:val="24"/>
                <w:szCs w:val="24"/>
                <w:color w:val="auto"/>
              </w:rPr>
            </w:pPr>
          </w:p>
        </w:tc>
        <w:tc>
          <w:tcPr>
            <w:tcW w:w="44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35,933</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35,933</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-25400</wp:posOffset>
            </wp:positionV>
            <wp:extent cx="1803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1803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1543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543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128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28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3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left="760"/>
        <w:spacing w:after="0"/>
        <w:rPr>
          <w:sz w:val="20"/>
          <w:szCs w:val="20"/>
          <w:color w:val="auto"/>
        </w:rPr>
      </w:pPr>
      <w:r>
        <w:rPr>
          <w:rFonts w:ascii="Arial" w:cs="Arial" w:eastAsia="Arial" w:hAnsi="Arial"/>
          <w:sz w:val="18"/>
          <w:szCs w:val="18"/>
          <w:color w:val="auto"/>
        </w:rPr>
        <w:t>The components of basic and diluted net income per share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9"/>
              </w:rPr>
              <w:t>Three Months Ended September 30,</w:t>
            </w: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62"/>
        </w:trPr>
        <w:tc>
          <w:tcPr>
            <w:tcW w:w="45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rPr>
              <w:t>(As restated)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27,306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11,086</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22,383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r>
      <w:tr>
        <w:trPr>
          <w:trHeight w:val="263"/>
        </w:trPr>
        <w:tc>
          <w:tcPr>
            <w:tcW w:w="4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 basic</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159,358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161,744</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161,334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4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Common stock equivalents</w:t>
            </w:r>
          </w:p>
        </w:tc>
        <w:tc>
          <w:tcPr>
            <w:tcW w:w="2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4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Weighted average shares - diluted</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165,431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162,568</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164,808</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161,995</w:t>
            </w:r>
          </w:p>
        </w:tc>
        <w:tc>
          <w:tcPr>
            <w:tcW w:w="100" w:type="dxa"/>
            <w:vAlign w:val="bottom"/>
          </w:tcPr>
          <w:p>
            <w:pPr>
              <w:spacing w:after="0"/>
              <w:rPr>
                <w:sz w:val="21"/>
                <w:szCs w:val="21"/>
                <w:color w:val="auto"/>
              </w:rPr>
            </w:pPr>
          </w:p>
        </w:tc>
      </w:tr>
      <w:tr>
        <w:trPr>
          <w:trHeight w:val="263"/>
        </w:trPr>
        <w:tc>
          <w:tcPr>
            <w:tcW w:w="4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 per share - 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22"/>
                <w:szCs w:val="22"/>
                <w:color w:val="auto"/>
              </w:rPr>
            </w:pPr>
          </w:p>
        </w:tc>
      </w:tr>
      <w:tr>
        <w:trPr>
          <w:trHeight w:val="250"/>
        </w:trPr>
        <w:tc>
          <w:tcPr>
            <w:tcW w:w="4540" w:type="dxa"/>
            <w:vAlign w:val="bottom"/>
            <w:gridSpan w:val="3"/>
          </w:tcPr>
          <w:p>
            <w:pPr>
              <w:ind w:left="2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r>
      <w:tr>
        <w:trPr>
          <w:trHeight w:val="227"/>
        </w:trPr>
        <w:tc>
          <w:tcPr>
            <w:tcW w:w="4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Antidilutive shares excluded from diluted net income per</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6"/>
        </w:trPr>
        <w:tc>
          <w:tcPr>
            <w:tcW w:w="4540" w:type="dxa"/>
            <w:vAlign w:val="bottom"/>
            <w:gridSpan w:val="3"/>
            <w:shd w:val="clear" w:color="auto" w:fill="CFF0FC"/>
          </w:tcPr>
          <w:p>
            <w:pPr>
              <w:ind w:left="20"/>
              <w:spacing w:after="0" w:line="266" w:lineRule="exact"/>
              <w:rPr>
                <w:sz w:val="20"/>
                <w:szCs w:val="20"/>
                <w:color w:val="auto"/>
              </w:rPr>
            </w:pPr>
            <w:r>
              <w:rPr>
                <w:rFonts w:ascii="Arial" w:cs="Arial" w:eastAsia="Arial" w:hAnsi="Arial"/>
                <w:sz w:val="18"/>
                <w:szCs w:val="18"/>
                <w:color w:val="auto"/>
              </w:rPr>
              <w:t xml:space="preserve">share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8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24"/>
                <w:szCs w:val="24"/>
                <w:color w:val="auto"/>
                <w:vertAlign w:val="superscript"/>
              </w:rPr>
              <w:t>(2)</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r>
      <w:tr>
        <w:trPr>
          <w:trHeight w:val="256"/>
        </w:trPr>
        <w:tc>
          <w:tcPr>
            <w:tcW w:w="20" w:type="dxa"/>
            <w:vAlign w:val="bottom"/>
            <w:shd w:val="clear" w:color="auto" w:fill="CFF0FC"/>
          </w:tcPr>
          <w:p>
            <w:pPr>
              <w:spacing w:after="0"/>
              <w:rPr>
                <w:sz w:val="22"/>
                <w:szCs w:val="22"/>
                <w:color w:val="auto"/>
              </w:rPr>
            </w:pPr>
          </w:p>
        </w:tc>
        <w:tc>
          <w:tcPr>
            <w:tcW w:w="4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Public warrants</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Private placement warrants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6,667</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r>
      <w:tr>
        <w:trPr>
          <w:trHeight w:val="263"/>
        </w:trPr>
        <w:tc>
          <w:tcPr>
            <w:tcW w:w="20" w:type="dxa"/>
            <w:vAlign w:val="bottom"/>
            <w:shd w:val="clear" w:color="auto" w:fill="CFF0FC"/>
          </w:tcPr>
          <w:p>
            <w:pPr>
              <w:spacing w:after="0"/>
              <w:rPr>
                <w:sz w:val="22"/>
                <w:szCs w:val="22"/>
                <w:color w:val="auto"/>
              </w:rPr>
            </w:pPr>
          </w:p>
        </w:tc>
        <w:tc>
          <w:tcPr>
            <w:tcW w:w="45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Non-qualified stock options</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Performance share units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r>
      <w:tr>
        <w:trPr>
          <w:trHeight w:val="257"/>
        </w:trPr>
        <w:tc>
          <w:tcPr>
            <w:tcW w:w="20" w:type="dxa"/>
            <w:vAlign w:val="bottom"/>
            <w:tcBorders>
              <w:bottom w:val="single" w:sz="8" w:color="CFF0FC"/>
            </w:tcBorders>
            <w:shd w:val="clear" w:color="auto" w:fill="CFF0FC"/>
          </w:tcPr>
          <w:p>
            <w:pPr>
              <w:spacing w:after="0"/>
              <w:rPr>
                <w:sz w:val="22"/>
                <w:szCs w:val="22"/>
                <w:color w:val="auto"/>
              </w:rPr>
            </w:pPr>
          </w:p>
        </w:tc>
        <w:tc>
          <w:tcPr>
            <w:tcW w:w="45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Restricted stock units</w:t>
            </w:r>
          </w:p>
        </w:tc>
        <w:tc>
          <w:tcPr>
            <w:tcW w:w="2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4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20" w:type="dxa"/>
            <w:vAlign w:val="bottom"/>
            <w:gridSpan w:val="2"/>
          </w:tcPr>
          <w:p>
            <w:pPr>
              <w:ind w:left="280"/>
              <w:spacing w:after="0"/>
              <w:rPr>
                <w:sz w:val="20"/>
                <w:szCs w:val="20"/>
                <w:color w:val="auto"/>
              </w:rPr>
            </w:pPr>
            <w:r>
              <w:rPr>
                <w:rFonts w:ascii="Arial" w:cs="Arial" w:eastAsia="Arial" w:hAnsi="Arial"/>
                <w:sz w:val="18"/>
                <w:szCs w:val="18"/>
                <w:color w:val="auto"/>
              </w:rPr>
              <w:t>Total antidilutive shares excluded</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w:t>
            </w: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26,130</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-1976755</wp:posOffset>
            </wp:positionV>
            <wp:extent cx="18859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-1976755</wp:posOffset>
            </wp:positionV>
            <wp:extent cx="27432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-1976755</wp:posOffset>
            </wp:positionV>
            <wp:extent cx="19748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-1976755</wp:posOffset>
            </wp:positionV>
            <wp:extent cx="596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-193675</wp:posOffset>
            </wp:positionV>
            <wp:extent cx="1885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-193675</wp:posOffset>
            </wp:positionV>
            <wp:extent cx="27432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9748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14" w:lineRule="exact"/>
        <w:rPr>
          <w:sz w:val="20"/>
          <w:szCs w:val="20"/>
          <w:color w:val="auto"/>
        </w:rPr>
      </w:pPr>
    </w:p>
    <w:p>
      <w:pPr>
        <w:ind w:left="700" w:hanging="318"/>
        <w:spacing w:after="0"/>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These amounts represent the outstanding shares as of the three and nine months ended September 30, 2021 and 2020.</w:t>
      </w:r>
    </w:p>
    <w:p>
      <w:pPr>
        <w:spacing w:after="0" w:line="252" w:lineRule="exact"/>
        <w:rPr>
          <w:rFonts w:ascii="Arial" w:cs="Arial" w:eastAsia="Arial" w:hAnsi="Arial"/>
          <w:sz w:val="18"/>
          <w:szCs w:val="18"/>
          <w:color w:val="auto"/>
        </w:rPr>
      </w:pPr>
    </w:p>
    <w:p>
      <w:pPr>
        <w:ind w:left="700" w:hanging="305"/>
        <w:spacing w:after="0"/>
        <w:tabs>
          <w:tab w:leader="none" w:pos="7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342"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7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70"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In December 2019, COVID-19 emerged and spread throughout the world causing severe disruption to the global economy. In March 2020, the Coronavirus Aid, Relief, and Economic Security Act (“</w:t>
      </w:r>
      <w:r>
        <w:rPr>
          <w:rFonts w:ascii="Arial" w:cs="Arial" w:eastAsia="Arial" w:hAnsi="Arial"/>
          <w:sz w:val="17"/>
          <w:szCs w:val="17"/>
          <w:b w:val="1"/>
          <w:bCs w:val="1"/>
          <w:i w:val="1"/>
          <w:iCs w:val="1"/>
          <w:color w:val="auto"/>
        </w:rPr>
        <w:t>CARES Act</w:t>
      </w:r>
      <w:r>
        <w:rPr>
          <w:rFonts w:ascii="Arial" w:cs="Arial" w:eastAsia="Arial" w:hAnsi="Arial"/>
          <w:sz w:val="17"/>
          <w:szCs w:val="17"/>
          <w:color w:val="auto"/>
        </w:rPr>
        <w:t>”) was signed into law after COVID-19 was declared a pandemic. There were several income tax provisions and other non-tax matters incorporated into law as a result of the enactment of the CARES Act. The Company elected to delay the employer-side of the FICA payments for the second, third and fourth quarters of 2020, which were paid on September 15, 2021.</w:t>
      </w:r>
    </w:p>
    <w:p>
      <w:pPr>
        <w:spacing w:after="0" w:line="170"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Company’s effective income tax rate was 29.6% and 26.4% for the three months ended September 30, 2021 and 2020, respectively, and 43.9% and 25.0% for the nine months ended September 30, 2021 and 2020, respectively. For the nine months ended September 30, 2020, the impact of discrete items was favorable and had a larger impact on the tax rate due to the pretax income being lower. For the nine months ended September 30, 2021, the pretax income was higher and the discrete items unfavorably affected the tax rate, in addition to the impact of the Company’s permanent differences related to the mark-to-market adjustment on the private placement warrants.</w:t>
      </w:r>
    </w:p>
    <w:p>
      <w:pPr>
        <w:spacing w:after="0" w:line="17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total amount of unrecognized tax benefits increased by $0.3 million during fiscal year 2021 primarily due to prior year tax positions. As of September 30, 2021, the total amount of unrecognized tax benefits was $1.3 million, of which $0.5 million would affect our effective tax rate if recognized. The Company recognizes interest and penalties related to unrecognized tax benefits through income tax expense. As of September 30, 2021, the Company had less than $0.1 million accrued for the payment of interest and penalties.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749"/>
        <w:spacing w:after="0" w:line="290" w:lineRule="auto"/>
        <w:rPr>
          <w:sz w:val="20"/>
          <w:szCs w:val="20"/>
          <w:color w:val="auto"/>
        </w:rPr>
      </w:pPr>
      <w:r>
        <w:rPr>
          <w:rFonts w:ascii="Arial" w:cs="Arial" w:eastAsia="Arial" w:hAnsi="Arial"/>
          <w:sz w:val="17"/>
          <w:szCs w:val="17"/>
          <w:color w:val="auto"/>
        </w:rPr>
        <w:t>The Company is subject to examination by the Internal Revenue Service and taxing authorities in various states. The Company’s U.S. federal income tax returns remain subject to examination by tax authorities for the years 2017 to 2019. The Company’s state income tax returns are no longer subject to income tax examination by tax authorities prior to 2016; however, the Company’s net operating loss carryforwards and research credit carryforwards arising prior to that year are subject to adjustment. The Company is currently under audit by the State of Florida and Georgia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75"/>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20" w:type="dxa"/>
            <w:vAlign w:val="bottom"/>
          </w:tcPr>
          <w:p>
            <w:pPr>
              <w:spacing w:after="0"/>
              <w:rPr>
                <w:sz w:val="15"/>
                <w:szCs w:val="15"/>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20"/>
                <w:szCs w:val="20"/>
                <w:color w:val="auto"/>
              </w:rPr>
            </w:pPr>
          </w:p>
        </w:tc>
      </w:tr>
      <w:tr>
        <w:trPr>
          <w:trHeight w:val="257"/>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2"/>
                <w:szCs w:val="22"/>
                <w:color w:val="auto"/>
              </w:rPr>
            </w:pPr>
          </w:p>
        </w:tc>
      </w:tr>
      <w:tr>
        <w:trPr>
          <w:trHeight w:val="290"/>
        </w:trPr>
        <w:tc>
          <w:tcPr>
            <w:tcW w:w="20" w:type="dxa"/>
            <w:vAlign w:val="bottom"/>
            <w:shd w:val="clear" w:color="auto" w:fill="CFF0FC"/>
          </w:tcPr>
          <w:p>
            <w:pPr>
              <w:spacing w:after="0"/>
              <w:rPr>
                <w:sz w:val="24"/>
                <w:szCs w:val="24"/>
                <w:color w:val="auto"/>
              </w:rPr>
            </w:pPr>
          </w:p>
        </w:tc>
        <w:tc>
          <w:tcPr>
            <w:tcW w:w="44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100" w:type="dxa"/>
            <w:vAlign w:val="bottom"/>
            <w:shd w:val="clear" w:color="auto" w:fill="CFF0FC"/>
          </w:tcPr>
          <w:p>
            <w:pPr>
              <w:spacing w:after="0"/>
              <w:rPr>
                <w:sz w:val="24"/>
                <w:szCs w:val="24"/>
                <w:color w:val="auto"/>
              </w:rPr>
            </w:pPr>
          </w:p>
        </w:tc>
      </w:tr>
      <w:tr>
        <w:trPr>
          <w:trHeight w:val="656"/>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-539115</wp:posOffset>
            </wp:positionV>
            <wp:extent cx="1803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-521970</wp:posOffset>
            </wp:positionV>
            <wp:extent cx="1803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-539115</wp:posOffset>
            </wp:positionV>
            <wp:extent cx="163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-521970</wp:posOffset>
            </wp:positionV>
            <wp:extent cx="1631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-539115</wp:posOffset>
            </wp:positionV>
            <wp:extent cx="163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-521970</wp:posOffset>
            </wp:positionV>
            <wp:extent cx="1631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-539115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-521970</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At the closing of the Business Combination, the Company entered into the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would be approximately $70.0 million, and recorded an initial liability and corresponding charge to equity at the closing of the Business Combination. Subsequently, the Company adjusted this amount.</w:t>
      </w:r>
    </w:p>
    <w:p>
      <w:pPr>
        <w:spacing w:after="0" w:line="17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At September 30, 2021, the TRA liability was approximately $69.5 million of which $5.2 million was the current portion and $64.3 million was the non-current portion, both of which are included in the respective payable to related party pursuant to tax receivable agreement line items on the condensed consolidated balance sheet. The Company made a $4.8 million payment during the first quarter of 2021 related to the current portion payable as of December 31, 2020.</w:t>
      </w:r>
    </w:p>
    <w:p>
      <w:pPr>
        <w:spacing w:after="0" w:line="20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recorded $1.7 million and $4.4 million of charges for the nine months ended September 30, 2021 and 2020, respectively. The TRA liability adjustment in 2021 is arising from higher estimated state tax rates due to changes in statutory rates, whereas in 2020 it is arising from higher estimated state tax rates due to a change in apportionment.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3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One-time issuance of shares</w:t>
            </w:r>
          </w:p>
        </w:tc>
      </w:tr>
      <w:tr>
        <w:trPr>
          <w:trHeight w:val="256"/>
        </w:trPr>
        <w:tc>
          <w:tcPr>
            <w:tcW w:w="6460" w:type="dxa"/>
            <w:vAlign w:val="bottom"/>
            <w:shd w:val="clear" w:color="auto" w:fill="CFF0FC"/>
          </w:tcPr>
          <w:p>
            <w:pPr>
              <w:ind w:left="2820"/>
              <w:spacing w:after="0" w:line="256" w:lineRule="exact"/>
              <w:rPr>
                <w:sz w:val="20"/>
                <w:szCs w:val="20"/>
                <w:color w:val="auto"/>
              </w:rPr>
            </w:pPr>
            <w:r>
              <w:rPr>
                <w:rFonts w:ascii="Arial" w:cs="Arial" w:eastAsia="Arial" w:hAnsi="Arial"/>
                <w:sz w:val="18"/>
                <w:szCs w:val="18"/>
                <w:color w:val="auto"/>
              </w:rPr>
              <w:t xml:space="preserve">&gt; $13.00 </w:t>
            </w:r>
            <w:r>
              <w:rPr>
                <w:rFonts w:ascii="Arial" w:cs="Arial" w:eastAsia="Arial" w:hAnsi="Arial"/>
                <w:sz w:val="24"/>
                <w:szCs w:val="24"/>
                <w:color w:val="auto"/>
                <w:vertAlign w:val="superscript"/>
              </w:rPr>
              <w:t>(a)</w:t>
            </w:r>
          </w:p>
        </w:tc>
        <w:tc>
          <w:tcPr>
            <w:tcW w:w="4780" w:type="dxa"/>
            <w:vAlign w:val="bottom"/>
            <w:gridSpan w:val="2"/>
            <w:shd w:val="clear" w:color="auto" w:fill="CFF0FC"/>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57"/>
        </w:trPr>
        <w:tc>
          <w:tcPr>
            <w:tcW w:w="6460" w:type="dxa"/>
            <w:vAlign w:val="bottom"/>
          </w:tcPr>
          <w:p>
            <w:pPr>
              <w:ind w:left="2820"/>
              <w:spacing w:after="0" w:line="257" w:lineRule="exact"/>
              <w:rPr>
                <w:sz w:val="20"/>
                <w:szCs w:val="20"/>
                <w:color w:val="auto"/>
              </w:rPr>
            </w:pPr>
            <w:r>
              <w:rPr>
                <w:rFonts w:ascii="Arial" w:cs="Arial" w:eastAsia="Arial" w:hAnsi="Arial"/>
                <w:sz w:val="18"/>
                <w:szCs w:val="18"/>
                <w:color w:val="auto"/>
              </w:rPr>
              <w:t xml:space="preserve">&gt; $15.50 </w:t>
            </w:r>
            <w:r>
              <w:rPr>
                <w:rFonts w:ascii="Arial" w:cs="Arial" w:eastAsia="Arial" w:hAnsi="Arial"/>
                <w:sz w:val="24"/>
                <w:szCs w:val="24"/>
                <w:color w:val="auto"/>
                <w:vertAlign w:val="superscript"/>
              </w:rPr>
              <w:t>(a)</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56"/>
        </w:trPr>
        <w:tc>
          <w:tcPr>
            <w:tcW w:w="6460" w:type="dxa"/>
            <w:vAlign w:val="bottom"/>
            <w:shd w:val="clear" w:color="auto" w:fill="CFF0FC"/>
          </w:tcPr>
          <w:p>
            <w:pPr>
              <w:ind w:left="2820"/>
              <w:spacing w:after="0"/>
              <w:rPr>
                <w:sz w:val="20"/>
                <w:szCs w:val="20"/>
                <w:color w:val="auto"/>
              </w:rPr>
            </w:pPr>
            <w:r>
              <w:rPr>
                <w:rFonts w:ascii="Arial" w:cs="Arial" w:eastAsia="Arial" w:hAnsi="Arial"/>
                <w:sz w:val="18"/>
                <w:szCs w:val="18"/>
                <w:color w:val="auto"/>
              </w:rPr>
              <w:t>&gt; $18.00</w:t>
            </w:r>
          </w:p>
        </w:tc>
        <w:tc>
          <w:tcPr>
            <w:tcW w:w="4780" w:type="dxa"/>
            <w:vAlign w:val="bottom"/>
            <w:gridSpan w:val="2"/>
            <w:shd w:val="clear" w:color="auto" w:fill="CFF0FC"/>
          </w:tcPr>
          <w:p>
            <w:pPr>
              <w:jc w:val="center"/>
              <w:ind w:left="450"/>
              <w:spacing w:after="0"/>
              <w:rPr>
                <w:sz w:val="20"/>
                <w:szCs w:val="20"/>
                <w:color w:val="auto"/>
              </w:rPr>
            </w:pPr>
            <w:r>
              <w:rPr>
                <w:rFonts w:ascii="Arial" w:cs="Arial" w:eastAsia="Arial" w:hAnsi="Arial"/>
                <w:sz w:val="18"/>
                <w:szCs w:val="18"/>
                <w:color w:val="auto"/>
                <w:w w:val="89"/>
              </w:rPr>
              <w:t>2,500,000</w:t>
            </w:r>
          </w:p>
        </w:tc>
      </w:tr>
      <w:tr>
        <w:trPr>
          <w:trHeight w:val="243"/>
        </w:trPr>
        <w:tc>
          <w:tcPr>
            <w:tcW w:w="6460" w:type="dxa"/>
            <w:vAlign w:val="bottom"/>
          </w:tcPr>
          <w:p>
            <w:pPr>
              <w:ind w:left="2820"/>
              <w:spacing w:after="0"/>
              <w:rPr>
                <w:sz w:val="20"/>
                <w:szCs w:val="20"/>
                <w:color w:val="auto"/>
              </w:rPr>
            </w:pPr>
            <w:r>
              <w:rPr>
                <w:rFonts w:ascii="Arial" w:cs="Arial" w:eastAsia="Arial" w:hAnsi="Arial"/>
                <w:sz w:val="18"/>
                <w:szCs w:val="18"/>
                <w:color w:val="auto"/>
              </w:rPr>
              <w:t>&gt; $20.50</w:t>
            </w:r>
          </w:p>
        </w:tc>
        <w:tc>
          <w:tcPr>
            <w:tcW w:w="478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2,500,000</w:t>
            </w: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The first and second tranches of Earn-Out Shares have been issued, as discussed below.</w:t>
      </w:r>
    </w:p>
    <w:p>
      <w:pPr>
        <w:spacing w:after="0" w:line="279"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6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91"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September 30, 2021.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Event, any issuable shares would be transferred from common stock contingent consideration to common stock and additional paid-in capital accounts.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contingently issuable shares not issued as a result of a Triggering Event not being attained by the end of the earn-out period will be canceled.</w:t>
      </w:r>
    </w:p>
    <w:p>
      <w:pPr>
        <w:spacing w:after="0" w:line="24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September 30, 2021, the potential future Earn-Out Shares issuable are between zero and 5.0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Stockholder Secondary Offering</w:t>
      </w:r>
    </w:p>
    <w:p>
      <w:pPr>
        <w:spacing w:after="0" w:line="131"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On August 20, 2021, the Platinum Stockholder sold 8,000,000 shares of the Company’s Class A Common Stock in a secondary offering. On August 25, 2021, the underwriters of the secondary offering fully exercised the overallotment option granted at the time of the secondary offering to purchase an additional 1,200,000 shares of the Company’s Class A Common Stock at the secondary offering price of $14.75 per share, less underwriting discounts and commissions, from the Platinum Stockholder. The Company received no proceeds from the secondary offering or the exercise of the overallotment option. The Company incurred $0.4 million in expenses related to the secondary offering consisting of professional services fees which were included in the selling, general and administrative expenses in the condensed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the secondary offering, the exercise of the overallotment option and the sale of additional shares in connection with the Company's repurchase program (discussed below), the Platinum Stockholder held approximately 5.1% of the Company’s outstanding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and Retirement</w:t>
      </w:r>
    </w:p>
    <w:p>
      <w:pPr>
        <w:spacing w:after="0" w:line="13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On August 9, 2021, the Company announced that its Board of Directors authorized a share repurchase program for up to an aggregate amount of $100 million of its outstanding shares of Class A Common Stock. On August 20, 2021, the Company repurchased and retired 6,849,315 shares of its Class A Common Stock from the Platinum Stockholder at a price per share of $14.60, which was equal to the price at which the underwriter exercised the overallotment option for the secondary offering discussed above. The Company paid $100 million to fund the share repurchase using existing cash on hand. The Company accounted for the share repurchase and retirement under the cost method by deducting its par value from the common stock account, reducing $72.0 million in the additional paid-in-capital account using the share price when the stock was originally issued, and the remaining excess cost of $28.0 million by increasing the accumulated deficit account.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35"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domestic vendors and customers. Outstanding letters of credit under these arrangements totaled $6.2 million at September 30, 2021. In addition, the Company has $1.8 million of bank guarantees at September 30, 2021 required to support bids and contracts with certain international customers.</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September 30, 2021 were $39.8 million.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62"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NYC Investigation</w:t>
      </w:r>
    </w:p>
    <w:p>
      <w:pPr>
        <w:spacing w:after="0" w:line="23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In January 2021, the New York City Law Department advised the Company that the City of New York was investigating certain matters related to the Company’s installation work for its largest customer, NYCDOT. The Company was informed in March 2021 by the NYC Law Department that it had concluded its investigation, and an agreement was reached in principle to resolve the matter for approximately $1.3 million, which was accrued during the three months ended March 31, 2021, subject to final administrative approvals.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39"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6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i w:val="1"/>
          <w:iCs w:val="1"/>
          <w:color w:val="auto"/>
        </w:rPr>
        <w:t xml:space="preserve">Brantley v. City of Gretna </w:t>
      </w:r>
      <w:r>
        <w:rPr>
          <w:rFonts w:ascii="Arial" w:cs="Arial" w:eastAsia="Arial" w:hAnsi="Arial"/>
          <w:sz w:val="18"/>
          <w:szCs w:val="18"/>
          <w:color w:val="auto"/>
        </w:rPr>
        <w:t>is a class action lawsuit filed in the 24th Judicial District Court of Jefferson Parish, Louisiana against the City of</w:t>
      </w:r>
      <w:r>
        <w:rPr>
          <w:rFonts w:ascii="Arial" w:cs="Arial" w:eastAsia="Arial" w:hAnsi="Arial"/>
          <w:sz w:val="18"/>
          <w:szCs w:val="18"/>
          <w:i w:val="1"/>
          <w:iCs w:val="1"/>
          <w:color w:val="auto"/>
        </w:rPr>
        <w:t xml:space="preserve"> </w:t>
      </w:r>
      <w:r>
        <w:rPr>
          <w:rFonts w:ascii="Arial" w:cs="Arial" w:eastAsia="Arial" w:hAnsi="Arial"/>
          <w:sz w:val="18"/>
          <w:szCs w:val="18"/>
          <w:color w:val="auto"/>
        </w:rPr>
        <w:t>Gretna (“</w:t>
      </w:r>
      <w:r>
        <w:rPr>
          <w:rFonts w:ascii="Arial" w:cs="Arial" w:eastAsia="Arial" w:hAnsi="Arial"/>
          <w:sz w:val="18"/>
          <w:szCs w:val="18"/>
          <w:b w:val="1"/>
          <w:bCs w:val="1"/>
          <w:i w:val="1"/>
          <w:iCs w:val="1"/>
          <w:color w:val="auto"/>
        </w:rPr>
        <w:t>City</w:t>
      </w:r>
      <w:r>
        <w:rPr>
          <w:rFonts w:ascii="Arial" w:cs="Arial" w:eastAsia="Arial" w:hAnsi="Arial"/>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have initiated an appeal of the trial court’s ruling granting class certification, which remains pending. Based on the information available to the Company at present, it cannot reasonably estimate a range of loss for this action and, accordingly, it has not accrued any liability associated with this 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3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and foreign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749"/>
        <w:spacing w:after="0" w:line="292" w:lineRule="auto"/>
        <w:rPr>
          <w:sz w:val="20"/>
          <w:szCs w:val="20"/>
          <w:color w:val="auto"/>
        </w:rPr>
      </w:pPr>
      <w:r>
        <w:rPr>
          <w:rFonts w:ascii="Arial" w:cs="Arial" w:eastAsia="Arial" w:hAnsi="Arial"/>
          <w:sz w:val="17"/>
          <w:szCs w:val="17"/>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4"/>
              </w:rPr>
              <w:t>For the Three Months Ended September 30,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Government</w:t>
            </w:r>
          </w:p>
        </w:tc>
        <w:tc>
          <w:tcPr>
            <w:tcW w:w="18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77,257</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64,554</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141,811</w:t>
            </w:r>
          </w:p>
        </w:tc>
        <w:tc>
          <w:tcPr>
            <w:tcW w:w="100" w:type="dxa"/>
            <w:vAlign w:val="bottom"/>
            <w:shd w:val="clear" w:color="auto" w:fill="CFF0FC"/>
          </w:tcPr>
          <w:p>
            <w:pPr>
              <w:spacing w:after="0"/>
              <w:rPr>
                <w:sz w:val="20"/>
                <w:szCs w:val="20"/>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20,284</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20,284</w:t>
            </w:r>
          </w:p>
        </w:tc>
        <w:tc>
          <w:tcPr>
            <w:tcW w:w="100" w:type="dxa"/>
            <w:vAlign w:val="bottom"/>
          </w:tcPr>
          <w:p>
            <w:pPr>
              <w:spacing w:after="0"/>
              <w:rPr>
                <w:sz w:val="21"/>
                <w:szCs w:val="21"/>
                <w:color w:val="auto"/>
              </w:rPr>
            </w:pPr>
          </w:p>
        </w:tc>
      </w:tr>
      <w:tr>
        <w:trPr>
          <w:trHeight w:val="257"/>
        </w:trPr>
        <w:tc>
          <w:tcPr>
            <w:tcW w:w="20" w:type="dxa"/>
            <w:vAlign w:val="bottom"/>
            <w:shd w:val="clear" w:color="auto" w:fill="CFF0FC"/>
          </w:tcPr>
          <w:p>
            <w:pPr>
              <w:spacing w:after="0"/>
              <w:rPr>
                <w:sz w:val="22"/>
                <w:szCs w:val="22"/>
                <w:color w:val="auto"/>
              </w:rPr>
            </w:pPr>
          </w:p>
        </w:tc>
        <w:tc>
          <w:tcPr>
            <w:tcW w:w="5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77,257</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84,838</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162,095</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30,659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48,130</w:t>
            </w:r>
          </w:p>
        </w:tc>
        <w:tc>
          <w:tcPr>
            <w:tcW w:w="100" w:type="dxa"/>
            <w:vAlign w:val="bottom"/>
          </w:tcPr>
          <w:p>
            <w:pPr>
              <w:spacing w:after="0"/>
              <w:rPr>
                <w:sz w:val="21"/>
                <w:szCs w:val="21"/>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10,615</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14,763</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30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28,056</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(3,138 )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(356 )</w:t>
            </w: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(3,494 )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34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Segment profit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51,313</w:t>
            </w:r>
          </w:p>
        </w:tc>
        <w:tc>
          <w:tcPr>
            <w:tcW w:w="1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29,965</w:t>
            </w:r>
          </w:p>
        </w:tc>
        <w:tc>
          <w:tcPr>
            <w:tcW w:w="3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(2,678 )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78,600</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Segment profit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29,965</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(2,678 )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78,600</w:t>
            </w:r>
          </w:p>
        </w:tc>
        <w:tc>
          <w:tcPr>
            <w:tcW w:w="100" w:type="dxa"/>
            <w:vAlign w:val="bottom"/>
          </w:tcPr>
          <w:p>
            <w:pPr>
              <w:spacing w:after="0"/>
              <w:rPr>
                <w:sz w:val="20"/>
                <w:szCs w:val="20"/>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w:t>
            </w:r>
          </w:p>
        </w:tc>
        <w:tc>
          <w:tcPr>
            <w:tcW w:w="30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private placement warrants</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(5,067 )</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(5,067 )</w:t>
            </w: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30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11,637</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FF0FC"/>
            </w:tcBorders>
          </w:tcPr>
          <w:p>
            <w:pPr>
              <w:spacing w:after="0"/>
              <w:rPr>
                <w:sz w:val="21"/>
                <w:szCs w:val="21"/>
                <w:color w:val="auto"/>
              </w:rPr>
            </w:pPr>
          </w:p>
        </w:tc>
      </w:tr>
      <w:tr>
        <w:trPr>
          <w:trHeight w:val="270"/>
        </w:trPr>
        <w:tc>
          <w:tcPr>
            <w:tcW w:w="20" w:type="dxa"/>
            <w:vAlign w:val="bottom"/>
            <w:shd w:val="clear" w:color="auto" w:fill="CFF0FC"/>
          </w:tcPr>
          <w:p>
            <w:pPr>
              <w:spacing w:after="0"/>
              <w:rPr>
                <w:sz w:val="23"/>
                <w:szCs w:val="23"/>
                <w:color w:val="auto"/>
              </w:rPr>
            </w:pPr>
          </w:p>
        </w:tc>
        <w:tc>
          <w:tcPr>
            <w:tcW w:w="5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51,313</w:t>
            </w:r>
          </w:p>
        </w:tc>
        <w:tc>
          <w:tcPr>
            <w:tcW w:w="1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29,965</w:t>
            </w:r>
          </w:p>
        </w:tc>
        <w:tc>
          <w:tcPr>
            <w:tcW w:w="3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(42,480 )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38,798</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Government</w:t>
            </w:r>
          </w:p>
        </w:tc>
        <w:tc>
          <w:tcPr>
            <w:tcW w:w="18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Solutions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8"/>
                <w:szCs w:val="18"/>
                <w:color w:val="auto"/>
              </w:rPr>
            </w:pPr>
          </w:p>
        </w:tc>
      </w:tr>
      <w:tr>
        <w:trPr>
          <w:trHeight w:val="162"/>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restated)</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(As restated)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44,153</w:t>
            </w:r>
          </w:p>
        </w:tc>
        <w:tc>
          <w:tcPr>
            <w:tcW w:w="14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38,827</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tcPr>
          <w:p>
            <w:pPr>
              <w:spacing w:after="0"/>
              <w:rPr>
                <w:sz w:val="21"/>
                <w:szCs w:val="21"/>
                <w:color w:val="auto"/>
              </w:rPr>
            </w:pPr>
          </w:p>
        </w:tc>
      </w:tr>
      <w:tr>
        <w:trPr>
          <w:trHeight w:val="257"/>
        </w:trPr>
        <w:tc>
          <w:tcPr>
            <w:tcW w:w="20" w:type="dxa"/>
            <w:vAlign w:val="bottom"/>
            <w:shd w:val="clear" w:color="auto" w:fill="CFF0FC"/>
          </w:tcPr>
          <w:p>
            <w:pPr>
              <w:spacing w:after="0"/>
              <w:rPr>
                <w:sz w:val="22"/>
                <w:szCs w:val="22"/>
                <w:color w:val="auto"/>
              </w:rPr>
            </w:pPr>
          </w:p>
        </w:tc>
        <w:tc>
          <w:tcPr>
            <w:tcW w:w="5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44,153</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52,755</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product sales</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26,361</w:t>
            </w:r>
          </w:p>
        </w:tc>
        <w:tc>
          <w:tcPr>
            <w:tcW w:w="100" w:type="dxa"/>
            <w:vAlign w:val="bottom"/>
          </w:tcPr>
          <w:p>
            <w:pPr>
              <w:spacing w:after="0"/>
              <w:rPr>
                <w:sz w:val="21"/>
                <w:szCs w:val="21"/>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w:t>
            </w:r>
          </w:p>
        </w:tc>
        <w:tc>
          <w:tcPr>
            <w:tcW w:w="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(4,949 )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(33 )</w:t>
            </w: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(4,982 )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34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Segment profit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30,832</w:t>
            </w:r>
          </w:p>
        </w:tc>
        <w:tc>
          <w:tcPr>
            <w:tcW w:w="1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3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52,993</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Segment profit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30,832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22,675</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52,993</w:t>
            </w:r>
          </w:p>
        </w:tc>
        <w:tc>
          <w:tcPr>
            <w:tcW w:w="100" w:type="dxa"/>
            <w:vAlign w:val="bottom"/>
          </w:tcPr>
          <w:p>
            <w:pPr>
              <w:spacing w:after="0"/>
              <w:rPr>
                <w:sz w:val="20"/>
                <w:szCs w:val="20"/>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29,419</w:t>
            </w:r>
          </w:p>
        </w:tc>
        <w:tc>
          <w:tcPr>
            <w:tcW w:w="30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29,419</w:t>
            </w:r>
          </w:p>
        </w:tc>
        <w:tc>
          <w:tcPr>
            <w:tcW w:w="100" w:type="dxa"/>
            <w:vAlign w:val="bottom"/>
            <w:shd w:val="clear" w:color="auto" w:fill="CFF0FC"/>
          </w:tcPr>
          <w:p>
            <w:pPr>
              <w:spacing w:after="0"/>
              <w:rPr>
                <w:sz w:val="22"/>
                <w:szCs w:val="22"/>
                <w:color w:val="auto"/>
              </w:rPr>
            </w:pP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Loss on disposal of assets,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r>
      <w:tr>
        <w:trPr>
          <w:trHeight w:val="26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private placement warrants</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(4,400 )</w:t>
            </w:r>
          </w:p>
        </w:tc>
        <w:tc>
          <w:tcPr>
            <w:tcW w:w="1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(4,400 )</w:t>
            </w: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r>
      <w:tr>
        <w:trPr>
          <w:trHeight w:val="257"/>
        </w:trPr>
        <w:tc>
          <w:tcPr>
            <w:tcW w:w="5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300" w:type="dxa"/>
            <w:vAlign w:val="bottom"/>
            <w:tcBorders>
              <w:left w:val="single" w:sz="8" w:color="CFF0FC"/>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30,821</w:t>
            </w:r>
          </w:p>
        </w:tc>
        <w:tc>
          <w:tcPr>
            <w:tcW w:w="14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22,515</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(38,264 )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12"/>
              <w:spacing w:after="0"/>
              <w:rPr>
                <w:sz w:val="20"/>
                <w:szCs w:val="20"/>
                <w:color w:val="auto"/>
              </w:rPr>
            </w:pPr>
            <w:r>
              <w:rPr>
                <w:rFonts w:ascii="Arial" w:cs="Arial" w:eastAsia="Arial" w:hAnsi="Arial"/>
                <w:sz w:val="18"/>
                <w:szCs w:val="18"/>
                <w:color w:val="auto"/>
                <w:w w:val="99"/>
              </w:rPr>
              <w:t>26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-4902835</wp:posOffset>
            </wp:positionV>
            <wp:extent cx="1968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-4885690</wp:posOffset>
            </wp:positionV>
            <wp:extent cx="1968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-4902835</wp:posOffset>
            </wp:positionV>
            <wp:extent cx="197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-4885690</wp:posOffset>
            </wp:positionV>
            <wp:extent cx="197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-4902835</wp:posOffset>
            </wp:positionV>
            <wp:extent cx="1803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-4885690</wp:posOffset>
            </wp:positionV>
            <wp:extent cx="1803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-3891280</wp:posOffset>
            </wp:positionV>
            <wp:extent cx="1968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-3874135</wp:posOffset>
            </wp:positionV>
            <wp:extent cx="1968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-4062730</wp:posOffset>
            </wp:positionV>
            <wp:extent cx="1968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-3891280</wp:posOffset>
            </wp:positionV>
            <wp:extent cx="1974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-3874135</wp:posOffset>
            </wp:positionV>
            <wp:extent cx="1974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-4062730</wp:posOffset>
            </wp:positionV>
            <wp:extent cx="1974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-3891280</wp:posOffset>
            </wp:positionV>
            <wp:extent cx="1803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-3874135</wp:posOffset>
            </wp:positionV>
            <wp:extent cx="1803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-4062730</wp:posOffset>
            </wp:positionV>
            <wp:extent cx="1803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-1704975</wp:posOffset>
            </wp:positionV>
            <wp:extent cx="1968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-1687830</wp:posOffset>
            </wp:positionV>
            <wp:extent cx="1968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-1704975</wp:posOffset>
            </wp:positionV>
            <wp:extent cx="1974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-1687830</wp:posOffset>
            </wp:positionV>
            <wp:extent cx="1974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-1704975</wp:posOffset>
            </wp:positionV>
            <wp:extent cx="1803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-1687830</wp:posOffset>
            </wp:positionV>
            <wp:extent cx="1803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-699135</wp:posOffset>
            </wp:positionV>
            <wp:extent cx="19685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-699135</wp:posOffset>
            </wp:positionV>
            <wp:extent cx="19748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-699135</wp:posOffset>
            </wp:positionV>
            <wp:extent cx="1803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For the Nine Months Ended September 30, 2021</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Government</w:t>
            </w:r>
          </w:p>
        </w:tc>
        <w:tc>
          <w:tcPr>
            <w:tcW w:w="20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3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189,426</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348,000</w:t>
            </w:r>
          </w:p>
        </w:tc>
        <w:tc>
          <w:tcPr>
            <w:tcW w:w="100" w:type="dxa"/>
            <w:vAlign w:val="bottom"/>
            <w:shd w:val="clear" w:color="auto" w:fill="CFF0FC"/>
          </w:tcPr>
          <w:p>
            <w:pPr>
              <w:spacing w:after="0"/>
              <w:rPr>
                <w:sz w:val="20"/>
                <w:szCs w:val="20"/>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32,610</w:t>
            </w:r>
          </w:p>
        </w:tc>
        <w:tc>
          <w:tcPr>
            <w:tcW w:w="100" w:type="dxa"/>
            <w:vAlign w:val="bottom"/>
          </w:tcPr>
          <w:p>
            <w:pPr>
              <w:spacing w:after="0"/>
              <w:rPr>
                <w:sz w:val="21"/>
                <w:szCs w:val="21"/>
                <w:color w:val="auto"/>
              </w:rPr>
            </w:pPr>
          </w:p>
        </w:tc>
      </w:tr>
      <w:tr>
        <w:trPr>
          <w:trHeight w:val="256"/>
        </w:trPr>
        <w:tc>
          <w:tcPr>
            <w:tcW w:w="20" w:type="dxa"/>
            <w:vAlign w:val="bottom"/>
            <w:shd w:val="clear" w:color="auto" w:fill="CFF0FC"/>
          </w:tcPr>
          <w:p>
            <w:pPr>
              <w:spacing w:after="0"/>
              <w:rPr>
                <w:sz w:val="22"/>
                <w:szCs w:val="22"/>
                <w:color w:val="auto"/>
              </w:rPr>
            </w:pPr>
          </w:p>
        </w:tc>
        <w:tc>
          <w:tcPr>
            <w:tcW w:w="5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189,426</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191,184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380,610</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product sales</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47,667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66,947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114,614</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30,886</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10,110</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76,689</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(7,802 )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(1,503 )</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(9,305 )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32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Segment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116,243</w:t>
            </w: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73,293</w:t>
            </w: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(10,110 )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179,426</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Segment profit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116,243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73,293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(10,110 )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179,426</w:t>
            </w:r>
          </w:p>
        </w:tc>
        <w:tc>
          <w:tcPr>
            <w:tcW w:w="100" w:type="dxa"/>
            <w:vAlign w:val="bottom"/>
          </w:tcPr>
          <w:p>
            <w:pPr>
              <w:spacing w:after="0"/>
              <w:rPr>
                <w:sz w:val="20"/>
                <w:szCs w:val="20"/>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84,756</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Loss on disposal of assets, net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private placement warrants</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Tax receivable agreement liability adjustment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32,481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32,481</w:t>
            </w:r>
          </w:p>
        </w:tc>
        <w:tc>
          <w:tcPr>
            <w:tcW w:w="100" w:type="dxa"/>
            <w:vAlign w:val="bottom"/>
          </w:tcPr>
          <w:p>
            <w:pPr>
              <w:spacing w:after="0"/>
              <w:rPr>
                <w:sz w:val="21"/>
                <w:szCs w:val="21"/>
                <w:color w:val="auto"/>
              </w:rPr>
            </w:pPr>
          </w:p>
        </w:tc>
      </w:tr>
      <w:tr>
        <w:trPr>
          <w:trHeight w:val="257"/>
        </w:trPr>
        <w:tc>
          <w:tcPr>
            <w:tcW w:w="53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320" w:type="dxa"/>
            <w:vAlign w:val="bottom"/>
            <w:gridSpan w:val="2"/>
          </w:tcPr>
          <w:p>
            <w:pPr>
              <w:ind w:left="10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116,243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73,243</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(149,593 )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39,893</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For the Nine Months Ended September 30, 2020</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Government</w:t>
            </w:r>
          </w:p>
        </w:tc>
        <w:tc>
          <w:tcPr>
            <w:tcW w:w="20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0"/>
              </w:rPr>
              <w:t>Solutions</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and Other</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8"/>
                <w:szCs w:val="18"/>
                <w:color w:val="auto"/>
              </w:rPr>
            </w:pPr>
          </w:p>
        </w:tc>
      </w:tr>
      <w:tr>
        <w:trPr>
          <w:trHeight w:val="162"/>
        </w:trPr>
        <w:tc>
          <w:tcPr>
            <w:tcW w:w="53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(As restated)</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restated)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16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112,625</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245,292</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w:t>
            </w:r>
          </w:p>
        </w:tc>
        <w:tc>
          <w:tcPr>
            <w:tcW w:w="100" w:type="dxa"/>
            <w:vAlign w:val="bottom"/>
          </w:tcPr>
          <w:p>
            <w:pPr>
              <w:spacing w:after="0"/>
              <w:rPr>
                <w:sz w:val="21"/>
                <w:szCs w:val="21"/>
                <w:color w:val="auto"/>
              </w:rPr>
            </w:pPr>
          </w:p>
        </w:tc>
      </w:tr>
      <w:tr>
        <w:trPr>
          <w:trHeight w:val="256"/>
        </w:trPr>
        <w:tc>
          <w:tcPr>
            <w:tcW w:w="20" w:type="dxa"/>
            <w:vAlign w:val="bottom"/>
            <w:shd w:val="clear" w:color="auto" w:fill="CFF0FC"/>
          </w:tcPr>
          <w:p>
            <w:pPr>
              <w:spacing w:after="0"/>
              <w:rPr>
                <w:sz w:val="22"/>
                <w:szCs w:val="22"/>
                <w:color w:val="auto"/>
              </w:rPr>
            </w:pPr>
          </w:p>
        </w:tc>
        <w:tc>
          <w:tcPr>
            <w:tcW w:w="5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160,763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293,430</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product sales</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39,076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84,805</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29,495</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(9,345 )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(85 )</w:t>
            </w: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(9,430 )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532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Segment profit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71,434</w:t>
            </w: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64,223</w:t>
            </w: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(1,302 )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134,355</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Segment profit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64,223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134,355</w:t>
            </w:r>
          </w:p>
        </w:tc>
        <w:tc>
          <w:tcPr>
            <w:tcW w:w="100" w:type="dxa"/>
            <w:vAlign w:val="bottom"/>
          </w:tcPr>
          <w:p>
            <w:pPr>
              <w:spacing w:after="0"/>
              <w:rPr>
                <w:sz w:val="20"/>
                <w:szCs w:val="20"/>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87,828</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Loss on disposal of assets, net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private placement warrants</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(11,533 )</w:t>
            </w:r>
          </w:p>
        </w:tc>
        <w:tc>
          <w:tcPr>
            <w:tcW w:w="1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(11,533 )</w:t>
            </w: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Tax receivable agreement liability adjustment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r>
      <w:tr>
        <w:trPr>
          <w:trHeight w:val="263"/>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31,568</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31,568</w:t>
            </w:r>
          </w:p>
        </w:tc>
        <w:tc>
          <w:tcPr>
            <w:tcW w:w="100" w:type="dxa"/>
            <w:vAlign w:val="bottom"/>
          </w:tcPr>
          <w:p>
            <w:pPr>
              <w:spacing w:after="0"/>
              <w:rPr>
                <w:sz w:val="21"/>
                <w:szCs w:val="21"/>
                <w:color w:val="auto"/>
              </w:rPr>
            </w:pPr>
          </w:p>
        </w:tc>
      </w:tr>
      <w:tr>
        <w:trPr>
          <w:trHeight w:val="270"/>
        </w:trPr>
        <w:tc>
          <w:tcPr>
            <w:tcW w:w="20" w:type="dxa"/>
            <w:vAlign w:val="bottom"/>
            <w:shd w:val="clear" w:color="auto" w:fill="CFF0FC"/>
          </w:tcPr>
          <w:p>
            <w:pPr>
              <w:spacing w:after="0"/>
              <w:rPr>
                <w:sz w:val="23"/>
                <w:szCs w:val="23"/>
                <w:color w:val="auto"/>
              </w:rPr>
            </w:pPr>
          </w:p>
        </w:tc>
        <w:tc>
          <w:tcPr>
            <w:tcW w:w="5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71,418</w:t>
            </w: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64,065</w:t>
            </w: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(122,803 )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shd w:val="clear" w:color="auto" w:fill="CFF0FC"/>
          </w:tcPr>
          <w:p>
            <w:pPr>
              <w:spacing w:after="0"/>
              <w:rPr>
                <w:sz w:val="23"/>
                <w:szCs w:val="23"/>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-5065395</wp:posOffset>
            </wp:positionV>
            <wp:extent cx="1968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-5048250</wp:posOffset>
            </wp:positionV>
            <wp:extent cx="1968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-5065395</wp:posOffset>
            </wp:positionV>
            <wp:extent cx="1803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-5048250</wp:posOffset>
            </wp:positionV>
            <wp:extent cx="1803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-5065395</wp:posOffset>
            </wp:positionV>
            <wp:extent cx="1797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-5048250</wp:posOffset>
            </wp:positionV>
            <wp:extent cx="1797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-3733800</wp:posOffset>
            </wp:positionV>
            <wp:extent cx="19685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-3733800</wp:posOffset>
            </wp:positionV>
            <wp:extent cx="1803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-3733800</wp:posOffset>
            </wp:positionV>
            <wp:extent cx="17970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-3733800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-1362075</wp:posOffset>
            </wp:positionV>
            <wp:extent cx="1968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-1344930</wp:posOffset>
            </wp:positionV>
            <wp:extent cx="1968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-1362075</wp:posOffset>
            </wp:positionV>
            <wp:extent cx="1803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-1344930</wp:posOffset>
            </wp:positionV>
            <wp:extent cx="180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-1362075</wp:posOffset>
            </wp:positionV>
            <wp:extent cx="1797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-1344930</wp:posOffset>
            </wp:positionV>
            <wp:extent cx="1797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1968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1968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1803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803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797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797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 xml:space="preserve">The Company primarily operates within the United States, Australia, Europe and Canada. Revenues are attributable to countries based upon the location of the customer. Revenues from international customers were $13.8 million and $3.6 million for the three months ended September 30, 2021 and 2020, respectively, and were $21.6 million and $10.4 million for the nine months ended September 30, 2021 and 2020, respectively. The Company does not disaggregate assets by segment other than certain customer equipment and vehicles related to the Government Solutions segment. Refer to Note 5, </w:t>
      </w: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for goodwill balances by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Guarantor/Non-Guarantor Financial Information</w:t>
      </w:r>
    </w:p>
    <w:p>
      <w:pPr>
        <w:spacing w:after="0" w:line="13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VM Consolidated, Inc., a wholly owned subsidiary of the Company, is the lead borrower of the 2021 Term Loan, Senior Notes and the Revolver. VM Consolidated, Inc. is owned by the Company through a series of holding companies that ultimately end with the Company. VM Consolidated, Inc. is wholly owned by Greenlight Acquisition Corporation, which 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8"/>
          <w:szCs w:val="18"/>
          <w:color w:val="auto"/>
        </w:rPr>
        <w:t>wholly owned by Greenlight Intermediate Holding Corporation, which is wholly owned by Greenlight Holding Corporation, which is wholly owned by Verra Mobility Holdings, LLC, which is wholly owned by Verra Mobility Corporation or the Company. The principal elimination entries relate to investments in subsidiaries and intercompany balances and transactions, including transactions with the Company’s wholly owned subsidiary guarantor and non-guarantor subsidiaries.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following financial information presents the condensed consolidated balance sheets as of September 30, 2021 and the related condensed consolidated statements of operations and comprehensive income for the three and nine months ended September 30, 2021 and the condensed consolidated statements of cash flows for the nine months ended September 30, 2021 for the Company, the combined guarantor subsidiary and the combined non-guarantor subsidiaries.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September 30,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VM</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Verra Mobility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Inc.</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Corporation</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(Guarantor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0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(Ultimate Parent)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Subsidiary)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102,912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25,335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128,247</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17"/>
                <w:szCs w:val="17"/>
                <w:color w:val="auto"/>
              </w:rPr>
            </w:pPr>
          </w:p>
        </w:tc>
      </w:tr>
      <w:tr>
        <w:trPr>
          <w:trHeight w:val="190"/>
        </w:trPr>
        <w:tc>
          <w:tcPr>
            <w:tcW w:w="20" w:type="dxa"/>
            <w:vAlign w:val="bottom"/>
            <w:shd w:val="clear" w:color="auto" w:fill="CFF0FC"/>
          </w:tcPr>
          <w:p>
            <w:pPr>
              <w:spacing w:after="0"/>
              <w:rPr>
                <w:sz w:val="16"/>
                <w:szCs w:val="16"/>
                <w:color w:val="auto"/>
              </w:rPr>
            </w:pPr>
          </w:p>
        </w:tc>
        <w:tc>
          <w:tcPr>
            <w:tcW w:w="4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Accounts receivable (net of allowance for credit loss of</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shd w:val="clear" w:color="auto" w:fill="CFF0FC"/>
          </w:tcPr>
          <w:p>
            <w:pPr>
              <w:spacing w:after="0"/>
              <w:rPr>
                <w:sz w:val="16"/>
                <w:szCs w:val="16"/>
                <w:color w:val="auto"/>
              </w:rPr>
            </w:pPr>
          </w:p>
        </w:tc>
        <w:tc>
          <w:tcPr>
            <w:tcW w:w="4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$14.7 million)</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165,166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174,463</w:t>
            </w:r>
          </w:p>
        </w:tc>
        <w:tc>
          <w:tcPr>
            <w:tcW w:w="100" w:type="dxa"/>
            <w:vAlign w:val="bottom"/>
            <w:shd w:val="clear" w:color="auto" w:fill="CFF0FC"/>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27,422</w:t>
            </w:r>
          </w:p>
        </w:tc>
        <w:tc>
          <w:tcPr>
            <w:tcW w:w="100" w:type="dxa"/>
            <w:vAlign w:val="bottom"/>
          </w:tcPr>
          <w:p>
            <w:pPr>
              <w:spacing w:after="0"/>
              <w:rPr>
                <w:sz w:val="17"/>
                <w:szCs w:val="17"/>
                <w:color w:val="auto"/>
              </w:rPr>
            </w:pPr>
          </w:p>
        </w:tc>
      </w:tr>
      <w:tr>
        <w:trPr>
          <w:trHeight w:val="209"/>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Investment in subsidiary</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203,856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(278,263 )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25,884</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39,054</w:t>
            </w:r>
          </w:p>
        </w:tc>
        <w:tc>
          <w:tcPr>
            <w:tcW w:w="100" w:type="dxa"/>
            <w:vAlign w:val="bottom"/>
          </w:tcPr>
          <w:p>
            <w:pPr>
              <w:spacing w:after="0"/>
              <w:rPr>
                <w:sz w:val="17"/>
                <w:szCs w:val="17"/>
                <w:color w:val="auto"/>
              </w:rPr>
            </w:pPr>
          </w:p>
        </w:tc>
      </w:tr>
      <w:tr>
        <w:trPr>
          <w:trHeight w:val="202"/>
        </w:trPr>
        <w:tc>
          <w:tcPr>
            <w:tcW w:w="40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516,707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59,280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(278,263 )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372,131</w:t>
            </w:r>
          </w:p>
        </w:tc>
        <w:tc>
          <w:tcPr>
            <w:tcW w:w="100" w:type="dxa"/>
            <w:vAlign w:val="bottom"/>
            <w:shd w:val="clear" w:color="auto" w:fill="CFF0FC"/>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Installation and service parts, net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8,198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10,596</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95,786</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Operating lease assets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28,859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32,960</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254,216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317,031</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524,766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112,973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637,739</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Due from affiliates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(169,259 )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Other non-current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15,673</w:t>
            </w:r>
          </w:p>
        </w:tc>
        <w:tc>
          <w:tcPr>
            <w:tcW w:w="100" w:type="dxa"/>
            <w:vAlign w:val="bottom"/>
          </w:tcPr>
          <w:p>
            <w:pPr>
              <w:spacing w:after="0"/>
              <w:rPr>
                <w:sz w:val="17"/>
                <w:szCs w:val="17"/>
                <w:color w:val="auto"/>
              </w:rPr>
            </w:pPr>
          </w:p>
        </w:tc>
      </w:tr>
      <w:tr>
        <w:trPr>
          <w:trHeight w:val="236"/>
        </w:trPr>
        <w:tc>
          <w:tcPr>
            <w:tcW w:w="40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243,666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1,401,531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284,241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(447,522 )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1,481,916</w:t>
            </w:r>
          </w:p>
        </w:tc>
        <w:tc>
          <w:tcPr>
            <w:tcW w:w="100" w:type="dxa"/>
            <w:vAlign w:val="bottom"/>
            <w:shd w:val="clear" w:color="auto" w:fill="CFF0FC"/>
          </w:tcPr>
          <w:p>
            <w:pPr>
              <w:spacing w:after="0"/>
              <w:rPr>
                <w:sz w:val="20"/>
                <w:szCs w:val="20"/>
                <w:color w:val="auto"/>
              </w:rPr>
            </w:pPr>
          </w:p>
        </w:tc>
      </w:tr>
      <w:tr>
        <w:trPr>
          <w:trHeight w:val="183"/>
        </w:trPr>
        <w:tc>
          <w:tcPr>
            <w:tcW w:w="4040" w:type="dxa"/>
            <w:vAlign w:val="bottom"/>
            <w:tcBorders>
              <w:top w:val="single" w:sz="8" w:color="CFF0FC"/>
            </w:tcBorders>
            <w:gridSpan w:val="3"/>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9"/>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31,286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17,346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48,632</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12,857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53,663</w:t>
            </w:r>
          </w:p>
        </w:tc>
        <w:tc>
          <w:tcPr>
            <w:tcW w:w="100" w:type="dxa"/>
            <w:vAlign w:val="bottom"/>
            <w:shd w:val="clear" w:color="auto" w:fill="CFF0FC"/>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w w:val="98"/>
              </w:rPr>
              <w:t>Payable to related party pursuant to tax receivable agreement,</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020" w:type="dxa"/>
            <w:vAlign w:val="bottom"/>
            <w:gridSpan w:val="2"/>
          </w:tcPr>
          <w:p>
            <w:pPr>
              <w:ind w:left="180"/>
              <w:spacing w:after="0"/>
              <w:rPr>
                <w:sz w:val="20"/>
                <w:szCs w:val="20"/>
                <w:color w:val="auto"/>
              </w:rPr>
            </w:pPr>
            <w:r>
              <w:rPr>
                <w:rFonts w:ascii="Arial" w:cs="Arial" w:eastAsia="Arial" w:hAnsi="Arial"/>
                <w:sz w:val="14"/>
                <w:szCs w:val="14"/>
                <w:color w:val="auto"/>
              </w:rPr>
              <w:t>current portion</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5,202</w:t>
            </w:r>
          </w:p>
        </w:tc>
        <w:tc>
          <w:tcPr>
            <w:tcW w:w="100" w:type="dxa"/>
            <w:vAlign w:val="bottom"/>
          </w:tcPr>
          <w:p>
            <w:pPr>
              <w:spacing w:after="0"/>
              <w:rPr>
                <w:sz w:val="16"/>
                <w:szCs w:val="16"/>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Current portion of long-term debt</w:t>
            </w: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gridSpan w:val="3"/>
          </w:tcPr>
          <w:p>
            <w:pPr>
              <w:ind w:left="2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83,794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33,136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116,930</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Long-term debt, net of current portion</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965,362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965,362</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Operating lease liabilities, net of current portion</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31,570</w:t>
            </w:r>
          </w:p>
        </w:tc>
        <w:tc>
          <w:tcPr>
            <w:tcW w:w="100" w:type="dxa"/>
            <w:vAlign w:val="bottom"/>
          </w:tcPr>
          <w:p>
            <w:pPr>
              <w:spacing w:after="0"/>
              <w:rPr>
                <w:sz w:val="17"/>
                <w:szCs w:val="17"/>
                <w:color w:val="auto"/>
              </w:rPr>
            </w:pPr>
          </w:p>
        </w:tc>
      </w:tr>
      <w:tr>
        <w:trPr>
          <w:trHeight w:val="190"/>
        </w:trPr>
        <w:tc>
          <w:tcPr>
            <w:tcW w:w="20" w:type="dxa"/>
            <w:vAlign w:val="bottom"/>
            <w:shd w:val="clear" w:color="auto" w:fill="CFF0FC"/>
          </w:tcPr>
          <w:p>
            <w:pPr>
              <w:spacing w:after="0"/>
              <w:rPr>
                <w:sz w:val="16"/>
                <w:szCs w:val="16"/>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95"/>
              </w:rPr>
              <w:t>Payable to related party pursuant to tax receivable agreement, net</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20" w:type="dxa"/>
            <w:vAlign w:val="bottom"/>
            <w:shd w:val="clear" w:color="auto" w:fill="CFF0FC"/>
          </w:tcPr>
          <w:p>
            <w:pPr>
              <w:spacing w:after="0"/>
              <w:rPr>
                <w:sz w:val="16"/>
                <w:szCs w:val="16"/>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of current portion</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64,329</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64,329</w:t>
            </w:r>
          </w:p>
        </w:tc>
        <w:tc>
          <w:tcPr>
            <w:tcW w:w="100" w:type="dxa"/>
            <w:vAlign w:val="bottom"/>
            <w:shd w:val="clear" w:color="auto" w:fill="CFF0FC"/>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Private placement warrant liabilities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35,933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35,933</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Due to affiliates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134,566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(169,259 )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Asset retirement obligation</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10,708</w:t>
            </w:r>
          </w:p>
        </w:tc>
        <w:tc>
          <w:tcPr>
            <w:tcW w:w="10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0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Deferred tax liabilities,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12,378</w:t>
            </w:r>
          </w:p>
        </w:tc>
        <w:tc>
          <w:tcPr>
            <w:tcW w:w="10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7"/>
                <w:szCs w:val="17"/>
                <w:color w:val="auto"/>
              </w:rPr>
            </w:pPr>
          </w:p>
        </w:tc>
      </w:tr>
      <w:tr>
        <w:trPr>
          <w:trHeight w:val="202"/>
        </w:trPr>
        <w:tc>
          <w:tcPr>
            <w:tcW w:w="40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1,327,124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80,385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(169,259 )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1,238,250</w:t>
            </w:r>
          </w:p>
        </w:tc>
        <w:tc>
          <w:tcPr>
            <w:tcW w:w="100" w:type="dxa"/>
            <w:vAlign w:val="bottom"/>
            <w:shd w:val="clear" w:color="auto" w:fill="CFF0FC"/>
          </w:tcPr>
          <w:p>
            <w:pPr>
              <w:spacing w:after="0"/>
              <w:rPr>
                <w:sz w:val="17"/>
                <w:szCs w:val="17"/>
                <w:color w:val="auto"/>
              </w:rPr>
            </w:pPr>
          </w:p>
        </w:tc>
      </w:tr>
      <w:tr>
        <w:trPr>
          <w:trHeight w:val="196"/>
        </w:trPr>
        <w:tc>
          <w:tcPr>
            <w:tcW w:w="4040" w:type="dxa"/>
            <w:vAlign w:val="bottom"/>
            <w:gridSpan w:val="3"/>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243,666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74,407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203,856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(278,263 )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243,666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243,666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1,401,531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284,241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(447,522 )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1,481,916</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-2614295</wp:posOffset>
            </wp:positionV>
            <wp:extent cx="1625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-2596515</wp:posOffset>
            </wp:positionV>
            <wp:extent cx="1625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-2614295</wp:posOffset>
            </wp:positionV>
            <wp:extent cx="1625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-2596515</wp:posOffset>
            </wp:positionV>
            <wp:extent cx="1625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-2614295</wp:posOffset>
            </wp:positionV>
            <wp:extent cx="1460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-2596515</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-2614295</wp:posOffset>
            </wp:positionV>
            <wp:extent cx="1460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-2596515</wp:posOffset>
            </wp:positionV>
            <wp:extent cx="1460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-1702435</wp:posOffset>
            </wp:positionV>
            <wp:extent cx="16256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-1702435</wp:posOffset>
            </wp:positionV>
            <wp:extent cx="1625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-1702435</wp:posOffset>
            </wp:positionV>
            <wp:extent cx="14605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-1702435</wp:posOffset>
            </wp:positionV>
            <wp:extent cx="14605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1625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1625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1625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1625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1460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1460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460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460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line="281"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Income Three Months Ended September 30, 2021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VM</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Verra Mobility</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Inc.</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Corporation</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(Guarantor</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42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Subsidiary)</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Consolidated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122,285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141,811</w:t>
            </w:r>
          </w:p>
        </w:tc>
        <w:tc>
          <w:tcPr>
            <w:tcW w:w="80" w:type="dxa"/>
            <w:vAlign w:val="bottom"/>
            <w:shd w:val="clear" w:color="auto" w:fill="CFF0FC"/>
          </w:tcPr>
          <w:p>
            <w:pPr>
              <w:spacing w:after="0"/>
              <w:rPr>
                <w:sz w:val="15"/>
                <w:szCs w:val="15"/>
                <w:color w:val="auto"/>
              </w:rPr>
            </w:pPr>
          </w:p>
        </w:tc>
      </w:tr>
      <w:tr>
        <w:trPr>
          <w:trHeight w:val="203"/>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Product sales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20,284</w:t>
            </w:r>
          </w:p>
        </w:tc>
        <w:tc>
          <w:tcPr>
            <w:tcW w:w="8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422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138,974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162,095</w:t>
            </w:r>
          </w:p>
        </w:tc>
        <w:tc>
          <w:tcPr>
            <w:tcW w:w="80" w:type="dxa"/>
            <w:vAlign w:val="bottom"/>
            <w:shd w:val="clear" w:color="auto" w:fill="CFF0FC"/>
          </w:tcPr>
          <w:p>
            <w:pPr>
              <w:spacing w:after="0"/>
              <w:rPr>
                <w:sz w:val="17"/>
                <w:szCs w:val="17"/>
                <w:color w:val="auto"/>
              </w:rPr>
            </w:pPr>
          </w:p>
        </w:tc>
      </w:tr>
      <w:tr>
        <w:trPr>
          <w:trHeight w:val="197"/>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Cost of service revenue</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1,412</w:t>
            </w:r>
          </w:p>
        </w:tc>
        <w:tc>
          <w:tcPr>
            <w:tcW w:w="80" w:type="dxa"/>
            <w:vAlign w:val="bottom"/>
          </w:tcPr>
          <w:p>
            <w:pPr>
              <w:spacing w:after="0"/>
              <w:rPr>
                <w:sz w:val="17"/>
                <w:szCs w:val="17"/>
                <w:color w:val="auto"/>
              </w:rPr>
            </w:pPr>
          </w:p>
        </w:tc>
      </w:tr>
      <w:tr>
        <w:trPr>
          <w:trHeight w:val="208"/>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Cost of product sales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9,391</w:t>
            </w:r>
          </w:p>
        </w:tc>
        <w:tc>
          <w:tcPr>
            <w:tcW w:w="80" w:type="dxa"/>
            <w:vAlign w:val="bottom"/>
            <w:shd w:val="clear" w:color="auto" w:fill="CFF0FC"/>
          </w:tcPr>
          <w:p>
            <w:pPr>
              <w:spacing w:after="0"/>
              <w:rPr>
                <w:sz w:val="18"/>
                <w:szCs w:val="18"/>
                <w:color w:val="auto"/>
              </w:rPr>
            </w:pPr>
          </w:p>
        </w:tc>
      </w:tr>
      <w:tr>
        <w:trPr>
          <w:trHeight w:val="197"/>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33,437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48,309</w:t>
            </w:r>
          </w:p>
        </w:tc>
        <w:tc>
          <w:tcPr>
            <w:tcW w:w="80" w:type="dxa"/>
            <w:vAlign w:val="bottom"/>
          </w:tcPr>
          <w:p>
            <w:pPr>
              <w:spacing w:after="0"/>
              <w:rPr>
                <w:sz w:val="17"/>
                <w:szCs w:val="17"/>
                <w:color w:val="auto"/>
              </w:rPr>
            </w:pPr>
          </w:p>
        </w:tc>
      </w:tr>
      <w:tr>
        <w:trPr>
          <w:trHeight w:val="208"/>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25,046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31,580</w:t>
            </w:r>
          </w:p>
        </w:tc>
        <w:tc>
          <w:tcPr>
            <w:tcW w:w="80" w:type="dxa"/>
            <w:vAlign w:val="bottom"/>
            <w:shd w:val="clear" w:color="auto" w:fill="CFF0FC"/>
          </w:tcPr>
          <w:p>
            <w:pPr>
              <w:spacing w:after="0"/>
              <w:rPr>
                <w:sz w:val="18"/>
                <w:szCs w:val="18"/>
                <w:color w:val="auto"/>
              </w:rPr>
            </w:pPr>
          </w:p>
        </w:tc>
      </w:tr>
      <w:tr>
        <w:trPr>
          <w:trHeight w:val="197"/>
        </w:trPr>
        <w:tc>
          <w:tcPr>
            <w:tcW w:w="4240" w:type="dxa"/>
            <w:vAlign w:val="bottom"/>
            <w:tcBorders>
              <w:bottom w:val="single" w:sz="8" w:color="CFF0FC"/>
            </w:tcBorders>
            <w:gridSpan w:val="3"/>
          </w:tcPr>
          <w:p>
            <w:pPr>
              <w:ind w:left="20"/>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25,078</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4,451</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29,529</w:t>
            </w:r>
          </w:p>
        </w:tc>
        <w:tc>
          <w:tcPr>
            <w:tcW w:w="80" w:type="dxa"/>
            <w:vAlign w:val="bottom"/>
            <w:tcBorders>
              <w:bottom w:val="single" w:sz="8" w:color="CFF0FC"/>
            </w:tcBorders>
          </w:tcPr>
          <w:p>
            <w:pPr>
              <w:spacing w:after="0"/>
              <w:rPr>
                <w:sz w:val="17"/>
                <w:szCs w:val="17"/>
                <w:color w:val="auto"/>
              </w:rPr>
            </w:pPr>
          </w:p>
        </w:tc>
      </w:tr>
      <w:tr>
        <w:trPr>
          <w:trHeight w:val="188"/>
        </w:trPr>
        <w:tc>
          <w:tcPr>
            <w:tcW w:w="20" w:type="dxa"/>
            <w:vAlign w:val="bottom"/>
            <w:tcBorders>
              <w:bottom w:val="single" w:sz="8" w:color="CFF0FC"/>
            </w:tcBorders>
            <w:shd w:val="clear" w:color="auto" w:fill="CFF0FC"/>
          </w:tcPr>
          <w:p>
            <w:pPr>
              <w:spacing w:after="0"/>
              <w:rPr>
                <w:sz w:val="16"/>
                <w:szCs w:val="16"/>
                <w:color w:val="auto"/>
              </w:rPr>
            </w:pPr>
          </w:p>
        </w:tc>
        <w:tc>
          <w:tcPr>
            <w:tcW w:w="42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92,609</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27,612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120,221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2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46,365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(4,491 )</w:t>
            </w: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41,874</w:t>
            </w:r>
          </w:p>
        </w:tc>
        <w:tc>
          <w:tcPr>
            <w:tcW w:w="80" w:type="dxa"/>
            <w:vAlign w:val="bottom"/>
          </w:tcPr>
          <w:p>
            <w:pPr>
              <w:spacing w:after="0"/>
              <w:rPr>
                <w:sz w:val="16"/>
                <w:szCs w:val="16"/>
                <w:color w:val="auto"/>
              </w:rPr>
            </w:pPr>
          </w:p>
        </w:tc>
      </w:tr>
      <w:tr>
        <w:trPr>
          <w:trHeight w:val="209"/>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loss from equity investment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(27,306 )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11,634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11,637</w:t>
            </w:r>
          </w:p>
        </w:tc>
        <w:tc>
          <w:tcPr>
            <w:tcW w:w="80" w:type="dxa"/>
            <w:vAlign w:val="bottom"/>
          </w:tcPr>
          <w:p>
            <w:pPr>
              <w:spacing w:after="0"/>
              <w:rPr>
                <w:sz w:val="17"/>
                <w:szCs w:val="17"/>
                <w:color w:val="auto"/>
              </w:rPr>
            </w:pPr>
          </w:p>
        </w:tc>
      </w:tr>
      <w:tr>
        <w:trPr>
          <w:trHeight w:val="209"/>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Change in fair value of private placement warrants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(5,067 )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(5,067 )</w:t>
            </w:r>
          </w:p>
        </w:tc>
      </w:tr>
      <w:tr>
        <w:trPr>
          <w:trHeight w:val="203"/>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(3,421 )</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(3,494 )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Total other (income) expenses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(27,306 )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(70 )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3,076</w:t>
            </w:r>
          </w:p>
        </w:tc>
        <w:tc>
          <w:tcPr>
            <w:tcW w:w="80" w:type="dxa"/>
            <w:vAlign w:val="bottom"/>
            <w:shd w:val="clear" w:color="auto" w:fill="CFF0FC"/>
          </w:tcPr>
          <w:p>
            <w:pPr>
              <w:spacing w:after="0"/>
              <w:rPr>
                <w:sz w:val="17"/>
                <w:szCs w:val="17"/>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0"/>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27,306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(4,421 )</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(23,369 )</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38,798</w:t>
            </w:r>
          </w:p>
        </w:tc>
        <w:tc>
          <w:tcPr>
            <w:tcW w:w="80" w:type="dxa"/>
            <w:vAlign w:val="bottom"/>
          </w:tcPr>
          <w:p>
            <w:pPr>
              <w:spacing w:after="0"/>
              <w:rPr>
                <w:sz w:val="16"/>
                <w:szCs w:val="16"/>
                <w:color w:val="auto"/>
              </w:rPr>
            </w:pPr>
          </w:p>
        </w:tc>
      </w:tr>
      <w:tr>
        <w:trPr>
          <w:trHeight w:val="203"/>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tax provision (benefit)</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(484 )</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11,492</w:t>
            </w:r>
          </w:p>
        </w:tc>
        <w:tc>
          <w:tcPr>
            <w:tcW w:w="80" w:type="dxa"/>
            <w:vAlign w:val="bottom"/>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27,306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27,306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(3,937 )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(23,369 )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27,306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4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Other comprehensive loss: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7"/>
        </w:trPr>
        <w:tc>
          <w:tcPr>
            <w:tcW w:w="4240" w:type="dxa"/>
            <w:vAlign w:val="bottom"/>
            <w:gridSpan w:val="3"/>
          </w:tcPr>
          <w:p>
            <w:pPr>
              <w:ind w:left="20"/>
              <w:spacing w:after="0"/>
              <w:rPr>
                <w:sz w:val="20"/>
                <w:szCs w:val="20"/>
                <w:color w:val="auto"/>
              </w:rPr>
            </w:pPr>
            <w:r>
              <w:rPr>
                <w:rFonts w:ascii="Arial" w:cs="Arial" w:eastAsia="Arial" w:hAnsi="Arial"/>
                <w:sz w:val="14"/>
                <w:szCs w:val="14"/>
                <w:color w:val="auto"/>
              </w:rPr>
              <w:t>Change in foreign currency translation adjustment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(3,818 )</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(3,818 )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4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Total comprehensive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(7,755 )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(23,369 )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23,488</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-1778000</wp:posOffset>
            </wp:positionV>
            <wp:extent cx="17145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-1778000</wp:posOffset>
            </wp:positionV>
            <wp:extent cx="170815"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0815" cy="162560"/>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-1778000</wp:posOffset>
            </wp:positionV>
            <wp:extent cx="16256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-1778000</wp:posOffset>
            </wp:positionV>
            <wp:extent cx="15367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3670"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-1778000</wp:posOffset>
            </wp:positionV>
            <wp:extent cx="76835"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-845185</wp:posOffset>
            </wp:positionV>
            <wp:extent cx="1460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-845185</wp:posOffset>
            </wp:positionV>
            <wp:extent cx="14541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-845185</wp:posOffset>
            </wp:positionV>
            <wp:extent cx="13716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-845185</wp:posOffset>
            </wp:positionV>
            <wp:extent cx="12827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-845185</wp:posOffset>
            </wp:positionV>
            <wp:extent cx="514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1460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1460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-162560</wp:posOffset>
            </wp:positionV>
            <wp:extent cx="1460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1454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454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-162560</wp:posOffset>
            </wp:positionV>
            <wp:extent cx="1454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137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137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1282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1282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1282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line="281"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Income Nine Months Ended September 30, 2021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Inc.</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2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Consolidated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Service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319,489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28,511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348,000</w:t>
            </w:r>
          </w:p>
        </w:tc>
        <w:tc>
          <w:tcPr>
            <w:tcW w:w="100" w:type="dxa"/>
            <w:vAlign w:val="bottom"/>
            <w:shd w:val="clear" w:color="auto" w:fill="CFF0FC"/>
          </w:tcPr>
          <w:p>
            <w:pPr>
              <w:spacing w:after="0"/>
              <w:rPr>
                <w:sz w:val="15"/>
                <w:szCs w:val="15"/>
                <w:color w:val="auto"/>
              </w:rPr>
            </w:pPr>
          </w:p>
        </w:tc>
      </w:tr>
      <w:tr>
        <w:trPr>
          <w:trHeight w:val="203"/>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Product sales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32,610</w:t>
            </w:r>
          </w:p>
        </w:tc>
        <w:tc>
          <w:tcPr>
            <w:tcW w:w="100" w:type="dxa"/>
            <w:vAlign w:val="bottom"/>
          </w:tcPr>
          <w:p>
            <w:pPr>
              <w:spacing w:after="0"/>
              <w:rPr>
                <w:sz w:val="17"/>
                <w:szCs w:val="17"/>
                <w:color w:val="auto"/>
              </w:rPr>
            </w:pPr>
          </w:p>
        </w:tc>
      </w:tr>
      <w:tr>
        <w:trPr>
          <w:trHeight w:val="196"/>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348,259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32,351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380,610</w:t>
            </w:r>
          </w:p>
        </w:tc>
        <w:tc>
          <w:tcPr>
            <w:tcW w:w="100" w:type="dxa"/>
            <w:vAlign w:val="bottom"/>
            <w:shd w:val="clear" w:color="auto" w:fill="CFF0FC"/>
          </w:tcPr>
          <w:p>
            <w:pPr>
              <w:spacing w:after="0"/>
              <w:rPr>
                <w:sz w:val="17"/>
                <w:szCs w:val="17"/>
                <w:color w:val="auto"/>
              </w:rPr>
            </w:pPr>
          </w:p>
        </w:tc>
      </w:tr>
      <w:tr>
        <w:trPr>
          <w:trHeight w:val="196"/>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Cost of service revenue</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7"/>
                <w:szCs w:val="17"/>
                <w:color w:val="auto"/>
              </w:rPr>
            </w:pPr>
          </w:p>
        </w:tc>
      </w:tr>
      <w:tr>
        <w:trPr>
          <w:trHeight w:val="209"/>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Cost of product sales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15,562</w:t>
            </w:r>
          </w:p>
        </w:tc>
        <w:tc>
          <w:tcPr>
            <w:tcW w:w="100" w:type="dxa"/>
            <w:vAlign w:val="bottom"/>
            <w:shd w:val="clear" w:color="auto" w:fill="CFF0FC"/>
          </w:tcPr>
          <w:p>
            <w:pPr>
              <w:spacing w:after="0"/>
              <w:rPr>
                <w:sz w:val="18"/>
                <w:szCs w:val="18"/>
                <w:color w:val="auto"/>
              </w:rPr>
            </w:pPr>
          </w:p>
        </w:tc>
      </w:tr>
      <w:tr>
        <w:trPr>
          <w:trHeight w:val="196"/>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93,889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115,235</w:t>
            </w:r>
          </w:p>
        </w:tc>
        <w:tc>
          <w:tcPr>
            <w:tcW w:w="100" w:type="dxa"/>
            <w:vAlign w:val="bottom"/>
          </w:tcPr>
          <w:p>
            <w:pPr>
              <w:spacing w:after="0"/>
              <w:rPr>
                <w:sz w:val="17"/>
                <w:szCs w:val="17"/>
                <w:color w:val="auto"/>
              </w:rPr>
            </w:pPr>
          </w:p>
        </w:tc>
      </w:tr>
      <w:tr>
        <w:trPr>
          <w:trHeight w:val="209"/>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86,252</w:t>
            </w:r>
          </w:p>
        </w:tc>
        <w:tc>
          <w:tcPr>
            <w:tcW w:w="100" w:type="dxa"/>
            <w:vAlign w:val="bottom"/>
            <w:shd w:val="clear" w:color="auto" w:fill="CFF0FC"/>
          </w:tcPr>
          <w:p>
            <w:pPr>
              <w:spacing w:after="0"/>
              <w:rPr>
                <w:sz w:val="18"/>
                <w:szCs w:val="18"/>
                <w:color w:val="auto"/>
              </w:rPr>
            </w:pPr>
          </w:p>
        </w:tc>
      </w:tr>
      <w:tr>
        <w:trPr>
          <w:trHeight w:val="196"/>
        </w:trPr>
        <w:tc>
          <w:tcPr>
            <w:tcW w:w="4260" w:type="dxa"/>
            <w:vAlign w:val="bottom"/>
            <w:tcBorders>
              <w:bottom w:val="single" w:sz="8" w:color="CFF0FC"/>
            </w:tcBorders>
            <w:gridSpan w:val="3"/>
          </w:tcPr>
          <w:p>
            <w:pPr>
              <w:ind w:left="20"/>
              <w:spacing w:after="0"/>
              <w:rPr>
                <w:sz w:val="20"/>
                <w:szCs w:val="20"/>
                <w:color w:val="auto"/>
              </w:rPr>
            </w:pPr>
            <w:r>
              <w:rPr>
                <w:rFonts w:ascii="Arial" w:cs="Arial" w:eastAsia="Arial" w:hAnsi="Arial"/>
                <w:sz w:val="14"/>
                <w:szCs w:val="14"/>
                <w:color w:val="auto"/>
              </w:rPr>
              <w:t>Depreciation, amortization and (gain) loss on disposal of assets, net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77,319</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7,487</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84,806</w:t>
            </w:r>
          </w:p>
        </w:tc>
        <w:tc>
          <w:tcPr>
            <w:tcW w:w="100" w:type="dxa"/>
            <w:vAlign w:val="bottom"/>
            <w:tcBorders>
              <w:bottom w:val="single" w:sz="8" w:color="CFF0FC"/>
            </w:tcBorders>
          </w:tcPr>
          <w:p>
            <w:pPr>
              <w:spacing w:after="0"/>
              <w:rPr>
                <w:sz w:val="17"/>
                <w:szCs w:val="17"/>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2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263,966</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41,513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305,479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2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 (loss) from operations</w:t>
            </w:r>
          </w:p>
        </w:tc>
        <w:tc>
          <w:tcPr>
            <w:tcW w:w="14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84,293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(9,162 )</w:t>
            </w:r>
          </w:p>
        </w:tc>
        <w:tc>
          <w:tcPr>
            <w:tcW w:w="1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75,131</w:t>
            </w:r>
          </w:p>
        </w:tc>
        <w:tc>
          <w:tcPr>
            <w:tcW w:w="100" w:type="dxa"/>
            <w:vAlign w:val="bottom"/>
          </w:tcPr>
          <w:p>
            <w:pPr>
              <w:spacing w:after="0"/>
              <w:rPr>
                <w:sz w:val="16"/>
                <w:szCs w:val="16"/>
                <w:color w:val="auto"/>
              </w:rPr>
            </w:pPr>
          </w:p>
        </w:tc>
      </w:tr>
      <w:tr>
        <w:trPr>
          <w:trHeight w:val="208"/>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loss from equity investment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(22,383 )</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Interest expense, net</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32,481</w:t>
            </w:r>
          </w:p>
        </w:tc>
        <w:tc>
          <w:tcPr>
            <w:tcW w:w="100" w:type="dxa"/>
            <w:vAlign w:val="bottom"/>
          </w:tcPr>
          <w:p>
            <w:pPr>
              <w:spacing w:after="0"/>
              <w:rPr>
                <w:sz w:val="17"/>
                <w:szCs w:val="17"/>
                <w:color w:val="auto"/>
              </w:rPr>
            </w:pPr>
          </w:p>
        </w:tc>
      </w:tr>
      <w:tr>
        <w:trPr>
          <w:trHeight w:val="208"/>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Change in fair value of private placement warrants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5,067</w:t>
            </w:r>
          </w:p>
        </w:tc>
        <w:tc>
          <w:tcPr>
            <w:tcW w:w="100" w:type="dxa"/>
            <w:vAlign w:val="bottom"/>
            <w:shd w:val="clear" w:color="auto" w:fill="CFF0FC"/>
          </w:tcPr>
          <w:p>
            <w:pPr>
              <w:spacing w:after="0"/>
              <w:rPr>
                <w:sz w:val="18"/>
                <w:szCs w:val="18"/>
                <w:color w:val="auto"/>
              </w:rPr>
            </w:pPr>
          </w:p>
        </w:tc>
      </w:tr>
      <w:tr>
        <w:trPr>
          <w:trHeight w:val="197"/>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Tax receivable agreement liability adjustment</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17"/>
                <w:szCs w:val="17"/>
                <w:color w:val="auto"/>
              </w:rPr>
            </w:pPr>
          </w:p>
        </w:tc>
      </w:tr>
      <w:tr>
        <w:trPr>
          <w:trHeight w:val="208"/>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100" w:type="dxa"/>
            <w:vAlign w:val="bottom"/>
            <w:shd w:val="clear" w:color="auto" w:fill="CFF0FC"/>
          </w:tcPr>
          <w:p>
            <w:pPr>
              <w:spacing w:after="0"/>
              <w:rPr>
                <w:sz w:val="18"/>
                <w:szCs w:val="18"/>
                <w:color w:val="auto"/>
              </w:rPr>
            </w:pPr>
          </w:p>
        </w:tc>
      </w:tr>
      <w:tr>
        <w:trPr>
          <w:trHeight w:val="203"/>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(9,244 )</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(9,305 )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Total other (income) expenses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(22,383 )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43,712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(58 )</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35,238</w:t>
            </w:r>
          </w:p>
        </w:tc>
        <w:tc>
          <w:tcPr>
            <w:tcW w:w="100" w:type="dxa"/>
            <w:vAlign w:val="bottom"/>
            <w:shd w:val="clear" w:color="auto" w:fill="CFF0FC"/>
          </w:tcPr>
          <w:p>
            <w:pPr>
              <w:spacing w:after="0"/>
              <w:rPr>
                <w:sz w:val="17"/>
                <w:szCs w:val="17"/>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22,383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40,581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(9,104 )</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(13,967 )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39,893</w:t>
            </w:r>
          </w:p>
        </w:tc>
        <w:tc>
          <w:tcPr>
            <w:tcW w:w="100" w:type="dxa"/>
            <w:vAlign w:val="bottom"/>
          </w:tcPr>
          <w:p>
            <w:pPr>
              <w:spacing w:after="0"/>
              <w:rPr>
                <w:sz w:val="16"/>
                <w:szCs w:val="16"/>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Income tax provision (benefit)</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18,198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(688 )</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17,510</w:t>
            </w:r>
          </w:p>
        </w:tc>
        <w:tc>
          <w:tcPr>
            <w:tcW w:w="100" w:type="dxa"/>
            <w:vAlign w:val="bottom"/>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22,383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22,383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(8,416 )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(13,967 )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22,383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6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Other comprehensive loss:</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4260" w:type="dxa"/>
            <w:vAlign w:val="bottom"/>
            <w:gridSpan w:val="3"/>
          </w:tcPr>
          <w:p>
            <w:pPr>
              <w:ind w:left="20"/>
              <w:spacing w:after="0"/>
              <w:rPr>
                <w:sz w:val="20"/>
                <w:szCs w:val="20"/>
                <w:color w:val="auto"/>
              </w:rPr>
            </w:pPr>
            <w:r>
              <w:rPr>
                <w:rFonts w:ascii="Arial" w:cs="Arial" w:eastAsia="Arial" w:hAnsi="Arial"/>
                <w:sz w:val="14"/>
                <w:szCs w:val="14"/>
                <w:color w:val="auto"/>
              </w:rPr>
              <w:t>Change in foreign currency translation adjustment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(3,657 )</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(3,657 )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4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Total comprehensive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22,383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(12,073 )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(13,967 )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18,726</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-2035175</wp:posOffset>
            </wp:positionV>
            <wp:extent cx="188595"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-2035175</wp:posOffset>
            </wp:positionV>
            <wp:extent cx="179705"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9705" cy="162560"/>
                    </a:xfrm>
                    <a:prstGeom prst="rect">
                      <a:avLst/>
                    </a:prstGeom>
                    <a:noFill/>
                  </pic:spPr>
                </pic:pic>
              </a:graphicData>
            </a:graphic>
          </wp:anchor>
        </w:drawing>
        <w:drawing>
          <wp:anchor simplePos="0" relativeHeight="251657728" behindDoc="1" locked="0" layoutInCell="0" allowOverlap="1">
            <wp:simplePos x="0" y="0"/>
            <wp:positionH relativeFrom="column">
              <wp:posOffset>5375910</wp:posOffset>
            </wp:positionH>
            <wp:positionV relativeFrom="paragraph">
              <wp:posOffset>-2035175</wp:posOffset>
            </wp:positionV>
            <wp:extent cx="17145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6216015</wp:posOffset>
            </wp:positionH>
            <wp:positionV relativeFrom="paragraph">
              <wp:posOffset>-2035175</wp:posOffset>
            </wp:positionV>
            <wp:extent cx="170815"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0815"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-2035175</wp:posOffset>
            </wp:positionV>
            <wp:extent cx="9398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-845185</wp:posOffset>
            </wp:positionV>
            <wp:extent cx="16319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-845185</wp:posOffset>
            </wp:positionV>
            <wp:extent cx="15430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-845185</wp:posOffset>
            </wp:positionV>
            <wp:extent cx="14605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-845185</wp:posOffset>
            </wp:positionV>
            <wp:extent cx="1454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1631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1631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-162560</wp:posOffset>
            </wp:positionV>
            <wp:extent cx="1631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1543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543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-162560</wp:posOffset>
            </wp:positionV>
            <wp:extent cx="1543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1460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1460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-162560</wp:posOffset>
            </wp:positionV>
            <wp:extent cx="1460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1454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1454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1454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Inc.</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428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Consolidated</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6"/>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22,383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22,383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(8,416 )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(13,967 )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22,383</w:t>
            </w:r>
          </w:p>
        </w:tc>
        <w:tc>
          <w:tcPr>
            <w:tcW w:w="80" w:type="dxa"/>
            <w:vAlign w:val="bottom"/>
          </w:tcPr>
          <w:p>
            <w:pPr>
              <w:spacing w:after="0"/>
              <w:rPr>
                <w:sz w:val="17"/>
                <w:szCs w:val="17"/>
                <w:color w:val="auto"/>
              </w:rPr>
            </w:pPr>
          </w:p>
        </w:tc>
      </w:tr>
      <w:tr>
        <w:trPr>
          <w:trHeight w:val="190"/>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(loss) to net cash provided by</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4"/>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77,269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84,756</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Amortization of deferred financing costs and discounts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3,854</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Change in fair value of private placement warrants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5,067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5,067</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Tax receivable agreement liability adjustment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5,334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5,334</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Credit loss expense</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6,716</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(8,884 )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(8,677 )</w:t>
            </w: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10,184</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(Income) loss from equity investment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(22,383 )</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7"/>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(5,013 )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(429 )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(5,442 )</w:t>
            </w: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Unbilled receivables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(4,506 )</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(1,149 )</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(5,655 )</w:t>
            </w: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(345 )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(4,669 )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(5,014 )</w:t>
            </w: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Accounts payable and accrued liabilities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30,106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(14,510 )</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15,596</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Due to affiliates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(28,997 )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28,997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(195 )</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(1,522 )</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(1,717 )</w:t>
            </w:r>
          </w:p>
        </w:tc>
      </w:tr>
      <w:tr>
        <w:trPr>
          <w:trHeight w:val="196"/>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123,168</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6,116</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129,284</w:t>
            </w:r>
          </w:p>
        </w:tc>
        <w:tc>
          <w:tcPr>
            <w:tcW w:w="80" w:type="dxa"/>
            <w:vAlign w:val="bottom"/>
            <w:shd w:val="clear" w:color="auto" w:fill="CFF0FC"/>
          </w:tcPr>
          <w:p>
            <w:pPr>
              <w:spacing w:after="0"/>
              <w:rPr>
                <w:sz w:val="17"/>
                <w:szCs w:val="17"/>
                <w:color w:val="auto"/>
              </w:rPr>
            </w:pPr>
          </w:p>
        </w:tc>
      </w:tr>
      <w:tr>
        <w:trPr>
          <w:trHeight w:val="196"/>
        </w:trPr>
        <w:tc>
          <w:tcPr>
            <w:tcW w:w="42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Acquisition of business, net of cash and restricted cash acquired</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(107,004 )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(107,004 )</w:t>
            </w:r>
          </w:p>
        </w:tc>
      </w:tr>
      <w:tr>
        <w:trPr>
          <w:trHeight w:val="184"/>
        </w:trPr>
        <w:tc>
          <w:tcPr>
            <w:tcW w:w="20" w:type="dxa"/>
            <w:vAlign w:val="bottom"/>
          </w:tcPr>
          <w:p>
            <w:pPr>
              <w:spacing w:after="0"/>
              <w:rPr>
                <w:sz w:val="15"/>
                <w:szCs w:val="15"/>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Purchases of installation and service parts and property and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6"/>
                <w:szCs w:val="16"/>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(13,277 )</w:t>
            </w:r>
          </w:p>
        </w:tc>
        <w:tc>
          <w:tcPr>
            <w:tcW w:w="1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(2,356 )</w:t>
            </w:r>
          </w:p>
        </w:tc>
        <w:tc>
          <w:tcPr>
            <w:tcW w:w="1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(15,633 )</w:t>
            </w: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Cash proceeds from the sale of assets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FF0F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Cash contribution to subsidiary</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(23,219 )</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(143,275 )</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(2,356 )</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(122,412 )</w:t>
            </w:r>
          </w:p>
        </w:tc>
      </w:tr>
      <w:tr>
        <w:trPr>
          <w:trHeight w:val="197"/>
        </w:trPr>
        <w:tc>
          <w:tcPr>
            <w:tcW w:w="42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Borrowings of long-term debt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80" w:type="dxa"/>
            <w:vAlign w:val="bottom"/>
            <w:shd w:val="clear" w:color="auto" w:fill="CFF0FC"/>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Repayment of long-term debt</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(868,892 )</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(14,013 )</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(882,905 )</w:t>
            </w: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(6,628 )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(6,628 )</w:t>
            </w: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Payment of debt extinguishment costs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(1,066 )</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(1,066 )</w:t>
            </w: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Share repurchase and retirement</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(100,000 )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(100,000 )</w:t>
            </w:r>
          </w:p>
        </w:tc>
      </w:tr>
      <w:tr>
        <w:trPr>
          <w:trHeight w:val="197"/>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r>
      <w:tr>
        <w:trPr>
          <w:trHeight w:val="208"/>
        </w:trPr>
        <w:tc>
          <w:tcPr>
            <w:tcW w:w="20" w:type="dxa"/>
            <w:vAlign w:val="bottom"/>
            <w:shd w:val="clear" w:color="auto" w:fill="CFF0FC"/>
          </w:tcPr>
          <w:p>
            <w:pPr>
              <w:spacing w:after="0"/>
              <w:rPr>
                <w:sz w:val="18"/>
                <w:szCs w:val="18"/>
                <w:color w:val="auto"/>
              </w:rPr>
            </w:pPr>
          </w:p>
        </w:tc>
        <w:tc>
          <w:tcPr>
            <w:tcW w:w="42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Capital contribution from VM Consolidated Inc.</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(23,219 )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Payment of employee tax withholding related to RSUs vesting</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(924 )</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(924 )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19,348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(23,219 )</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5,335</w:t>
            </w:r>
          </w:p>
        </w:tc>
        <w:tc>
          <w:tcPr>
            <w:tcW w:w="80" w:type="dxa"/>
            <w:vAlign w:val="bottom"/>
            <w:shd w:val="clear" w:color="auto" w:fill="CFF0FC"/>
          </w:tcPr>
          <w:p>
            <w:pPr>
              <w:spacing w:after="0"/>
              <w:rPr>
                <w:sz w:val="17"/>
                <w:szCs w:val="17"/>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(1,907 )</w:t>
            </w: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(1,907 )</w:t>
            </w:r>
          </w:p>
        </w:tc>
      </w:tr>
      <w:tr>
        <w:trPr>
          <w:trHeight w:val="27"/>
        </w:trPr>
        <w:tc>
          <w:tcPr>
            <w:tcW w:w="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3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8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03"/>
        </w:trPr>
        <w:tc>
          <w:tcPr>
            <w:tcW w:w="42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w w:val="98"/>
              </w:rPr>
              <w:t>Net (decrease) increase in cash, cash equivalents and restricted cash</w:t>
            </w:r>
          </w:p>
        </w:tc>
        <w:tc>
          <w:tcPr>
            <w:tcW w:w="1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(759 )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10,300</w:t>
            </w:r>
          </w:p>
        </w:tc>
        <w:tc>
          <w:tcPr>
            <w:tcW w:w="80" w:type="dxa"/>
            <w:vAlign w:val="bottom"/>
            <w:shd w:val="clear" w:color="auto" w:fill="CFF0FC"/>
          </w:tcPr>
          <w:p>
            <w:pPr>
              <w:spacing w:after="0"/>
              <w:rPr>
                <w:sz w:val="17"/>
                <w:szCs w:val="17"/>
                <w:color w:val="auto"/>
              </w:rPr>
            </w:pPr>
          </w:p>
        </w:tc>
      </w:tr>
      <w:tr>
        <w:trPr>
          <w:trHeight w:val="203"/>
        </w:trPr>
        <w:tc>
          <w:tcPr>
            <w:tcW w:w="4280" w:type="dxa"/>
            <w:vAlign w:val="bottom"/>
            <w:gridSpan w:val="3"/>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104,602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120,892</w:t>
            </w:r>
          </w:p>
        </w:tc>
        <w:tc>
          <w:tcPr>
            <w:tcW w:w="80" w:type="dxa"/>
            <w:vAlign w:val="bottom"/>
          </w:tcPr>
          <w:p>
            <w:pPr>
              <w:spacing w:after="0"/>
              <w:rPr>
                <w:sz w:val="17"/>
                <w:szCs w:val="17"/>
                <w:color w:val="auto"/>
              </w:rPr>
            </w:pPr>
          </w:p>
        </w:tc>
      </w:tr>
      <w:tr>
        <w:trPr>
          <w:trHeight w:val="236"/>
        </w:trPr>
        <w:tc>
          <w:tcPr>
            <w:tcW w:w="42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103,843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27,349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131,192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-570865</wp:posOffset>
            </wp:positionV>
            <wp:extent cx="14605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-570865</wp:posOffset>
            </wp:positionV>
            <wp:extent cx="14605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-570865</wp:posOffset>
            </wp:positionV>
            <wp:extent cx="12890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-570865</wp:posOffset>
            </wp:positionV>
            <wp:extent cx="12827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-570865</wp:posOffset>
            </wp:positionV>
            <wp:extent cx="5143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-427990</wp:posOffset>
            </wp:positionV>
            <wp:extent cx="14605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1460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1460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1460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1460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12890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128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282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282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rPr>
              <w:t>VM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660" w:type="dxa"/>
            <w:vAlign w:val="bottom"/>
          </w:tcPr>
          <w:p>
            <w:pPr>
              <w:spacing w:after="0"/>
              <w:rPr>
                <w:sz w:val="15"/>
                <w:szCs w:val="15"/>
                <w:color w:val="auto"/>
              </w:rPr>
            </w:pPr>
          </w:p>
        </w:tc>
        <w:tc>
          <w:tcPr>
            <w:tcW w:w="138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Verra Mobility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Inc.</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38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Corporation</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(Guarantor</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3660" w:type="dxa"/>
            <w:vAlign w:val="bottom"/>
          </w:tcPr>
          <w:p>
            <w:pPr>
              <w:spacing w:after="0"/>
              <w:rPr>
                <w:sz w:val="16"/>
                <w:szCs w:val="16"/>
                <w:color w:val="auto"/>
              </w:rPr>
            </w:pPr>
          </w:p>
        </w:tc>
        <w:tc>
          <w:tcPr>
            <w:tcW w:w="138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(Ultimate Parent)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Eliminations</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60" w:type="dxa"/>
            <w:vAlign w:val="bottom"/>
          </w:tcPr>
          <w:p>
            <w:pPr>
              <w:spacing w:after="0"/>
              <w:rPr>
                <w:sz w:val="16"/>
                <w:szCs w:val="16"/>
                <w:color w:val="auto"/>
              </w:rPr>
            </w:pPr>
          </w:p>
        </w:tc>
      </w:tr>
      <w:tr>
        <w:trPr>
          <w:trHeight w:val="202"/>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Supplemental cash flow information:</w:t>
            </w:r>
          </w:p>
        </w:tc>
        <w:tc>
          <w:tcPr>
            <w:tcW w:w="1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7"/>
        </w:trPr>
        <w:tc>
          <w:tcPr>
            <w:tcW w:w="3660" w:type="dxa"/>
            <w:vAlign w:val="bottom"/>
          </w:tcPr>
          <w:p>
            <w:pPr>
              <w:ind w:left="200"/>
              <w:spacing w:after="0"/>
              <w:rPr>
                <w:sz w:val="20"/>
                <w:szCs w:val="20"/>
                <w:color w:val="auto"/>
              </w:rPr>
            </w:pPr>
            <w:r>
              <w:rPr>
                <w:rFonts w:ascii="Arial" w:cs="Arial" w:eastAsia="Arial" w:hAnsi="Arial"/>
                <w:sz w:val="14"/>
                <w:szCs w:val="14"/>
                <w:color w:val="auto"/>
              </w:rPr>
              <w:t>Interest paid</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18,803</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60" w:type="dxa"/>
            <w:vAlign w:val="bottom"/>
            <w:gridSpan w:val="3"/>
          </w:tcPr>
          <w:p>
            <w:pPr>
              <w:ind w:left="960"/>
              <w:spacing w:after="0"/>
              <w:rPr>
                <w:sz w:val="20"/>
                <w:szCs w:val="20"/>
                <w:color w:val="auto"/>
              </w:rPr>
            </w:pPr>
            <w:r>
              <w:rPr>
                <w:rFonts w:ascii="Arial" w:cs="Arial" w:eastAsia="Arial" w:hAnsi="Arial"/>
                <w:sz w:val="14"/>
                <w:szCs w:val="14"/>
                <w:color w:val="auto"/>
              </w:rPr>
              <w:t>—   $</w:t>
            </w:r>
          </w:p>
        </w:tc>
        <w:tc>
          <w:tcPr>
            <w:tcW w:w="1120" w:type="dxa"/>
            <w:vAlign w:val="bottom"/>
          </w:tcPr>
          <w:p>
            <w:pPr>
              <w:jc w:val="right"/>
              <w:spacing w:after="0"/>
              <w:rPr>
                <w:sz w:val="20"/>
                <w:szCs w:val="20"/>
                <w:color w:val="auto"/>
              </w:rPr>
            </w:pPr>
            <w:r>
              <w:rPr>
                <w:rFonts w:ascii="Arial" w:cs="Arial" w:eastAsia="Arial" w:hAnsi="Arial"/>
                <w:sz w:val="14"/>
                <w:szCs w:val="14"/>
                <w:color w:val="auto"/>
              </w:rPr>
              <w:t>18,803</w:t>
            </w:r>
          </w:p>
        </w:tc>
        <w:tc>
          <w:tcPr>
            <w:tcW w:w="60" w:type="dxa"/>
            <w:vAlign w:val="bottom"/>
          </w:tcPr>
          <w:p>
            <w:pPr>
              <w:spacing w:after="0"/>
              <w:rPr>
                <w:sz w:val="17"/>
                <w:szCs w:val="17"/>
                <w:color w:val="auto"/>
              </w:rPr>
            </w:pPr>
          </w:p>
        </w:tc>
      </w:tr>
      <w:tr>
        <w:trPr>
          <w:trHeight w:val="208"/>
        </w:trPr>
        <w:tc>
          <w:tcPr>
            <w:tcW w:w="3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paid, net of refunds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ind w:left="960"/>
              <w:spacing w:after="0"/>
              <w:rPr>
                <w:sz w:val="20"/>
                <w:szCs w:val="20"/>
                <w:color w:val="auto"/>
              </w:rPr>
            </w:pPr>
            <w:r>
              <w:rPr>
                <w:rFonts w:ascii="Arial" w:cs="Arial" w:eastAsia="Arial" w:hAnsi="Arial"/>
                <w:sz w:val="14"/>
                <w:szCs w:val="14"/>
                <w:color w:val="auto"/>
                <w:w w:val="89"/>
              </w:rPr>
              <w:t>74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14,503</w:t>
            </w:r>
          </w:p>
        </w:tc>
        <w:tc>
          <w:tcPr>
            <w:tcW w:w="60" w:type="dxa"/>
            <w:vAlign w:val="bottom"/>
            <w:shd w:val="clear" w:color="auto" w:fill="CFF0FC"/>
          </w:tcPr>
          <w:p>
            <w:pPr>
              <w:spacing w:after="0"/>
              <w:rPr>
                <w:sz w:val="18"/>
                <w:szCs w:val="18"/>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366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9"/>
              </w:rPr>
              <w:t>Purchases of installation and service parts and property</w:t>
            </w: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75"/>
        </w:trPr>
        <w:tc>
          <w:tcPr>
            <w:tcW w:w="366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6"/>
              </w:rPr>
              <w:t>and equipment in accounts payable and accrued liabilities</w:t>
            </w: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94"/>
        </w:trPr>
        <w:tc>
          <w:tcPr>
            <w:tcW w:w="3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at period-end</w:t>
            </w: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ind w:left="96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ind w:left="9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1,910</w:t>
            </w:r>
          </w:p>
        </w:tc>
        <w:tc>
          <w:tcPr>
            <w:tcW w:w="60" w:type="dxa"/>
            <w:vAlign w:val="bottom"/>
            <w:shd w:val="clear" w:color="auto" w:fill="CFF0FC"/>
          </w:tcPr>
          <w:p>
            <w:pPr>
              <w:spacing w:after="0"/>
              <w:rPr>
                <w:sz w:val="16"/>
                <w:szCs w:val="16"/>
                <w:color w:val="auto"/>
              </w:rPr>
            </w:pPr>
          </w:p>
        </w:tc>
      </w:tr>
      <w:tr>
        <w:trPr>
          <w:trHeight w:val="184"/>
        </w:trPr>
        <w:tc>
          <w:tcPr>
            <w:tcW w:w="3660" w:type="dxa"/>
            <w:vAlign w:val="bottom"/>
          </w:tcPr>
          <w:p>
            <w:pPr>
              <w:ind w:left="200"/>
              <w:spacing w:after="0"/>
              <w:rPr>
                <w:sz w:val="20"/>
                <w:szCs w:val="20"/>
                <w:color w:val="auto"/>
              </w:rPr>
            </w:pPr>
            <w:r>
              <w:rPr>
                <w:rFonts w:ascii="Arial" w:cs="Arial" w:eastAsia="Arial" w:hAnsi="Arial"/>
                <w:sz w:val="14"/>
                <w:szCs w:val="14"/>
                <w:color w:val="auto"/>
                <w:w w:val="97"/>
              </w:rPr>
              <w:t>Additions related to asset retirement obligations, property</w:t>
            </w: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660" w:type="dxa"/>
            <w:vAlign w:val="bottom"/>
          </w:tcPr>
          <w:p>
            <w:pPr>
              <w:ind w:left="200"/>
              <w:spacing w:after="0"/>
              <w:rPr>
                <w:sz w:val="20"/>
                <w:szCs w:val="20"/>
                <w:color w:val="auto"/>
              </w:rPr>
            </w:pPr>
            <w:r>
              <w:rPr>
                <w:rFonts w:ascii="Arial" w:cs="Arial" w:eastAsia="Arial" w:hAnsi="Arial"/>
                <w:sz w:val="14"/>
                <w:szCs w:val="14"/>
                <w:color w:val="auto"/>
              </w:rPr>
              <w:t>and equipment, and other</w:t>
            </w:r>
          </w:p>
        </w:tc>
        <w:tc>
          <w:tcPr>
            <w:tcW w:w="138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ind w:left="9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1,314</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T2 Systems Acquisition</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On November 1, 2021, VM Consolidated, Inc., the Company's indirect wholly owned subsidiary (“</w:t>
      </w:r>
      <w:r>
        <w:rPr>
          <w:rFonts w:ascii="Arial" w:cs="Arial" w:eastAsia="Arial" w:hAnsi="Arial"/>
          <w:sz w:val="17"/>
          <w:szCs w:val="17"/>
          <w:b w:val="1"/>
          <w:bCs w:val="1"/>
          <w:i w:val="1"/>
          <w:iCs w:val="1"/>
          <w:color w:val="auto"/>
        </w:rPr>
        <w:t>VM Consolidated</w:t>
      </w:r>
      <w:r>
        <w:rPr>
          <w:rFonts w:ascii="Arial" w:cs="Arial" w:eastAsia="Arial" w:hAnsi="Arial"/>
          <w:sz w:val="17"/>
          <w:szCs w:val="17"/>
          <w:color w:val="auto"/>
        </w:rPr>
        <w:t>”), Project Titan Merger Sub, Inc.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 wholly owned subsidiary of VM Consolidated, T2 Systems Parent Corporation, a Delaware corporation (“</w:t>
      </w:r>
      <w:r>
        <w:rPr>
          <w:rFonts w:ascii="Arial" w:cs="Arial" w:eastAsia="Arial" w:hAnsi="Arial"/>
          <w:sz w:val="17"/>
          <w:szCs w:val="17"/>
          <w:b w:val="1"/>
          <w:bCs w:val="1"/>
          <w:i w:val="1"/>
          <w:iCs w:val="1"/>
          <w:color w:val="auto"/>
        </w:rPr>
        <w:t>T2 Systems</w:t>
      </w:r>
      <w:r>
        <w:rPr>
          <w:rFonts w:ascii="Arial" w:cs="Arial" w:eastAsia="Arial" w:hAnsi="Arial"/>
          <w:sz w:val="17"/>
          <w:szCs w:val="17"/>
          <w:color w:val="auto"/>
        </w:rPr>
        <w:t>”), and Thoma Bravo Discover Fund, L.P., a Delaware limited partnership, solely in its capacity as representative, entered into an Agreement and Plan of Merger (the “</w:t>
      </w:r>
      <w:r>
        <w:rPr>
          <w:rFonts w:ascii="Arial" w:cs="Arial" w:eastAsia="Arial" w:hAnsi="Arial"/>
          <w:sz w:val="17"/>
          <w:szCs w:val="17"/>
          <w:b w:val="1"/>
          <w:bCs w:val="1"/>
          <w:i w:val="1"/>
          <w:iCs w:val="1"/>
          <w:color w:val="auto"/>
        </w:rPr>
        <w:t>T2 Merger Agreement</w:t>
      </w:r>
      <w:r>
        <w:rPr>
          <w:rFonts w:ascii="Arial" w:cs="Arial" w:eastAsia="Arial" w:hAnsi="Arial"/>
          <w:sz w:val="17"/>
          <w:szCs w:val="17"/>
          <w:color w:val="auto"/>
        </w:rPr>
        <w:t>”). Upon the terms and subject to the conditions set forth in the T2 Merger Agreement, Merger Sub will merge with and into T2 Systems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T2 Systems surviving the Merger as an indirect wholly owned subsidiary of the Company. At the closing of the Merger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VM Consolidated will pay a purchase price of $347.0 million on a cash-free, debt-free basis, subject to certain customary purchase price adjustments. The purchase price paid by VM Consolidated in the Merger could be increased by the costs of an impending asset acquisition by T2 Systems, Inc., an indirect wholly owned subsidiary of T2 Systems, which costs include a $9.0 million purchase price and the assumption of liabilities in the form of obligations assumed under contracts assigned to T2 Systems, Inc.</w:t>
      </w:r>
    </w:p>
    <w:p>
      <w:pPr>
        <w:spacing w:after="0" w:line="7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The obligation of the parties to consummate the Merger is subject to the satisfaction or waiver of customary closing conditions set forth in the T2 Merger Agreement, including the expiration or termination of applicable waiting periods under the Hart-Scott-Rodino Antitrust Improvements Act of 1976, as amended, required stockholder approval and the accuracy of the other party’s representations and warranties and the performance, in all material respects, by the other party of its obligations under the T2 Merger Agreement. The T2 Merger Agreement includes certain termination rights of both VM Consolidated and T2 Systems, including providing that either party, subject to certain exceptions and limitations, may terminate the T2 Merger Agreement if the Merger is not consummated by January 14, 2022. The Closing is expected to take place in the fourth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i w:val="1"/>
          <w:iCs w:val="1"/>
          <w:color w:val="auto"/>
        </w:rPr>
        <w:t>The following discussion and analysis should be read together with our Annual Report on Form 10-K/A for the year ended December 31, 2020 filed on May 17,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1A. “Risk Factors” in this Quarterly Report on Form 10-Q and those set forth in Part I, Item 1A. “Risk Factors” in our Annual Report on Form 10-K/A for the year ended December 31, 2020 filed on May 17, 2021. Please also refer to the section entitled “Cautionary Note Regarding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35"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We believe we are a leading provider of smart mobility technology solutions and services to customers located throughout the world, primarily within the United States, Australia, Europe and Canada. These solutions and services include toll and violations management, automated safety solutions, title and registration, and other data-driven solutions to our customers, which include rental car companies (“</w:t>
      </w:r>
      <w:r>
        <w:rPr>
          <w:rFonts w:ascii="Arial" w:cs="Arial" w:eastAsia="Arial" w:hAnsi="Arial"/>
          <w:sz w:val="17"/>
          <w:szCs w:val="17"/>
          <w:b w:val="1"/>
          <w:bCs w:val="1"/>
          <w:i w:val="1"/>
          <w:iCs w:val="1"/>
          <w:color w:val="auto"/>
        </w:rPr>
        <w:t>RACs</w:t>
      </w:r>
      <w:r>
        <w:rPr>
          <w:rFonts w:ascii="Arial" w:cs="Arial" w:eastAsia="Arial" w:hAnsi="Arial"/>
          <w:sz w:val="17"/>
          <w:szCs w:val="17"/>
          <w:color w:val="auto"/>
        </w:rPr>
        <w:t>”), fleet management companies (“</w:t>
      </w:r>
      <w:r>
        <w:rPr>
          <w:rFonts w:ascii="Arial" w:cs="Arial" w:eastAsia="Arial" w:hAnsi="Arial"/>
          <w:sz w:val="17"/>
          <w:szCs w:val="17"/>
          <w:b w:val="1"/>
          <w:bCs w:val="1"/>
          <w:i w:val="1"/>
          <w:iCs w:val="1"/>
          <w:color w:val="auto"/>
        </w:rPr>
        <w:t>FMC</w:t>
      </w:r>
      <w:r>
        <w:rPr>
          <w:rFonts w:ascii="Arial" w:cs="Arial" w:eastAsia="Arial" w:hAnsi="Arial"/>
          <w:sz w:val="17"/>
          <w:szCs w:val="17"/>
          <w:color w:val="auto"/>
        </w:rPr>
        <w:t>s”), other large fleet owners, state and local government agencies (both domestic and international),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T2 Systems Acquisition</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On November 1, 2021, VM Consolidated, Inc., our indirect wholly owned subsidiary (“</w:t>
      </w:r>
      <w:r>
        <w:rPr>
          <w:rFonts w:ascii="Arial" w:cs="Arial" w:eastAsia="Arial" w:hAnsi="Arial"/>
          <w:sz w:val="17"/>
          <w:szCs w:val="17"/>
          <w:b w:val="1"/>
          <w:bCs w:val="1"/>
          <w:i w:val="1"/>
          <w:iCs w:val="1"/>
          <w:color w:val="auto"/>
        </w:rPr>
        <w:t>VM Consolidated</w:t>
      </w:r>
      <w:r>
        <w:rPr>
          <w:rFonts w:ascii="Arial" w:cs="Arial" w:eastAsia="Arial" w:hAnsi="Arial"/>
          <w:sz w:val="17"/>
          <w:szCs w:val="17"/>
          <w:color w:val="auto"/>
        </w:rPr>
        <w:t>”), Project Titan Merger Sub, Inc.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 wholly owned subsidiary of VM Consolidated, T2 Systems Parent Corporation, a Delaware corporation (“</w:t>
      </w:r>
      <w:r>
        <w:rPr>
          <w:rFonts w:ascii="Arial" w:cs="Arial" w:eastAsia="Arial" w:hAnsi="Arial"/>
          <w:sz w:val="17"/>
          <w:szCs w:val="17"/>
          <w:b w:val="1"/>
          <w:bCs w:val="1"/>
          <w:i w:val="1"/>
          <w:iCs w:val="1"/>
          <w:color w:val="auto"/>
        </w:rPr>
        <w:t>T2 Systems</w:t>
      </w:r>
      <w:r>
        <w:rPr>
          <w:rFonts w:ascii="Arial" w:cs="Arial" w:eastAsia="Arial" w:hAnsi="Arial"/>
          <w:sz w:val="17"/>
          <w:szCs w:val="17"/>
          <w:color w:val="auto"/>
        </w:rPr>
        <w:t>”), and Thoma Bravo Discover Fund, L.P., a Delaware limited partnership, solely in its capacity as representative, entered into an Agreement and Plan of Merger (the “</w:t>
      </w:r>
      <w:r>
        <w:rPr>
          <w:rFonts w:ascii="Arial" w:cs="Arial" w:eastAsia="Arial" w:hAnsi="Arial"/>
          <w:sz w:val="17"/>
          <w:szCs w:val="17"/>
          <w:b w:val="1"/>
          <w:bCs w:val="1"/>
          <w:i w:val="1"/>
          <w:iCs w:val="1"/>
          <w:color w:val="auto"/>
        </w:rPr>
        <w:t>T2</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Upon the terms and subject to the conditions set forth in the T2 Merger Agreement, Merger Sub will merge with and into T2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T2 Systems surviving the Merger as an indirect wholly owned subsidiary of the Company. At the closing of the Merger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VM Consolidated will pay a purchase price of $347.0 million on a cash-free, debt-free basis, subject to certain customary purchase price adjustments. The purchase price paid by VM Consolidated in the Merger could be increased by the costs of an impending asset acquisition by T2 Systems, Inc., an indirect wholly owned subsidiary of T2 Systems, which costs include a $9.0 million purchase price and the assumption of liabilities in the form of obligations assumed under contracts assigned to T2 Systems, Inc.</w:t>
      </w:r>
    </w:p>
    <w:p>
      <w:pPr>
        <w:spacing w:after="0" w:line="7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The obligation of the parties to consummate the Merger is subject to the satisfaction or waiver of customary closing conditions set forth in the T2 Merger Agreement, including the expiration or termination of applicable waiting periods under the Hart-Scott-Rodino Antitrust Improvements Act of 1976, as amended, required stockholder approval and the accuracy of the other party’s representations and warranties and the performance, in all material respects, by the other party of its obligations under the T2 Merger Agreement. The T2 Merger Agreement includes certain termination rights of both VM Consolidated and T2 Systems, including providing that either party, subject to certain exceptions and limitations, may terminate the T2 Merger Agreement if the Merger is not consummated by January 14, 2022. The Closing is expected to take place in the fourth quarter of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and Retirement</w:t>
      </w:r>
    </w:p>
    <w:p>
      <w:pPr>
        <w:spacing w:after="0" w:line="13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 xml:space="preserve">On August 9, 2021, we announced that our Board of Directors authorized a share repurchase program for up to an aggregate amount of $100 million of our outstanding shares of Class A Common Stock. On August 20, 2021, we repurchased and retired 6,849,315 shares of our Class A Common Stock from the Platinum Stockholder at a price per share of $14.60, which was equal to the price at which the underwriter exercised the overallotment option for the secondary offering. We paid $100 million to fund the share repurchase using existing cash on hand. See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additional details on the secondary offering by the Platinum Stockholder.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Redflex Acquisition</w:t>
      </w:r>
    </w:p>
    <w:p>
      <w:pPr>
        <w:spacing w:after="0" w:line="13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On June 17, 2021, we completed the acquisition of Redflex Holdings Limited (“</w:t>
      </w:r>
      <w:r>
        <w:rPr>
          <w:rFonts w:ascii="Arial" w:cs="Arial" w:eastAsia="Arial" w:hAnsi="Arial"/>
          <w:sz w:val="17"/>
          <w:szCs w:val="17"/>
          <w:b w:val="1"/>
          <w:bCs w:val="1"/>
          <w:i w:val="1"/>
          <w:iCs w:val="1"/>
          <w:color w:val="auto"/>
        </w:rPr>
        <w:t>Redflex</w:t>
      </w:r>
      <w:r>
        <w:rPr>
          <w:rFonts w:ascii="Arial" w:cs="Arial" w:eastAsia="Arial" w:hAnsi="Arial"/>
          <w:sz w:val="17"/>
          <w:szCs w:val="17"/>
          <w:color w:val="auto"/>
        </w:rPr>
        <w:t>”), a public company limited by shares, incorporated in Australia and listed on the Australian Securities Exchange. Redflex is a provider of intelligent traffic management products and services that are sold and managed in the Asia Pacific, North America, Europe, and Middle East regions. Redflex develops, manufactures, and operates a wide range of platform-based solutions, utilizing advanced sensor and image capture technologies that enable active management of state and local motorways. We included the financial results of Redflex in the condensed consolidated financial statements from the date of acquisition.</w:t>
      </w:r>
    </w:p>
    <w:p>
      <w:pPr>
        <w:spacing w:after="0" w:line="17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Pursuant to the Scheme Implementation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entered into by us and Redflex on January 21, 2021, as amended by the Deed of Amendment and Consent, dated April 30, 2021, VM Consolidated, Inc., our indirect wholly owned subsidiary, purchased one hundred percent of the outstanding equity of Redflex at A$0.96 per share resulting in consideration of A$152.5 million, or approximately US$117.9 million. See Note 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for additional details on the Redflex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consumer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75" w:lineRule="exact"/>
        <w:rPr>
          <w:sz w:val="20"/>
          <w:szCs w:val="20"/>
          <w:color w:val="auto"/>
        </w:rPr>
      </w:pPr>
    </w:p>
    <w:p>
      <w:pPr>
        <w:jc w:val="both"/>
        <w:ind w:left="1080"/>
        <w:spacing w:after="0" w:line="292" w:lineRule="auto"/>
        <w:rPr>
          <w:sz w:val="20"/>
          <w:szCs w:val="20"/>
          <w:color w:val="auto"/>
        </w:rPr>
      </w:pPr>
      <w:r>
        <w:rPr>
          <w:rFonts w:ascii="Arial" w:cs="Arial" w:eastAsia="Arial" w:hAnsi="Arial"/>
          <w:sz w:val="17"/>
          <w:szCs w:val="17"/>
          <w:color w:val="auto"/>
        </w:rPr>
        <w:t>Our Government Solutions segment offers photo enforcement solutions and services to its customers. Through our acquisition of Redflex, we expanded our current footprint in the United States and gained access to international markets. We provide complete, end-to-end speed, red-light, school bus stop arm and bus lane enforcement solutions within the United States and Canada. We implement and administer traffic safety programs for municipalities, counties, school districts and law enforcement agencies. The international operations through Redflex primarily involve the sale of traffic enforcement products and related maintenance services.</w:t>
      </w:r>
    </w:p>
    <w:p>
      <w:pPr>
        <w:spacing w:after="0" w:line="17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We operate under long-term contracts and have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2" w:lineRule="exact"/>
        <w:rPr>
          <w:sz w:val="20"/>
          <w:szCs w:val="20"/>
          <w:color w:val="auto"/>
        </w:rPr>
      </w:pPr>
    </w:p>
    <w:p>
      <w:pPr>
        <w:jc w:val="both"/>
        <w:ind w:left="1080"/>
        <w:spacing w:after="0" w:line="275" w:lineRule="auto"/>
        <w:rPr>
          <w:sz w:val="20"/>
          <w:szCs w:val="20"/>
          <w:color w:val="auto"/>
        </w:rPr>
      </w:pPr>
      <w:r>
        <w:rPr>
          <w:rFonts w:ascii="Arial" w:cs="Arial" w:eastAsia="Arial" w:hAnsi="Arial"/>
          <w:sz w:val="18"/>
          <w:szCs w:val="18"/>
          <w:color w:val="auto"/>
        </w:rPr>
        <w:t>grew total revenue by $87.2 million from $293.4 million for the nine months ended September 30, 2020 to $380.6 million for the nine months ended September 30, 2021. Redflex contributed $22.8 million to the revenue growth, and the remaining increase was due to service revenue resulting from improved travel demand that positively impacted the rental car industry in our Commercial Services segment, and growth in both speed and red-light programs in our Government Solutions segment; and</w:t>
      </w:r>
    </w:p>
    <w:p>
      <w:pPr>
        <w:spacing w:after="0" w:line="158" w:lineRule="exact"/>
        <w:rPr>
          <w:sz w:val="20"/>
          <w:szCs w:val="20"/>
          <w:color w:val="auto"/>
        </w:rPr>
      </w:pPr>
    </w:p>
    <w:p>
      <w:pPr>
        <w:jc w:val="both"/>
        <w:ind w:left="1080" w:right="20"/>
        <w:spacing w:after="0" w:line="279" w:lineRule="auto"/>
        <w:rPr>
          <w:sz w:val="20"/>
          <w:szCs w:val="20"/>
          <w:color w:val="auto"/>
        </w:rPr>
      </w:pPr>
      <w:r>
        <w:rPr>
          <w:rFonts w:ascii="Arial" w:cs="Arial" w:eastAsia="Arial" w:hAnsi="Arial"/>
          <w:sz w:val="18"/>
          <w:szCs w:val="18"/>
          <w:color w:val="auto"/>
        </w:rPr>
        <w:t>generated cash flows from operations of $129.3 million and $44.4 million for the nine months ended September 30, 2021 and 2020, respectively. The increase in cash flows from operations was due largely to improved cash collections, specifically from NYCDOT, coupled with improved operating performance. Our cash on hand was $128.2 million as of September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the Government Solutions segment.</w:t>
      </w:r>
    </w:p>
    <w:p>
      <w:pPr>
        <w:spacing w:after="0" w:line="170"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processing violations for RACs, FMCs and other large fleet customers. These solutions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jc w:val="both"/>
        <w:spacing w:after="0" w:line="319" w:lineRule="auto"/>
        <w:rPr>
          <w:sz w:val="20"/>
          <w:szCs w:val="20"/>
          <w:color w:val="auto"/>
        </w:rPr>
      </w:pPr>
      <w:r>
        <w:rPr>
          <w:rFonts w:ascii="Arial" w:cs="Arial" w:eastAsia="Arial" w:hAnsi="Arial"/>
          <w:sz w:val="16"/>
          <w:szCs w:val="16"/>
          <w:color w:val="auto"/>
        </w:rPr>
        <w:t>are full 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 for our customers.</w:t>
      </w:r>
    </w:p>
    <w:p>
      <w:pPr>
        <w:spacing w:after="0" w:line="1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91"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are generated by the sale of photo enforcement equipment to certain customers in the Government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whose buying patterns vary greatly from period to period. We recognize product sales revenue when the equipment is accepted or installed.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3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provided by third parties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delivery of certain ancillary services performed by both our Government Solutions and Commercial Services segments.</w:t>
      </w:r>
    </w:p>
    <w:p>
      <w:pPr>
        <w:spacing w:after="0" w:line="170"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Solutions customers.</w:t>
      </w:r>
    </w:p>
    <w:p>
      <w:pPr>
        <w:spacing w:after="0" w:line="170"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47"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This includes interest expense and amortization of deferred financing costs and discounts and is net of interest income.</w:t>
      </w:r>
    </w:p>
    <w:p>
      <w:pPr>
        <w:spacing w:after="0" w:line="2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Change in Fair Value of Private Placement Warrants</w:t>
      </w:r>
      <w:r>
        <w:rPr>
          <w:rFonts w:ascii="Arial" w:cs="Arial" w:eastAsia="Arial" w:hAnsi="Arial"/>
          <w:sz w:val="18"/>
          <w:szCs w:val="18"/>
          <w:color w:val="auto"/>
        </w:rPr>
        <w:t>. Change in fair value of private placement warrants consists of adjustments to the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6,666,666 warrants originally issued to Gores Sponsor II, LLC in a private placement in connection with our initial public offering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from the re-measurement to fair value at the end of each reporting period.</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Tax receivable agreement liability adjustment consists of adjustments made to our Tax</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Agreement (the “</w:t>
      </w:r>
      <w:r>
        <w:rPr>
          <w:rFonts w:ascii="Arial" w:cs="Arial" w:eastAsia="Arial" w:hAnsi="Arial"/>
          <w:sz w:val="18"/>
          <w:szCs w:val="18"/>
          <w:b w:val="1"/>
          <w:bCs w:val="1"/>
          <w:i w:val="1"/>
          <w:iCs w:val="1"/>
          <w:color w:val="auto"/>
        </w:rPr>
        <w:t>TRA</w:t>
      </w:r>
      <w:r>
        <w:rPr>
          <w:rFonts w:ascii="Arial" w:cs="Arial" w:eastAsia="Arial" w:hAnsi="Arial"/>
          <w:sz w:val="18"/>
          <w:szCs w:val="18"/>
          <w:color w:val="auto"/>
        </w:rPr>
        <w:t>”) with PE Greenlight Holdings, LLC and Greenlight Holding II Corporation due to changes in estimates.</w:t>
      </w:r>
    </w:p>
    <w:p>
      <w:pPr>
        <w:spacing w:after="0" w:line="170"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70"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gains or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Percentage of Revenue</w:t>
            </w: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91"/>
              </w:rPr>
              <w:t>2021 vs 2020</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(As restated)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141,811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82,980</w:t>
            </w: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87.5 %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85.6 %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58,831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70.9 %</w:t>
            </w:r>
          </w:p>
        </w:tc>
        <w:tc>
          <w:tcPr>
            <w:tcW w:w="0" w:type="dxa"/>
            <w:vAlign w:val="bottom"/>
          </w:tcPr>
          <w:p>
            <w:pPr>
              <w:spacing w:after="0"/>
              <w:rPr>
                <w:sz w:val="1"/>
                <w:szCs w:val="1"/>
                <w:color w:val="auto"/>
              </w:rPr>
            </w:pPr>
          </w:p>
        </w:tc>
      </w:tr>
      <w:tr>
        <w:trPr>
          <w:trHeight w:val="227"/>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Product sales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12.5 %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14.4 %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45.6 %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162,095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100.0 %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67.3 %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Cost of service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6"/>
                <w:szCs w:val="16"/>
                <w:color w:val="auto"/>
              </w:rPr>
              <w:t>0.9 %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0.9 %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Cost of product sales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7,088</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5.8 %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7.3 %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48,309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26,544</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6"/>
                <w:szCs w:val="16"/>
                <w:color w:val="auto"/>
              </w:rPr>
              <w:t>29.8 %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27.4 %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82.0 %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31,580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17,511</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19.5 %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18.1 %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80.3 %</w:t>
            </w:r>
          </w:p>
        </w:tc>
        <w:tc>
          <w:tcPr>
            <w:tcW w:w="0" w:type="dxa"/>
            <w:vAlign w:val="bottom"/>
          </w:tcPr>
          <w:p>
            <w:pPr>
              <w:spacing w:after="0"/>
              <w:rPr>
                <w:sz w:val="1"/>
                <w:szCs w:val="1"/>
                <w:color w:val="auto"/>
              </w:rPr>
            </w:pPr>
          </w:p>
        </w:tc>
      </w:tr>
      <w:tr>
        <w:trPr>
          <w:trHeight w:val="20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Depreciation, amortization and (gain) loss on</w:t>
            </w: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29,529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29,590</w:t>
            </w:r>
          </w:p>
        </w:tc>
        <w:tc>
          <w:tcPr>
            <w:tcW w:w="10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18.2 %</w:t>
            </w: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30.5 %</w:t>
            </w:r>
          </w:p>
        </w:tc>
        <w:tc>
          <w:tcPr>
            <w:tcW w:w="20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(61 )</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disposal of assets, net</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Total costs and expenses</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120,221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74.2 %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84.2 %</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47.3 %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41,874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25.8 %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15.8 %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174.3 %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9,578</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7.2 %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9.9 %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Change in fair value of private placement warrants</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(5,067 )</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(4,400 )</w:t>
            </w:r>
          </w:p>
        </w:tc>
        <w:tc>
          <w:tcPr>
            <w:tcW w:w="1580" w:type="dxa"/>
            <w:vAlign w:val="bottom"/>
            <w:gridSpan w:val="3"/>
          </w:tcPr>
          <w:p>
            <w:pPr>
              <w:jc w:val="right"/>
              <w:ind w:right="300"/>
              <w:spacing w:after="0"/>
              <w:rPr>
                <w:sz w:val="20"/>
                <w:szCs w:val="20"/>
                <w:color w:val="auto"/>
              </w:rPr>
            </w:pPr>
            <w:r>
              <w:rPr>
                <w:rFonts w:ascii="Arial" w:cs="Arial" w:eastAsia="Arial" w:hAnsi="Arial"/>
                <w:sz w:val="16"/>
                <w:szCs w:val="16"/>
                <w:color w:val="auto"/>
              </w:rPr>
              <w:t>(3.1 )%</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(4.5 )%</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(667 )</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36"/>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(3,494 )</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(4,982 )</w:t>
            </w:r>
          </w:p>
        </w:tc>
        <w:tc>
          <w:tcPr>
            <w:tcW w:w="15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(2.2 )%</w:t>
            </w: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(5.1 )%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(29.9 )%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Total other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1.9 %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0.3 %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1469.4 %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23.9 %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15.5 %</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157.4 %</w:t>
            </w:r>
          </w:p>
        </w:tc>
        <w:tc>
          <w:tcPr>
            <w:tcW w:w="0" w:type="dxa"/>
            <w:vAlign w:val="bottom"/>
          </w:tcPr>
          <w:p>
            <w:pPr>
              <w:spacing w:after="0"/>
              <w:rPr>
                <w:sz w:val="1"/>
                <w:szCs w:val="1"/>
                <w:color w:val="auto"/>
              </w:rPr>
            </w:pPr>
          </w:p>
        </w:tc>
      </w:tr>
      <w:tr>
        <w:trPr>
          <w:trHeight w:val="22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11,492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7.1 %</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4.1 %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188.3 %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shd w:val="clear" w:color="auto" w:fill="CFF0FC"/>
          </w:tcPr>
          <w:p>
            <w:pPr>
              <w:spacing w:after="0"/>
              <w:rPr>
                <w:sz w:val="21"/>
                <w:szCs w:val="21"/>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16.8 %</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11.4 %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146.3 %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-1222375</wp:posOffset>
            </wp:positionV>
            <wp:extent cx="4123055" cy="1511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123055" cy="15113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-630555</wp:posOffset>
            </wp:positionV>
            <wp:extent cx="4123055" cy="160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23055" cy="16002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1625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1625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1625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1625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317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317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3086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3086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1454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1454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$58.8 million, or 70.9%, to $141.8 million for the three months ended September 30,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$83.0 million for the three months ended September 30, 2020, representing 87.5% and 85.6% of total revenue, respectively. The following table depicts service revenue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6"/>
                <w:szCs w:val="16"/>
                <w:color w:val="auto"/>
              </w:rPr>
            </w:pPr>
          </w:p>
        </w:tc>
        <w:tc>
          <w:tcPr>
            <w:tcW w:w="130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1"/>
              </w:rPr>
              <w:t>2021 vs 2020</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75"/>
        </w:trPr>
        <w:tc>
          <w:tcPr>
            <w:tcW w:w="36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40" w:type="dxa"/>
            <w:vAlign w:val="bottom"/>
            <w:tcBorders>
              <w:top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62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Service revenue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77,257</w:t>
            </w:r>
          </w:p>
        </w:tc>
        <w:tc>
          <w:tcPr>
            <w:tcW w:w="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44,153</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47.7 %</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45.5 %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75.0 %</w:t>
            </w:r>
          </w:p>
        </w:tc>
      </w:tr>
      <w:tr>
        <w:trPr>
          <w:trHeight w:val="236"/>
        </w:trPr>
        <w:tc>
          <w:tcPr>
            <w:tcW w:w="20" w:type="dxa"/>
            <w:vAlign w:val="bottom"/>
            <w:shd w:val="clear" w:color="auto" w:fill="CFF0FC"/>
          </w:tcPr>
          <w:p>
            <w:pPr>
              <w:spacing w:after="0"/>
              <w:rPr>
                <w:sz w:val="20"/>
                <w:szCs w:val="20"/>
                <w:color w:val="auto"/>
              </w:rPr>
            </w:pPr>
          </w:p>
        </w:tc>
        <w:tc>
          <w:tcPr>
            <w:tcW w:w="36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64,554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38,827</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39.8 %</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40.1 %</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25,727</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66.3 %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6"/>
        </w:trPr>
        <w:tc>
          <w:tcPr>
            <w:tcW w:w="3620" w:type="dxa"/>
            <w:vAlign w:val="bottom"/>
            <w:gridSpan w:val="3"/>
          </w:tcPr>
          <w:p>
            <w:pPr>
              <w:ind w:left="20"/>
              <w:spacing w:after="0"/>
              <w:rPr>
                <w:sz w:val="20"/>
                <w:szCs w:val="20"/>
                <w:color w:val="auto"/>
              </w:rPr>
            </w:pPr>
            <w:r>
              <w:rPr>
                <w:rFonts w:ascii="Arial" w:cs="Arial" w:eastAsia="Arial" w:hAnsi="Arial"/>
                <w:sz w:val="16"/>
                <w:szCs w:val="16"/>
                <w:color w:val="auto"/>
              </w:rPr>
              <w:t>Total service revenue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141,811</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82,980</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87.5 %</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85.6 %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58,831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70.9 %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-176530</wp:posOffset>
            </wp:positionV>
            <wp:extent cx="4174490" cy="177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174490" cy="177165"/>
                    </a:xfrm>
                    <a:prstGeom prst="rect">
                      <a:avLst/>
                    </a:prstGeom>
                    <a:noFill/>
                  </pic:spPr>
                </pic:pic>
              </a:graphicData>
            </a:graphic>
          </wp:anchor>
        </w:drawing>
      </w:r>
    </w:p>
    <w:p>
      <w:pPr>
        <w:spacing w:after="0" w:line="249"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Commercial Services service revenue increased by $33.1 million, or 75.0%, from $44.2 million for the three months ended September 30, 2020 to $77.3 million for the three months ended September 30, 2021. This increase was primarily due to the increased travel demand in the RAC industry that impacted volume in the three months ended September 30, 2021 compared to the prior year which was negatively impacted by the COVID-19 pandemic.</w:t>
      </w:r>
    </w:p>
    <w:p>
      <w:pPr>
        <w:spacing w:after="0" w:line="14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Government Solutions service revenue includes revenue from speed, red-light, school bus stop arm and bus lane photo enforcement systems. Service revenue was $64.6 million and $38.8 million for the three months ended September 30, 2021 and 2020, respectively, and it increased by $25.7 million with Redflex contributing $15.9 million during the three months ended September 30, 2021. Our speed program revenue grew approximately $13.6 million during the three months ended September 30, 2021 compared to the same period in 2020 due to the inclusion of Redflex operations for the three months ended September 30, 2021 with no comparable amounts in the prior year and an increase in the total number of camera systems installed. This trend is expected to continue into future quarters. In addition, revenue from red-light programs increased by $6.3 million which was mainly attributable to the inclusion of Redflex operations for the three months ended September 30,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right="20"/>
        <w:spacing w:after="0" w:line="293" w:lineRule="auto"/>
        <w:rPr>
          <w:sz w:val="20"/>
          <w:szCs w:val="20"/>
          <w:color w:val="auto"/>
        </w:rPr>
      </w:pPr>
      <w:r>
        <w:rPr>
          <w:rFonts w:ascii="Arial" w:cs="Arial" w:eastAsia="Arial" w:hAnsi="Arial"/>
          <w:sz w:val="18"/>
          <w:szCs w:val="18"/>
          <w:color w:val="auto"/>
        </w:rPr>
        <w:t>with no comparable amounts in the prior year, and a general increase in travel and related vehicle traffic in 2021 compared to prior year which was negatively impacted by the COVID-19 pandemic.</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We maintained an average of 8,946 active camera systems during the three months ended September 30, 2021 compared to an average of 3,730 for the three months ended September 30, 2020. The increase in active camera systems was primarily due to the inclusion of Redflex camera systems with no comparable amounts in the prior year, the expansion of speed enforcement systems with existing customers, and the restart of cameras that were temporarily inactive due to COVID-19.</w:t>
      </w:r>
    </w:p>
    <w:p>
      <w:pPr>
        <w:spacing w:after="0" w:line="18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Product sales were $20.3 million and $13.9 million for the three months ended September 30, 2021 and 2020,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sales increased $6.4 million due to the inclusion of Redflex camera systems with no comparable amounts in the prior year and installations for a single customer that is expanding its school zone speed program. Product sales revenue is generated from international customers and certain domestic customers in the Government Solutions segment who purchase their equipment and their buying patterns vary greatly from year to year.</w:t>
      </w:r>
    </w:p>
    <w:p>
      <w:pPr>
        <w:spacing w:after="0" w:line="17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from $0.9 million for the three months ended September 30, 2020 to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2021. The $0.5 million increase resulted from increased costs from third-party professional services associated with the delivery of certain ancillary services.</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$2.3 million from $7.1 million in the three months ended September 30, 2020 to $9.4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September 30, 2021, which was consistent with the increase in product sales.</w:t>
      </w:r>
    </w:p>
    <w:p>
      <w:pPr>
        <w:spacing w:after="0" w:line="170"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increased by $21.8 million, or 82%, from $26.5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to $48.3 million for the three months ended September 30, 2021. The increase was primarily attributable to increase in wages expense, recurring services, and subcontractor expenses resulting from increased operations in 2021, which were lower in the 2020 period due to the impact from the COVID-19 pandemic. The increase was also driven by the inclusion of Redflex operations for the three months ended September 30, 2021 with no comparable amounts in the prior year. Operating expenses as a percentage of total revenue increased from 27.4% to 29.8% for the three months ended September 30, 2020 and 2021, respectively. The following table presents operating expenses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0"/>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Revenue</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10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17,471</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11,796</w:t>
            </w:r>
          </w:p>
        </w:tc>
        <w:tc>
          <w:tcPr>
            <w:tcW w:w="1400" w:type="dxa"/>
            <w:vAlign w:val="bottom"/>
            <w:gridSpan w:val="3"/>
          </w:tcPr>
          <w:p>
            <w:pPr>
              <w:jc w:val="right"/>
              <w:ind w:right="200"/>
              <w:spacing w:after="0"/>
              <w:rPr>
                <w:sz w:val="20"/>
                <w:szCs w:val="20"/>
                <w:color w:val="auto"/>
              </w:rPr>
            </w:pPr>
            <w:r>
              <w:rPr>
                <w:rFonts w:ascii="Arial" w:cs="Arial" w:eastAsia="Arial" w:hAnsi="Arial"/>
                <w:sz w:val="16"/>
                <w:szCs w:val="16"/>
                <w:color w:val="auto"/>
              </w:rPr>
              <w:t>10.8 %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12.2 %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48.1 %</w:t>
            </w:r>
          </w:p>
        </w:tc>
      </w:tr>
      <w:tr>
        <w:trPr>
          <w:trHeight w:val="236"/>
        </w:trPr>
        <w:tc>
          <w:tcPr>
            <w:tcW w:w="20" w:type="dxa"/>
            <w:vAlign w:val="bottom"/>
            <w:shd w:val="clear" w:color="auto" w:fill="CFF0FC"/>
          </w:tcPr>
          <w:p>
            <w:pPr>
              <w:spacing w:after="0"/>
              <w:rPr>
                <w:sz w:val="20"/>
                <w:szCs w:val="20"/>
                <w:color w:val="auto"/>
              </w:rPr>
            </w:pPr>
          </w:p>
        </w:tc>
        <w:tc>
          <w:tcPr>
            <w:tcW w:w="4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30,659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14,565</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18.9 %</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15.0 %</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16,094</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110.5 %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216"/>
        </w:trPr>
        <w:tc>
          <w:tcPr>
            <w:tcW w:w="4120" w:type="dxa"/>
            <w:vAlign w:val="bottom"/>
            <w:gridSpan w:val="3"/>
          </w:tcPr>
          <w:p>
            <w:pPr>
              <w:ind w:left="20"/>
              <w:spacing w:after="0"/>
              <w:rPr>
                <w:sz w:val="20"/>
                <w:szCs w:val="20"/>
                <w:color w:val="auto"/>
              </w:rPr>
            </w:pPr>
            <w:r>
              <w:rPr>
                <w:rFonts w:ascii="Arial" w:cs="Arial" w:eastAsia="Arial" w:hAnsi="Arial"/>
                <w:sz w:val="16"/>
                <w:szCs w:val="16"/>
                <w:color w:val="auto"/>
                <w:w w:val="96"/>
              </w:rPr>
              <w:t>Total operating expenses before stock-based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26,361</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29.7 %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27.2 %</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82.6 %</w:t>
            </w:r>
          </w:p>
        </w:tc>
      </w:tr>
      <w:tr>
        <w:trPr>
          <w:trHeight w:val="236"/>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0.1 %</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0.2 %</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(4 )</w:t>
            </w:r>
          </w:p>
        </w:tc>
        <w:tc>
          <w:tcPr>
            <w:tcW w:w="3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226"/>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48,309</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26,544</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29.8 %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27.4 %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21,765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82.0 %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-476250</wp:posOffset>
            </wp:positionV>
            <wp:extent cx="3909060" cy="151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09060" cy="15113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-176530</wp:posOffset>
            </wp:positionV>
            <wp:extent cx="3909060" cy="1771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09060" cy="1771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ind w:firstLine="749"/>
        <w:spacing w:after="0" w:line="28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to $31.6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compared to $17.5 million for the same period in 2020. The increase is primarily due to increased wages expense, information technology and communications expense due to the inclusion of Redflex operations for the three months ended September 30, 2021 with no comparable amounts in the prior year. In addition, we had increases of $2.9 million related to the credit loss expense compared to the prior year, $2.7 million of transaction costs incurred during the quarter and an increase due to the reinstatement of employee bonus accrual in 2021. Selling, general and administrative expenses as a percentage of total revenue increased from 18.1% to 19.5% for the three months ended September 30, 2020 and 2021, respectively. The following table presents selling, general and administrative expenses by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Revenue</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75"/>
        </w:trPr>
        <w:tc>
          <w:tcPr>
            <w:tcW w:w="41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5"/>
                <w:szCs w:val="15"/>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ind w:right="2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10,615</w:t>
            </w:r>
          </w:p>
        </w:tc>
        <w:tc>
          <w:tcPr>
            <w:tcW w:w="4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5,920</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6.5 %</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6.1 %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4,695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79.3 %</w:t>
            </w:r>
          </w:p>
        </w:tc>
      </w:tr>
      <w:tr>
        <w:trPr>
          <w:trHeight w:val="239"/>
        </w:trPr>
        <w:tc>
          <w:tcPr>
            <w:tcW w:w="2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14,763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8,107</w:t>
            </w:r>
          </w:p>
        </w:tc>
        <w:tc>
          <w:tcPr>
            <w:tcW w:w="14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9.1 %</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8.4 %</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6,656</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82.1 %</w:t>
            </w:r>
          </w:p>
        </w:tc>
      </w:tr>
      <w:tr>
        <w:trPr>
          <w:trHeight w:val="226"/>
        </w:trPr>
        <w:tc>
          <w:tcPr>
            <w:tcW w:w="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514</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1.7 %</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0.5 %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421.0 %</w:t>
            </w:r>
          </w:p>
        </w:tc>
      </w:tr>
      <w:tr>
        <w:trPr>
          <w:trHeight w:val="203"/>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selling, general and administrative expenses before</w:t>
            </w: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26"/>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14,541</w:t>
            </w:r>
          </w:p>
        </w:tc>
        <w:tc>
          <w:tcPr>
            <w:tcW w:w="14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17.3 %</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15.0 %</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92.9 %</w:t>
            </w:r>
          </w:p>
        </w:tc>
      </w:tr>
      <w:tr>
        <w:trPr>
          <w:trHeight w:val="22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2.2 %</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3.1 %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18.7 %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46"/>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selling, general and administrative expenses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31,580</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17,511</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19.5 %</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18.1 %</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80.3 %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-25400</wp:posOffset>
            </wp:positionV>
            <wp:extent cx="1289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1289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1289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1289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231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2317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2139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2139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-25400</wp:posOffset>
            </wp:positionV>
            <wp:extent cx="1111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1111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consistent year over year at $29.5 million and $29.6 million for the three months ended September 30, 2021 and 2020, respectively. This was mainly due to increased depreciation and amortization expense resulting from the Redflex acquisition included in the three months ended September 30, 2021 with no comparable amount in the prior year, partially offset by a decrease due to certain trademark intangibles being fully amortized for the three months ended September 30, 2021.</w:t>
      </w:r>
    </w:p>
    <w:p>
      <w:pPr>
        <w:spacing w:after="0" w:line="19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increased by $2.0 million from $9.6 million for the three months ended September 30,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$11.6 million for the same period in 2021. This increase is primarily due to the increased borrowings as part of the debt restructuring in March 2021 in conjunction with the fixed rate on the Senior Notes being approximately 200 basis points higher than the rate paid for the 2021 Term Loan during the three months ended September 30, 2021.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85"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i w:val="1"/>
          <w:iCs w:val="1"/>
          <w:color w:val="auto"/>
        </w:rPr>
        <w:t>Change in Fair Value of Private Placement Warrants</w:t>
      </w:r>
      <w:r>
        <w:rPr>
          <w:rFonts w:ascii="Arial" w:cs="Arial" w:eastAsia="Arial" w:hAnsi="Arial"/>
          <w:sz w:val="16"/>
          <w:szCs w:val="16"/>
          <w:color w:val="auto"/>
        </w:rPr>
        <w:t>. We recorded a gain of $5.1 million and $4.4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and 2020,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4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was $3.5 million for the three months ended September 30, 2021, compared to $5.0 million for the three months ended September 30, 2020. The decrease of $1.5 million is primarily driven by a total of $2.8 million in gains recorded in the three months ended September 30, 2020 from a settlement agreement and related insurance proceeds, which was offset by an increase in the 2021 period due to increased tolling activity as a result of COVID-19 recovery in the travel industry.</w:t>
      </w:r>
    </w:p>
    <w:p>
      <w:pPr>
        <w:spacing w:after="0" w:line="19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was $11.5 million representing an effective tax rate of 29.6%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a tax provision of $4.0 million, representing an effective tax rate of 26.4% for the same period in 2020. The primary driver of the effective tax rate variance is from the Company’s permanent differences related to the mark-to-market adjustment on the private placement warrants.</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We had net income of $27.3 million for the three months ended September 30, 2021, as compared to a net income of $11.1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2020. The $16.2 million increase in net income was primarily due to increases in both service revenue and product sales, and the other statement of operations activity discussed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w w:val="93"/>
              </w:rPr>
              <w:t>Nine Months Ended September 30,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Percentage of Revenue</w:t>
            </w: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200"/>
              <w:spacing w:after="0"/>
              <w:rPr>
                <w:sz w:val="20"/>
                <w:szCs w:val="20"/>
                <w:color w:val="auto"/>
              </w:rPr>
            </w:pPr>
            <w:r>
              <w:rPr>
                <w:rFonts w:ascii="Arial" w:cs="Arial" w:eastAsia="Arial" w:hAnsi="Arial"/>
                <w:sz w:val="14"/>
                <w:szCs w:val="14"/>
                <w:b w:val="1"/>
                <w:bCs w:val="1"/>
                <w:color w:val="auto"/>
                <w:w w:val="91"/>
              </w:rPr>
              <w:t>2021 vs 2020</w:t>
            </w:r>
          </w:p>
        </w:tc>
        <w:tc>
          <w:tcPr>
            <w:tcW w:w="4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(As restated)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245,292</w:t>
            </w: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91.4 %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83.6 %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41.9 %</w:t>
            </w:r>
          </w:p>
        </w:tc>
        <w:tc>
          <w:tcPr>
            <w:tcW w:w="0" w:type="dxa"/>
            <w:vAlign w:val="bottom"/>
          </w:tcPr>
          <w:p>
            <w:pPr>
              <w:spacing w:after="0"/>
              <w:rPr>
                <w:sz w:val="1"/>
                <w:szCs w:val="1"/>
                <w:color w:val="auto"/>
              </w:rPr>
            </w:pPr>
          </w:p>
        </w:tc>
      </w:tr>
      <w:tr>
        <w:trPr>
          <w:trHeight w:val="227"/>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Product sales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8.6 %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16.4 %</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(15,528 )</w:t>
            </w: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380,610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293,430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100.0 %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87,180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Cost of service revenue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Pr>
          <w:p>
            <w:pPr>
              <w:spacing w:after="0"/>
              <w:rPr>
                <w:sz w:val="19"/>
                <w:szCs w:val="19"/>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1.0 %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1.1 %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Cost of product sales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24,838</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4.1 %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8.4 %</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(9,276 )</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(37.3 )%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115,235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85,502</w:t>
            </w:r>
          </w:p>
        </w:tc>
        <w:tc>
          <w:tcPr>
            <w:tcW w:w="100" w:type="dxa"/>
            <w:vAlign w:val="bottom"/>
          </w:tcPr>
          <w:p>
            <w:pPr>
              <w:spacing w:after="0"/>
              <w:rPr>
                <w:sz w:val="19"/>
                <w:szCs w:val="19"/>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30.3 %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29.1 %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34.8 %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86,252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64,218</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22.6 %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21.9 %</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0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Depreciation, amortization and (gain) loss on</w:t>
            </w: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84,806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88,002</w:t>
            </w:r>
          </w:p>
        </w:tc>
        <w:tc>
          <w:tcPr>
            <w:tcW w:w="10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22.3 %</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30.0 %</w:t>
            </w:r>
          </w:p>
        </w:tc>
        <w:tc>
          <w:tcPr>
            <w:tcW w:w="20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(3,196 )</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disposal of assets, net</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Total costs and expenses</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305,479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80.3 %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90.5 %</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75,131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19.7 %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9.5 %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170.9 %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31,568</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8.5 %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10.8 %</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Change in fair value of private placement warrants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(11,533 )</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1.3 %</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(3.9 )%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143.9 %</w:t>
            </w:r>
          </w:p>
        </w:tc>
        <w:tc>
          <w:tcPr>
            <w:tcW w:w="0" w:type="dxa"/>
            <w:vAlign w:val="bottom"/>
          </w:tcPr>
          <w:p>
            <w:pPr>
              <w:spacing w:after="0"/>
              <w:rPr>
                <w:sz w:val="1"/>
                <w:szCs w:val="1"/>
                <w:color w:val="auto"/>
              </w:rPr>
            </w:pPr>
          </w:p>
        </w:tc>
      </w:tr>
      <w:tr>
        <w:trPr>
          <w:trHeight w:val="239"/>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Tax receivable agreement liability adjustment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FF0FC"/>
          </w:tcPr>
          <w:p>
            <w:pPr>
              <w:spacing w:after="0"/>
              <w:rPr>
                <w:sz w:val="20"/>
                <w:szCs w:val="20"/>
                <w:color w:val="auto"/>
              </w:rPr>
            </w:pPr>
          </w:p>
        </w:tc>
        <w:tc>
          <w:tcPr>
            <w:tcW w:w="1580" w:type="dxa"/>
            <w:vAlign w:val="bottom"/>
            <w:gridSpan w:val="3"/>
            <w:shd w:val="clear" w:color="auto" w:fill="CFF0FC"/>
          </w:tcPr>
          <w:p>
            <w:pPr>
              <w:jc w:val="right"/>
              <w:ind w:right="360"/>
              <w:spacing w:after="0"/>
              <w:rPr>
                <w:sz w:val="20"/>
                <w:szCs w:val="20"/>
                <w:color w:val="auto"/>
              </w:rPr>
            </w:pPr>
            <w:r>
              <w:rPr>
                <w:rFonts w:ascii="Arial" w:cs="Arial" w:eastAsia="Arial" w:hAnsi="Arial"/>
                <w:sz w:val="16"/>
                <w:szCs w:val="16"/>
                <w:color w:val="auto"/>
              </w:rPr>
              <w:t>0.4 %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1.5 %</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(2,785 )</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(62.6 )%</w:t>
            </w:r>
          </w:p>
        </w:tc>
        <w:tc>
          <w:tcPr>
            <w:tcW w:w="0" w:type="dxa"/>
            <w:vAlign w:val="bottom"/>
          </w:tcPr>
          <w:p>
            <w:pPr>
              <w:spacing w:after="0"/>
              <w:rPr>
                <w:sz w:val="1"/>
                <w:szCs w:val="1"/>
                <w:color w:val="auto"/>
              </w:rPr>
            </w:pPr>
          </w:p>
        </w:tc>
      </w:tr>
      <w:tr>
        <w:trPr>
          <w:trHeight w:val="220"/>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1.4 %</w:t>
            </w: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6"/>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(9,305 )</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(9,430 )</w:t>
            </w:r>
          </w:p>
        </w:tc>
        <w:tc>
          <w:tcPr>
            <w:tcW w:w="158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(2.4 )%</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(3.2 )%</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Total other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9.2 %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5.2 %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134.1 %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10.5 %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4.3 %</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8"/>
              </w:rPr>
              <w:t>214.6 %</w:t>
            </w:r>
          </w:p>
        </w:tc>
        <w:tc>
          <w:tcPr>
            <w:tcW w:w="0" w:type="dxa"/>
            <w:vAlign w:val="bottom"/>
          </w:tcPr>
          <w:p>
            <w:pPr>
              <w:spacing w:after="0"/>
              <w:rPr>
                <w:sz w:val="1"/>
                <w:szCs w:val="1"/>
                <w:color w:val="auto"/>
              </w:rPr>
            </w:pPr>
          </w:p>
        </w:tc>
      </w:tr>
      <w:tr>
        <w:trPr>
          <w:trHeight w:val="226"/>
        </w:trPr>
        <w:tc>
          <w:tcPr>
            <w:tcW w:w="3660" w:type="dxa"/>
            <w:vAlign w:val="bottom"/>
            <w:gridSpan w:val="3"/>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4.6 %</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1.1 %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451.3 %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shd w:val="clear" w:color="auto" w:fill="CFF0FC"/>
          </w:tcPr>
          <w:p>
            <w:pPr>
              <w:spacing w:after="0"/>
              <w:rPr>
                <w:sz w:val="21"/>
                <w:szCs w:val="21"/>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22,383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5.9 %</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3.2 %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8"/>
              </w:rPr>
              <w:t>135.5 %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-1513840</wp:posOffset>
            </wp:positionV>
            <wp:extent cx="3506470" cy="1511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06470" cy="15113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-630555</wp:posOffset>
            </wp:positionV>
            <wp:extent cx="3506470" cy="160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06470" cy="16002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-25400</wp:posOffset>
            </wp:positionV>
            <wp:extent cx="1625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1625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1631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1631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3168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3168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3003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3003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14605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1460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$102.7 million, or 41.9%, to $348.0 million for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$245.3 million for the nine months ended September 30, 2020, representing 91.4% and 83.6% of total revenue, respectively. The following table depicts service revenue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Percentage of Revenue</w:t>
            </w: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91"/>
              </w:rPr>
              <w:t>2021 vs 2020</w:t>
            </w:r>
          </w:p>
        </w:tc>
        <w:tc>
          <w:tcPr>
            <w:tcW w:w="6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5"/>
        </w:trPr>
        <w:tc>
          <w:tcPr>
            <w:tcW w:w="36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5"/>
                <w:szCs w:val="15"/>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900" w:type="dxa"/>
            <w:vAlign w:val="bottom"/>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0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6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Service 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189,426</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132,667</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49.8 %</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45.2 %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56,759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42.8 %</w:t>
            </w:r>
          </w:p>
        </w:tc>
      </w:tr>
      <w:tr>
        <w:trPr>
          <w:trHeight w:val="236"/>
        </w:trPr>
        <w:tc>
          <w:tcPr>
            <w:tcW w:w="20" w:type="dxa"/>
            <w:vAlign w:val="bottom"/>
            <w:shd w:val="clear" w:color="auto" w:fill="CFF0FC"/>
          </w:tcPr>
          <w:p>
            <w:pPr>
              <w:spacing w:after="0"/>
              <w:rPr>
                <w:sz w:val="20"/>
                <w:szCs w:val="20"/>
                <w:color w:val="auto"/>
              </w:rPr>
            </w:pPr>
          </w:p>
        </w:tc>
        <w:tc>
          <w:tcPr>
            <w:tcW w:w="36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158,574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112,625</w:t>
            </w:r>
          </w:p>
        </w:tc>
        <w:tc>
          <w:tcPr>
            <w:tcW w:w="2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41.6 %</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38.4 %</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45,949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40.8 %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6"/>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Total service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348,000</w:t>
            </w:r>
          </w:p>
        </w:tc>
        <w:tc>
          <w:tcPr>
            <w:tcW w:w="2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245,292</w:t>
            </w: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91.4 %</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83.6 %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102,708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41.9 %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-176530</wp:posOffset>
            </wp:positionV>
            <wp:extent cx="4131945" cy="1771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31945" cy="177165"/>
                    </a:xfrm>
                    <a:prstGeom prst="rect">
                      <a:avLst/>
                    </a:prstGeom>
                    <a:noFill/>
                  </pic:spPr>
                </pic:pic>
              </a:graphicData>
            </a:graphic>
          </wp:anchor>
        </w:drawing>
      </w:r>
    </w:p>
    <w:p>
      <w:pPr>
        <w:spacing w:after="0" w:line="249"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Commercial Services service revenue increased by $56.8 million, or 42.8%, from $132.7 million for the nine months ended September 30, 2020 to $189.4 million for the nine months ended September 30, 2021. This increase was primarily due to the increased travel demand in the RAC industry that impacted volume in the nine months ended September 30, 2021 compared to the prior year which was negatively impacted by the COVID-19 pandemic. In addition, the consecutive revenue growth was approximately $10.8 million in the third quarter of 2021 compared to the second quarter of 2021 partially due to seasonality in the RAC industry from leisure travel in the summer months.</w:t>
      </w:r>
    </w:p>
    <w:p>
      <w:pPr>
        <w:spacing w:after="0" w:line="17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Government Solutions service revenue includes revenue from speed, red-light, school bus stop arm and bus lane photo enforcement systems. Service revenue was $158.6 million and $112.6 million for the nine months ended September 30, 2021 and 2020, respectively, and it increased by $45.9 million with Redflex contributing $19.0 million during the nine months ended September 30, 2021. Our speed program revenue grew approximately $29.6 million during the nine months ended September 30, 2021 compared to the same period in 2020 due to the inclusion of Redflex operations for approximately one hundred days in the 2021 period with no comparable amounts in the prior year and an increase in the total number of camera systems installed. This trend is expected to continue into future quarters. In addition, revenue from red-light programs increased by $10.2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right="20"/>
        <w:spacing w:after="0" w:line="279" w:lineRule="auto"/>
        <w:rPr>
          <w:sz w:val="20"/>
          <w:szCs w:val="20"/>
          <w:color w:val="auto"/>
        </w:rPr>
      </w:pPr>
      <w:r>
        <w:rPr>
          <w:rFonts w:ascii="Arial" w:cs="Arial" w:eastAsia="Arial" w:hAnsi="Arial"/>
          <w:sz w:val="18"/>
          <w:szCs w:val="18"/>
          <w:color w:val="auto"/>
        </w:rPr>
        <w:t>which was mainly attributable to the inclusion of Redflex operations for approximately one hundred days in the 2021 period with no comparable amounts in the prior year and the general increase in travel and related vehicle traffic in 2021 compared to prior year which was negatively impacted by the COVID-19 pandemic.</w:t>
      </w:r>
    </w:p>
    <w:p>
      <w:pPr>
        <w:spacing w:after="0" w:line="18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We maintained an average of 6,550 active camera systems during the nine months ended September 30, 2021 compared to an average of 4,008 for the nine months ended September 30, 2020. The increase in active camera systems was primarily due to the inclusion of Redflex camera systems with no comparable amounts in the prior year, the expansion of speed enforcement systems with existing customers, and the restart of cameras that were temporarily inactive due to COVID-19.</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$32.6 million and $48.1 million for the nine months ended September 30, 2021 and 2020,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sales decreased $15.5 million mainly due to the timing of installations at a single customer that is expanding its school zone speed program, offset by an increase due to the inclusion of Redflex product sales for approximately one hundred days in the 2021 period with no comparable amounts in the prior year. Product sales revenue is generated from international customers and certain domestic customers in the Government Solutions segment who purchase their equipment and their buying patterns vary greatly from year to year.</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from $3.1 million for the nine months ended September 30, 2020 to $3.6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2021. The $0.5 million increase resulted from increased costs from third-party professional services associated with the delivery of certain ancillary services.</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decreased by $9.3 million from $24.8 million in the nine months ended September 30,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$15.6 million in the nine months ended September 30, 2021, which was consistent with the decrease in product sales.</w:t>
      </w:r>
    </w:p>
    <w:p>
      <w:pPr>
        <w:spacing w:after="0" w:line="17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increased by $29.7 million, or 34.8%, from $85.5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to $115.2 million for the nine months ended September 30, 2021. The increase was primarily attributable to increase in wages expense, recurring services, and subcontractor expenses resulting from increased operations in 2021, which were lower in the 2020 year due to the impact from the COVID-19 pandemic. The increase was also driven by the inclusion of Redflex operations for approximately one hundred days in 2021 with no comparable amounts in the prior year. Operating expenses as a percentage of total revenue increased from 29.1% to 30.3% for the nine months ended September 30, 2020 and 2021, respectively. The following table presents operating expenses by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Percentage of Revenue</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1"/>
              </w:rPr>
              <w:t>2021 vs 2020</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75"/>
        </w:trPr>
        <w:tc>
          <w:tcPr>
            <w:tcW w:w="41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41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12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47,667</w:t>
            </w:r>
          </w:p>
        </w:tc>
        <w:tc>
          <w:tcPr>
            <w:tcW w:w="4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39,076</w:t>
            </w:r>
          </w:p>
        </w:tc>
        <w:tc>
          <w:tcPr>
            <w:tcW w:w="1460" w:type="dxa"/>
            <w:vAlign w:val="bottom"/>
            <w:gridSpan w:val="3"/>
          </w:tcPr>
          <w:p>
            <w:pPr>
              <w:jc w:val="right"/>
              <w:ind w:right="260"/>
              <w:spacing w:after="0"/>
              <w:rPr>
                <w:sz w:val="20"/>
                <w:szCs w:val="20"/>
                <w:color w:val="auto"/>
              </w:rPr>
            </w:pPr>
            <w:r>
              <w:rPr>
                <w:rFonts w:ascii="Arial" w:cs="Arial" w:eastAsia="Arial" w:hAnsi="Arial"/>
                <w:sz w:val="16"/>
                <w:szCs w:val="16"/>
                <w:color w:val="auto"/>
              </w:rPr>
              <w:t>12.5 %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13.3 %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22.0 %</w:t>
            </w:r>
          </w:p>
        </w:tc>
      </w:tr>
      <w:tr>
        <w:trPr>
          <w:trHeight w:val="236"/>
        </w:trPr>
        <w:tc>
          <w:tcPr>
            <w:tcW w:w="20" w:type="dxa"/>
            <w:vAlign w:val="bottom"/>
            <w:shd w:val="clear" w:color="auto" w:fill="CFF0FC"/>
          </w:tcPr>
          <w:p>
            <w:pPr>
              <w:spacing w:after="0"/>
              <w:rPr>
                <w:sz w:val="20"/>
                <w:szCs w:val="20"/>
                <w:color w:val="auto"/>
              </w:rPr>
            </w:pPr>
          </w:p>
        </w:tc>
        <w:tc>
          <w:tcPr>
            <w:tcW w:w="41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66,947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45,729</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17.6 %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15.6 %</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46.4 %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216"/>
        </w:trPr>
        <w:tc>
          <w:tcPr>
            <w:tcW w:w="4140" w:type="dxa"/>
            <w:vAlign w:val="bottom"/>
            <w:gridSpan w:val="3"/>
          </w:tcPr>
          <w:p>
            <w:pPr>
              <w:ind w:left="20"/>
              <w:spacing w:after="0"/>
              <w:rPr>
                <w:sz w:val="20"/>
                <w:szCs w:val="20"/>
                <w:color w:val="auto"/>
              </w:rPr>
            </w:pPr>
            <w:r>
              <w:rPr>
                <w:rFonts w:ascii="Arial" w:cs="Arial" w:eastAsia="Arial" w:hAnsi="Arial"/>
                <w:sz w:val="16"/>
                <w:szCs w:val="16"/>
                <w:color w:val="auto"/>
                <w:w w:val="96"/>
              </w:rPr>
              <w:t>Total operating expenses before 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114,614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84,805</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30.1 %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28.9 %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35.2 %</w:t>
            </w:r>
          </w:p>
        </w:tc>
      </w:tr>
      <w:tr>
        <w:trPr>
          <w:trHeight w:val="236"/>
        </w:trPr>
        <w:tc>
          <w:tcPr>
            <w:tcW w:w="41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0.2 %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0.2 %</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(76 )</w:t>
            </w: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(10.9 )%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22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115,235</w:t>
            </w:r>
          </w:p>
        </w:tc>
        <w:tc>
          <w:tcPr>
            <w:tcW w:w="2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85,502</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30.3 %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29.1 %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29,733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34.8 %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-476250</wp:posOffset>
            </wp:positionV>
            <wp:extent cx="3865880" cy="1511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65880" cy="1511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-176530</wp:posOffset>
            </wp:positionV>
            <wp:extent cx="3865880" cy="1771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65880" cy="17716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ind w:firstLine="749"/>
        <w:spacing w:after="0" w:line="287"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by $22.0 million to $86.3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compared to $64.2 million for the same period in 2020. The increase is primarily due to $10.1 million in transaction costs incurred related to the Reflex acquisition and other deal costs, increased wages expense due to the reinstatement of employee bonus accrual in 2021, and increased wages, information technology and other related professional expenses from the inclusion of Redflex operations for approximately one hundred days in 2021 with no comparable amounts in prior year. These increases were partially offset by a $3.9 million reduction to the credit loss expense resulting from changes in loss rate estimates based on improved economic conditions. Selling, general and administrative expenses as a percentage of revenue increased from 21.9% to 22.6% for the nine months ended September 30, 2020 and 2021, respectively. The following table presents selling, general and administrative expenses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Nine Months Ended September 30,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Increase (Decrease)</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Percentage of Revenue</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5"/>
        </w:trPr>
        <w:tc>
          <w:tcPr>
            <w:tcW w:w="418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6"/>
                <w:szCs w:val="16"/>
                <w:color w:val="auto"/>
              </w:rPr>
              <w:t>Commercial Services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30,886</w:t>
            </w:r>
          </w:p>
        </w:tc>
        <w:tc>
          <w:tcPr>
            <w:tcW w:w="4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29,495</w:t>
            </w:r>
          </w:p>
        </w:tc>
        <w:tc>
          <w:tcPr>
            <w:tcW w:w="1400" w:type="dxa"/>
            <w:vAlign w:val="bottom"/>
            <w:gridSpan w:val="3"/>
          </w:tcPr>
          <w:p>
            <w:pPr>
              <w:jc w:val="right"/>
              <w:ind w:right="220"/>
              <w:spacing w:after="0"/>
              <w:rPr>
                <w:sz w:val="20"/>
                <w:szCs w:val="20"/>
                <w:color w:val="auto"/>
              </w:rPr>
            </w:pPr>
            <w:r>
              <w:rPr>
                <w:rFonts w:ascii="Arial" w:cs="Arial" w:eastAsia="Arial" w:hAnsi="Arial"/>
                <w:sz w:val="16"/>
                <w:szCs w:val="16"/>
                <w:color w:val="auto"/>
              </w:rPr>
              <w:t>8.1 %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10.1 %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1,391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4.7 %</w:t>
            </w:r>
          </w:p>
        </w:tc>
      </w:tr>
      <w:tr>
        <w:trPr>
          <w:trHeight w:val="239"/>
        </w:trPr>
        <w:tc>
          <w:tcPr>
            <w:tcW w:w="20" w:type="dxa"/>
            <w:vAlign w:val="bottom"/>
            <w:shd w:val="clear" w:color="auto" w:fill="CFF0FC"/>
          </w:tcPr>
          <w:p>
            <w:pPr>
              <w:spacing w:after="0"/>
              <w:rPr>
                <w:sz w:val="20"/>
                <w:szCs w:val="20"/>
                <w:color w:val="auto"/>
              </w:rPr>
            </w:pPr>
          </w:p>
        </w:tc>
        <w:tc>
          <w:tcPr>
            <w:tcW w:w="41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Government Solutions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35,693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24,926</w:t>
            </w: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9.4 %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8.5 %</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10,767</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43.2 %</w:t>
            </w:r>
          </w:p>
        </w:tc>
      </w:tr>
      <w:tr>
        <w:trPr>
          <w:trHeight w:val="227"/>
        </w:trPr>
        <w:tc>
          <w:tcPr>
            <w:tcW w:w="2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1,302</w:t>
            </w:r>
          </w:p>
        </w:tc>
        <w:tc>
          <w:tcPr>
            <w:tcW w:w="1400" w:type="dxa"/>
            <w:vAlign w:val="bottom"/>
            <w:gridSpan w:val="3"/>
          </w:tcPr>
          <w:p>
            <w:pPr>
              <w:jc w:val="right"/>
              <w:ind w:right="220"/>
              <w:spacing w:after="0"/>
              <w:rPr>
                <w:sz w:val="20"/>
                <w:szCs w:val="20"/>
                <w:color w:val="auto"/>
              </w:rPr>
            </w:pPr>
            <w:r>
              <w:rPr>
                <w:rFonts w:ascii="Arial" w:cs="Arial" w:eastAsia="Arial" w:hAnsi="Arial"/>
                <w:sz w:val="16"/>
                <w:szCs w:val="16"/>
                <w:color w:val="auto"/>
              </w:rPr>
              <w:t>2.6 %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0.4 %</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676.5 %</w:t>
            </w:r>
          </w:p>
        </w:tc>
      </w:tr>
      <w:tr>
        <w:trPr>
          <w:trHeight w:val="203"/>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selling, general and administrative expenses before</w:t>
            </w: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26"/>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55,723</w:t>
            </w: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20.1 %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19.0 %</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37.6 %</w:t>
            </w:r>
          </w:p>
        </w:tc>
      </w:tr>
      <w:tr>
        <w:trPr>
          <w:trHeight w:val="227"/>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8,495</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2.5 %</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2.9 %</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12.6 %</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46"/>
        </w:trPr>
        <w:tc>
          <w:tcPr>
            <w:tcW w:w="4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selling, general and administrative expenses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86,252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64,218</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22.6 %</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21.9 %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22,034</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34.3 %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-25400</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137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137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137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2311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23114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2317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231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1200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1200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3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i w:val="1"/>
          <w:iCs w:val="1"/>
          <w:color w:val="auto"/>
        </w:rPr>
        <w:t xml:space="preserve">Depreciation, Amortization and (Gain) Loss on Disposal of Assets, Net. </w:t>
      </w:r>
      <w:r>
        <w:rPr>
          <w:rFonts w:ascii="Arial" w:cs="Arial" w:eastAsia="Arial" w:hAnsi="Arial"/>
          <w:sz w:val="17"/>
          <w:szCs w:val="17"/>
          <w:color w:val="auto"/>
        </w:rPr>
        <w:t>Depreciation, amortization and (gain) loss on disposal of assets, net,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from $88.0 million for the nine months ended September 30, 2020 to $84.8 million for the same period in 2021. The decrease was mainly due to certain trademark intangibles being fully amortized for seven months out of the nine months period ended September 30, 2021, offset by increased depreciation and amortization expense resulting from the Redflex acquisition in 2021 with no comparable amounts in the prior year.</w:t>
      </w:r>
    </w:p>
    <w:p>
      <w:pPr>
        <w:spacing w:after="0" w:line="170"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increased by $0.9 million from $31.6 million for the nine months ended September 30, 2020 to</w:t>
      </w:r>
      <w:r>
        <w:rPr>
          <w:rFonts w:ascii="Arial" w:cs="Arial" w:eastAsia="Arial" w:hAnsi="Arial"/>
          <w:sz w:val="16"/>
          <w:szCs w:val="16"/>
          <w:i w:val="1"/>
          <w:iCs w:val="1"/>
          <w:color w:val="auto"/>
        </w:rPr>
        <w:t xml:space="preserve"> </w:t>
      </w:r>
      <w:r>
        <w:rPr>
          <w:rFonts w:ascii="Arial" w:cs="Arial" w:eastAsia="Arial" w:hAnsi="Arial"/>
          <w:sz w:val="16"/>
          <w:szCs w:val="16"/>
          <w:color w:val="auto"/>
        </w:rPr>
        <w:t>$32.5 million for the same period in 2021. This increase is primarily due to increased borrowings as part of the debt restructuring in March 2021, partially offset by lower interest rates in 2021 on our variable-rate debt compared to the same period in 2020.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below.</w:t>
      </w:r>
    </w:p>
    <w:p>
      <w:pPr>
        <w:spacing w:after="0" w:line="14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$1.7 million and $4.4 million in charges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 The TRA liability adjustment in 2021 is arising from higher estimated state tax rates due to changes in statutory rates, whereas in 2020 it is arising from higher estimated state tax rates due to a change in apportionment.</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was $5.3 million during the nine months ended September 30, 2021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a $4.0 million write-off of pre-existing deferred financing costs and $1.3 million of lender and third-party costs associated with the issuance of the new 2021 Term Loan discussed below.</w:t>
      </w:r>
    </w:p>
    <w:p>
      <w:pPr>
        <w:spacing w:after="0" w:line="18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was $9.3 million for the nine months ended September 30, 2021, compared to $9.4 million for the nine months ended September 30, 2020. The slight decrease is primarily driven by a total of $2.8 million in gains recorded in the nine months ended September 30, 2020 from a settlement agreement and related insurance proceeds, which was offset by an increase in the 2021 period due to increased tolling activity as a result of COVID-19 recovery in the travel industry.</w:t>
      </w:r>
    </w:p>
    <w:p>
      <w:pPr>
        <w:spacing w:after="0" w:line="191"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Income tax provision was $17.5 million representing an effective tax rate of 43.9%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compared to a tax provision of $3.2 million, representing an effective tax rate of 25% for the same period in 2020. For the nine months ended September 30, 2020, the impact of discrete items was favorable and had a larger impact on the tax rate due to the pretax income being lower. For the nine months ended September 30, 2021, the pretax income was higher and the discrete items unfavorably affected the tax rate, in addition to the impact of the Company’s permanent differences related to the mark-to-market adjustment on the private placement warrants.</w:t>
      </w:r>
    </w:p>
    <w:p>
      <w:pPr>
        <w:spacing w:after="0" w:line="17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We had net income of $22.4 million for the nine months ended September 30, 2021, as compared to a net income of $9.5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2020. The increase in net income of $12.9 million was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mainly due to increase in service revenue in both of our segments, and the other statements of operations activity discussed above.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Our principal sources of liquidity are cash flows from operations and available borrowings under our 2021 Term Loan and the Revolver (both of which are defined below).</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incurred significant long-term debt as a result of acquisitions completed in prior years as well as the Redflex acquisition in the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93"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We have the ability to borrow under our Revolver to meet obligations as they come due. As of September 30, 2021, we had $62.2 million available for borrowing, net of letters of credit, under our Revolver.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As of September 30, 2021, 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46.3% of total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6"/>
          <w:szCs w:val="16"/>
          <w:b w:val="1"/>
          <w:bCs w:val="1"/>
          <w:i w:val="1"/>
          <w:iCs w:val="1"/>
          <w:color w:val="auto"/>
        </w:rPr>
        <w:t>Legacy Contract</w:t>
      </w:r>
      <w:r>
        <w:rPr>
          <w:rFonts w:ascii="Arial" w:cs="Arial" w:eastAsia="Arial" w:hAnsi="Arial"/>
          <w:sz w:val="16"/>
          <w:szCs w:val="16"/>
          <w:color w:val="auto"/>
        </w:rPr>
        <w:t>”), and (ii) an emergency contract for the purchase, installation, maintenance and operation of the expanded speed camera program beginning in 2020 (the “</w:t>
      </w:r>
      <w:r>
        <w:rPr>
          <w:rFonts w:ascii="Arial" w:cs="Arial" w:eastAsia="Arial" w:hAnsi="Arial"/>
          <w:sz w:val="16"/>
          <w:szCs w:val="16"/>
          <w:b w:val="1"/>
          <w:bCs w:val="1"/>
          <w:i w:val="1"/>
          <w:iCs w:val="1"/>
          <w:color w:val="auto"/>
        </w:rPr>
        <w:t>Emergency Contract</w:t>
      </w:r>
      <w:r>
        <w:rPr>
          <w:rFonts w:ascii="Arial" w:cs="Arial" w:eastAsia="Arial" w:hAnsi="Arial"/>
          <w:sz w:val="16"/>
          <w:szCs w:val="16"/>
          <w:color w:val="auto"/>
        </w:rPr>
        <w:t>”). At September 30, 2021, the Legacy Contract had an open receivable balance of $16.1 million, of which $7.6 million had aged beyond NYCDOT’s 45-day payment terms. As of September 30, 2021, the Company has invoiced NYCDOT for $80.9 million in product revenue and $48.8 million in service revenue under the Emergency Contract, and the Emergency Contract had an open receivable balance of $64.8 million, of which $41.6 million had aged beyond NYCDOT’s 45-day payment terms. The total outstanding receivables balance decreased $46.2 million at September 30, 2021 compared to the outstanding balance at June 30, 2021 as the Company collected $87.5 million during the third quarter of 2021 related to both contracts. There is no material reserve related to open receivables as amounts are deemed collectible based on current conditions and expectations. Please also see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respective periods: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75"/>
        </w:trPr>
        <w:tc>
          <w:tcPr>
            <w:tcW w:w="766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129,284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44,350</w:t>
            </w:r>
          </w:p>
        </w:tc>
        <w:tc>
          <w:tcPr>
            <w:tcW w:w="100" w:type="dxa"/>
            <w:vAlign w:val="bottom"/>
            <w:shd w:val="clear" w:color="auto" w:fill="CFF0FC"/>
          </w:tcPr>
          <w:p>
            <w:pPr>
              <w:spacing w:after="0"/>
              <w:rPr>
                <w:sz w:val="18"/>
                <w:szCs w:val="18"/>
                <w:color w:val="auto"/>
              </w:rPr>
            </w:pPr>
          </w:p>
        </w:tc>
      </w:tr>
      <w:tr>
        <w:trPr>
          <w:trHeight w:val="220"/>
        </w:trPr>
        <w:tc>
          <w:tcPr>
            <w:tcW w:w="7660" w:type="dxa"/>
            <w:vAlign w:val="bottom"/>
            <w:gridSpan w:val="3"/>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(122,412 )</w:t>
            </w:r>
          </w:p>
        </w:tc>
        <w:tc>
          <w:tcPr>
            <w:tcW w:w="3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(18,250 )</w:t>
            </w:r>
          </w:p>
        </w:tc>
      </w:tr>
      <w:tr>
        <w:trPr>
          <w:trHeight w:val="239"/>
        </w:trPr>
        <w:tc>
          <w:tcPr>
            <w:tcW w:w="7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(27,949 )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Cash provided by operating activities increased by $84.9 million, from $44.4 million for the nine months ended September 30, 2020 to $129.3 million for the nine months ended September 30, 2021. Net income year over year increased by $12.9 million, from $9.5 million in 2020 to $22.4 million in 2021. Adjustments to reconcile net income to cash provided by operating activities increased $9.1 million in 2021 compared to the 2020 nine-month period and consisted primarily of a $16.6 million change in the fair value of private placement warrants and the $5.3 million loss on extinguishment of debt, which were offset partially by the decreases in depreciation and amortization, tax receivable agreement liability adjustment and the credit loss expense. The major changes in operating assets and liabilities were driven by a significant reduction in the accounts receivable balance from payments received by NYCDOT during the second and third quarters of fiscal year 2021, and an increase in accrued liabilities resulting from an increase in accrued interest and income taxes payable as of the period end. Total payments received from NYCDOT during the three and nine months ended September 30, 2021 totaled $115.7 million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both"/>
        <w:ind w:right="20"/>
        <w:spacing w:after="0" w:line="293" w:lineRule="auto"/>
        <w:rPr>
          <w:sz w:val="20"/>
          <w:szCs w:val="20"/>
          <w:color w:val="auto"/>
        </w:rPr>
      </w:pPr>
      <w:r>
        <w:rPr>
          <w:rFonts w:ascii="Arial" w:cs="Arial" w:eastAsia="Arial" w:hAnsi="Arial"/>
          <w:sz w:val="18"/>
          <w:szCs w:val="18"/>
          <w:color w:val="auto"/>
        </w:rPr>
        <w:t>$87.5 million, respectively. The increase in accrued interest is attributable to the timing of our interest payments on the $350 million of Senior Notes that were issued in March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Cash used in investing activities was $122.4 million and $18.3 million for the nine months ended September 30, 2021 and 2020, respectively. The cash used in 2021 was primarily related to the acquisition of Redflex on June 17, 2021 by VM Consolidated, Inc. of one hundred percent of the outstanding equity of Redflex at A$0.96 per share for total consideration of A$152.5 million, or approximately US$117.9 million. The cash used in 2020 was related to purchases of installation and service parts and property and equipment.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1"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Cash provided by (used in) financing activities was $5.3 million and $(27.9) million for the nine months ended September 30, 2021 and 2020, respectively. We had aggregate borrowings of $996.8 million during 2021 consisting of the 2021 Term Loan and Senior Notes (defined below) and repayments of $882.9 million on outstanding debt related to the 2018 and 2021 Term Loans, and debt assumed as part of the Redflex acquisition that was subsequently paid. The 2018 Term Loan has been fully repaid in March 2021. The aggregate borrowings net of the repayments along with existing cash on hand were used to fund the close of the Redflex acquisition in June 2021 and the share repurchase and retirement for $100 million in August 2021 (discussed above). The cash used in financing activities in 2020 was mainly due to a $19.7 million mandatory prepayment of excess cash flows we made in the quarter ended March 31, 2020 pursuant to the terms of the 2018 Term Loan, and costs associated with refinancing it in February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13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In March 2021, VM Consolidated, Inc., our wholly owned subsidiary, entered into an Amendment and Restatement Agreement No.1 to the First Lien Term Loan Credit Agreement (the “</w:t>
      </w:r>
      <w:r>
        <w:rPr>
          <w:rFonts w:ascii="Arial" w:cs="Arial" w:eastAsia="Arial" w:hAnsi="Arial"/>
          <w:sz w:val="18"/>
          <w:szCs w:val="18"/>
          <w:b w:val="1"/>
          <w:bCs w:val="1"/>
          <w:i w:val="1"/>
          <w:iCs w:val="1"/>
          <w:color w:val="auto"/>
        </w:rPr>
        <w:t>2021 Term Loan</w:t>
      </w:r>
      <w:r>
        <w:rPr>
          <w:rFonts w:ascii="Arial" w:cs="Arial" w:eastAsia="Arial" w:hAnsi="Arial"/>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19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due on April 15, 2029. In connection with the issuance of the Senior Notes, we incurred $5.7 million in lender and third-party costs,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as deferred financing costs and are being amortized over the remaining life of the Senior Notes.</w:t>
      </w:r>
    </w:p>
    <w:p>
      <w:pPr>
        <w:spacing w:after="0" w:line="183"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existing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7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As of September 30, 2021, the interest rate on the 2021 Term Loan was 3.4%.</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r>
      <w:tr>
        <w:trPr>
          <w:trHeight w:val="175"/>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prepayment</w:t>
            </w:r>
          </w:p>
        </w:tc>
      </w:tr>
      <w:tr>
        <w:trPr>
          <w:trHeight w:val="192"/>
        </w:trPr>
        <w:tc>
          <w:tcPr>
            <w:tcW w:w="8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Consolidated first lien net leverage ratio (as defined by the 2021 Term Loan agreement)</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percentage</w:t>
            </w:r>
          </w:p>
        </w:tc>
      </w:tr>
      <w:tr>
        <w:trPr>
          <w:trHeight w:val="256"/>
        </w:trPr>
        <w:tc>
          <w:tcPr>
            <w:tcW w:w="8720" w:type="dxa"/>
            <w:vAlign w:val="bottom"/>
            <w:gridSpan w:val="5"/>
            <w:shd w:val="clear" w:color="auto" w:fill="CFF0FC"/>
          </w:tcPr>
          <w:p>
            <w:pPr>
              <w:jc w:val="center"/>
              <w:spacing w:after="0"/>
              <w:rPr>
                <w:sz w:val="20"/>
                <w:szCs w:val="20"/>
                <w:color w:val="auto"/>
              </w:rPr>
            </w:pPr>
            <w:r>
              <w:rPr>
                <w:rFonts w:ascii="Arial" w:cs="Arial" w:eastAsia="Arial" w:hAnsi="Arial"/>
                <w:sz w:val="18"/>
                <w:szCs w:val="18"/>
                <w:color w:val="auto"/>
                <w:w w:val="90"/>
              </w:rPr>
              <w:t>&gt; 3.70:1.00</w:t>
            </w:r>
          </w:p>
        </w:tc>
        <w:tc>
          <w:tcPr>
            <w:tcW w:w="25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50%</w:t>
            </w:r>
          </w:p>
        </w:tc>
      </w:tr>
      <w:tr>
        <w:trPr>
          <w:trHeight w:val="203"/>
        </w:trPr>
        <w:tc>
          <w:tcPr>
            <w:tcW w:w="3360" w:type="dxa"/>
            <w:vAlign w:val="bottom"/>
          </w:tcPr>
          <w:p>
            <w:pPr>
              <w:spacing w:after="0"/>
              <w:rPr>
                <w:sz w:val="17"/>
                <w:szCs w:val="17"/>
                <w:color w:val="auto"/>
              </w:rPr>
            </w:pPr>
          </w:p>
        </w:tc>
        <w:tc>
          <w:tcPr>
            <w:tcW w:w="5360" w:type="dxa"/>
            <w:vAlign w:val="bottom"/>
            <w:gridSpan w:val="4"/>
          </w:tcPr>
          <w:p>
            <w:pPr>
              <w:jc w:val="center"/>
              <w:ind w:right="3270"/>
              <w:spacing w:after="0" w:line="202" w:lineRule="exact"/>
              <w:rPr>
                <w:sz w:val="20"/>
                <w:szCs w:val="20"/>
                <w:color w:val="auto"/>
              </w:rPr>
            </w:pPr>
            <w:r>
              <w:rPr>
                <w:rFonts w:ascii="Arial" w:cs="Arial" w:eastAsia="Arial" w:hAnsi="Arial"/>
                <w:sz w:val="18"/>
                <w:szCs w:val="18"/>
                <w:color w:val="auto"/>
                <w:w w:val="90"/>
              </w:rPr>
              <w:t>&lt; 3.70:1.00 and &gt; 3.20:1.00</w:t>
            </w:r>
          </w:p>
        </w:tc>
        <w:tc>
          <w:tcPr>
            <w:tcW w:w="252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4"/>
              </w:rPr>
              <w:t>25%</w:t>
            </w:r>
          </w:p>
        </w:tc>
      </w:tr>
      <w:tr>
        <w:trPr>
          <w:trHeight w:val="34"/>
        </w:trPr>
        <w:tc>
          <w:tcPr>
            <w:tcW w:w="3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6"/>
        </w:trPr>
        <w:tc>
          <w:tcPr>
            <w:tcW w:w="8720" w:type="dxa"/>
            <w:vAlign w:val="bottom"/>
            <w:gridSpan w:val="5"/>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&lt; 3.20:1.00</w:t>
            </w:r>
          </w:p>
        </w:tc>
        <w:tc>
          <w:tcPr>
            <w:tcW w:w="252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2"/>
              </w:rPr>
              <w:t>0%</w:t>
            </w:r>
          </w:p>
        </w:tc>
      </w:tr>
      <w:tr>
        <w:trPr>
          <w:trHeight w:val="675"/>
        </w:trPr>
        <w:tc>
          <w:tcPr>
            <w:tcW w:w="3960" w:type="dxa"/>
            <w:vAlign w:val="bottom"/>
            <w:tcBorders>
              <w:top w:val="single" w:sz="8" w:color="CFF0FC"/>
            </w:tcBorders>
            <w:gridSpan w:val="3"/>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60" w:type="dxa"/>
            <w:vAlign w:val="bottom"/>
            <w:tcBorders>
              <w:top w:val="single" w:sz="8" w:color="CFF0FC"/>
            </w:tcBorders>
          </w:tcPr>
          <w:p>
            <w:pPr>
              <w:jc w:val="right"/>
              <w:ind w:right="2910"/>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ind w:firstLine="749"/>
        <w:spacing w:after="0" w:line="279"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we may redeem all or a portion of the Senior Notes at the redemption prices set forth below in percentages by year, plus accrued and unpaid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56"/>
        </w:trPr>
        <w:tc>
          <w:tcPr>
            <w:tcW w:w="8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25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102.750%</w:t>
            </w:r>
          </w:p>
        </w:tc>
      </w:tr>
      <w:tr>
        <w:trPr>
          <w:trHeight w:val="250"/>
        </w:trPr>
        <w:tc>
          <w:tcPr>
            <w:tcW w:w="87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5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101.375%</w:t>
            </w:r>
          </w:p>
        </w:tc>
      </w:tr>
      <w:tr>
        <w:trPr>
          <w:trHeight w:val="263"/>
        </w:trPr>
        <w:tc>
          <w:tcPr>
            <w:tcW w:w="8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2026 and thereafter</w:t>
            </w:r>
          </w:p>
        </w:tc>
        <w:tc>
          <w:tcPr>
            <w:tcW w:w="252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100.000%</w:t>
            </w: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addition, we may redeem up to 40% of the Senior Notes before April 15, 2024, with the net cash proceeds from certain equity offerings.</w:t>
      </w:r>
    </w:p>
    <w:p>
      <w:pPr>
        <w:spacing w:after="0" w:line="25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We evaluated the refinancing transactions on a lender by lender basis and accounted for the portion of the transaction that did not meet the accounting criteria for debt extinguishment as a debt modification. Accordingly, we recognized a loss on extinguishment of debt of $5.3 million on the 2018 Term Loan during the nine months ended September 30, 2021 consisting of a $4.0 million write-off of pre-existing deferred financing costs and $1.3 million of lender and third-party costs associated with the issuance of the new 2021 Term Loan.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13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At September 30, 2021, the loan amount outstanding was $2.9 million and is payable within a year, and is included in the current portion of long-term debt. In early 2021, Redflex applied for forgiveness of this loan and awaits approval from the SBA.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131"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6"/>
          <w:szCs w:val="16"/>
          <w:color w:val="auto"/>
        </w:rPr>
        <w:t>We have a Revolving Credit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with a commitment of up to $75 million available for loans and letters of credit. The Revolver matures on February 28, 2023. The terms of the Revolver were not affected by the other debt instruments discussed above. Borrowing eligibility under the Revolver is subject to a monthly borrowing base calculation based on (i) certain percentages of eligible accounts receivable and inventory, less</w:t>
      </w:r>
    </w:p>
    <w:p>
      <w:pPr>
        <w:spacing w:after="0" w:line="2" w:lineRule="exact"/>
        <w:rPr>
          <w:sz w:val="20"/>
          <w:szCs w:val="20"/>
          <w:color w:val="auto"/>
        </w:rPr>
      </w:pPr>
    </w:p>
    <w:p>
      <w:pPr>
        <w:jc w:val="both"/>
        <w:ind w:firstLine="8"/>
        <w:spacing w:after="0" w:line="319"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September 30, 2021, we had no outstanding borrowings on the Revolver and our availability to borrow was $62.2 million, net of $6.2 million of outstanding letters of credit.</w:t>
      </w:r>
    </w:p>
    <w:p>
      <w:pPr>
        <w:spacing w:after="0" w:line="15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$6.2 million of outstanding letters of credit as of September 30, 2021.</w:t>
      </w:r>
    </w:p>
    <w:p>
      <w:pPr>
        <w:spacing w:after="0" w:line="17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All borrowings and other extensions of credits under the 2021 Term Loan, the Senior Notes and the Revolver are subject to the satisfaction of customary conditions and restrictive covenants including absence of defaults and accuracy in material respects of representations and warranties. At September 30, 2021, we were compliant with all debt covenants. Substantially all of our assets are pledged as collateral to secure our indebtedness under the 2021 Term Loan.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We recorded interest expense, including amortization of deferred financing costs and discounts, of $11.6 million and $9.6 million for the three months ended September 30, 2021 and 2020, respectively, and $32.5 million and $31.6 million for the nine months ended September 30, 2021 and 2020,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have any material off-balance sheet financing arrangements as of September 30,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3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5" w:name="page46"/>
    <w:bookmarkEnd w:id="45"/>
    <w:p>
      <w:pPr>
        <w:jc w:val="both"/>
        <w:spacing w:after="0" w:line="292" w:lineRule="auto"/>
        <w:rPr>
          <w:sz w:val="20"/>
          <w:szCs w:val="20"/>
          <w:color w:val="auto"/>
        </w:rPr>
      </w:pPr>
      <w:r>
        <w:rPr>
          <w:rFonts w:ascii="Arial" w:cs="Arial" w:eastAsia="Arial" w:hAnsi="Arial"/>
          <w:sz w:val="17"/>
          <w:szCs w:val="17"/>
          <w:color w:val="auto"/>
        </w:rPr>
        <w:t>financial statements and the accompanying notes. Significant items subject to such estimates and assumptions include the fair values assigned to net assets acquired (including identifiable intangible assets) in business combinations, the carrying amounts of inventory, long-lived assets, goodwill, the allowance for credit loss, fair value of private placement warrant liabilities,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Refer to our 2020 Annual Report on Form 10-K/A filed on May 17, 2021 for our critical accounting policies, estimates and judgments.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For a discussion of recent accounting pronouncements,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Part I, Item 1,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We are exposed to market risk due to the variable interest rate on the 2021 Term Loan described in Part I,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70"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Interest rate risk represents our exposure to fluctuations in interest rates associated with the variable rate debt represented by the 2021 Term Loan, which has an outstanding balance of $646.8 million and an interest rate of 3.4% at September 30, 2021. Based on the September 30, 2021 balance outstanding, each 1% movement in interest rates will result in an approximately $6.5 million change in annual interest expense.</w:t>
      </w:r>
    </w:p>
    <w:p>
      <w:pPr>
        <w:spacing w:after="0" w:line="164"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We have not engaged in any hedging activities during the nine months ended September 30, 2021. We do not expect to engage in any hedging activities with respect to the market risk to which we are exposed.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3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September 30, 2021 and, based on their evaluation, have concluded the controls and procedures were effective as a material weakness in internal control over financial reporting that was disclosed in our Annual Report on Form 10-K/A filed on May 17, 2021 for the year ended December 31, 2020 was remediated during the second quarter of fiscal year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quarter ended September 30, 2021 that have materially affected, or are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6"/>
          <w:szCs w:val="16"/>
          <w:color w:val="auto"/>
        </w:rPr>
        <w:t>On November 2, 2020, PlusPass, Inc. (“</w:t>
      </w:r>
      <w:r>
        <w:rPr>
          <w:rFonts w:ascii="Arial" w:cs="Arial" w:eastAsia="Arial" w:hAnsi="Arial"/>
          <w:sz w:val="16"/>
          <w:szCs w:val="16"/>
          <w:b w:val="1"/>
          <w:bCs w:val="1"/>
          <w:i w:val="1"/>
          <w:iCs w:val="1"/>
          <w:color w:val="auto"/>
        </w:rPr>
        <w:t>PlusPass</w:t>
      </w:r>
      <w:r>
        <w:rPr>
          <w:rFonts w:ascii="Arial" w:cs="Arial" w:eastAsia="Arial" w:hAnsi="Arial"/>
          <w:sz w:val="16"/>
          <w:szCs w:val="16"/>
          <w:color w:val="auto"/>
        </w:rPr>
        <w:t>”) commenced an action in the United States District Court, Central District of California, against Verra Mobility Corporation (“</w:t>
      </w:r>
      <w:r>
        <w:rPr>
          <w:rFonts w:ascii="Arial" w:cs="Arial" w:eastAsia="Arial" w:hAnsi="Arial"/>
          <w:sz w:val="16"/>
          <w:szCs w:val="16"/>
          <w:b w:val="1"/>
          <w:bCs w:val="1"/>
          <w:i w:val="1"/>
          <w:iCs w:val="1"/>
          <w:color w:val="auto"/>
        </w:rPr>
        <w:t>Verra Mobility</w:t>
      </w:r>
      <w:r>
        <w:rPr>
          <w:rFonts w:ascii="Arial" w:cs="Arial" w:eastAsia="Arial" w:hAnsi="Arial"/>
          <w:sz w:val="16"/>
          <w:szCs w:val="16"/>
          <w:color w:val="auto"/>
        </w:rPr>
        <w:t>”), The Gores Group LLC, Platinum Equity LLC, and ATS Processing Services, Inc., alleging civil violations of federal antitrust statutes: Section 7 of the Clayton Act,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Arial" w:cs="Arial" w:eastAsia="Arial" w:hAnsi="Arial"/>
          <w:sz w:val="16"/>
          <w:szCs w:val="16"/>
          <w:b w:val="1"/>
          <w:bCs w:val="1"/>
          <w:i w:val="1"/>
          <w:iCs w:val="1"/>
          <w:color w:val="auto"/>
        </w:rPr>
        <w:t>SAC</w:t>
      </w:r>
      <w:r>
        <w:rPr>
          <w:rFonts w:ascii="Arial" w:cs="Arial" w:eastAsia="Arial" w:hAnsi="Arial"/>
          <w:sz w:val="16"/>
          <w:szCs w:val="16"/>
          <w:color w:val="auto"/>
        </w:rPr>
        <w:t>”), alleging that Verra Mobility violated Section 7 of the Clayton Act through the merger of Highway Toll Administration, LLC (“</w:t>
      </w:r>
      <w:r>
        <w:rPr>
          <w:rFonts w:ascii="Arial" w:cs="Arial" w:eastAsia="Arial" w:hAnsi="Arial"/>
          <w:sz w:val="16"/>
          <w:szCs w:val="16"/>
          <w:b w:val="1"/>
          <w:bCs w:val="1"/>
          <w:i w:val="1"/>
          <w:iCs w:val="1"/>
          <w:color w:val="auto"/>
        </w:rPr>
        <w:t>HTA</w:t>
      </w:r>
      <w:r>
        <w:rPr>
          <w:rFonts w:ascii="Arial" w:cs="Arial" w:eastAsia="Arial" w:hAnsi="Arial"/>
          <w:sz w:val="16"/>
          <w:szCs w:val="16"/>
          <w:color w:val="auto"/>
        </w:rPr>
        <w:t>”) and American Traffic Solutions, Inc. (“</w:t>
      </w:r>
      <w:r>
        <w:rPr>
          <w:rFonts w:ascii="Arial" w:cs="Arial" w:eastAsia="Arial" w:hAnsi="Arial"/>
          <w:sz w:val="16"/>
          <w:szCs w:val="16"/>
          <w:b w:val="1"/>
          <w:bCs w:val="1"/>
          <w:i w:val="1"/>
          <w:iCs w:val="1"/>
          <w:color w:val="auto"/>
        </w:rPr>
        <w:t>ATS</w:t>
      </w:r>
      <w:r>
        <w:rPr>
          <w:rFonts w:ascii="Arial" w:cs="Arial" w:eastAsia="Arial" w:hAnsi="Arial"/>
          <w:sz w:val="16"/>
          <w:szCs w:val="16"/>
          <w:color w:val="auto"/>
        </w:rPr>
        <w:t>”) in 2018, and that Verra Mobility violated Sections 1 and 2 of the Sherman Act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Initial discovery is underway. Verra Mobility believes that all of PlusPass’s claims are without merit and will defend itself vigorously in this litigation.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Part I, Item 1A. “Risk Factors” in our Annual Report on Form 10-K/A for the year ended December 31, 2020, filed on May 17, 2021, includes a discussion of our risk factors. The information presented below supplements, and should be read in conjunction with, the risk factors and information disclosed in our Annual Report on Form 10-K/A. Except as presented below, there have been no material changes from the risk factors described in our Annual Report on Form 10-K/A filed on May 17, 2021. We may disclose changes to such risk factors or disclose additional risk factors from time to time in our future SEC filings.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largest customer, NYCDOT, has outstanding receivables with us totaling $80.8 million resulting from a period of non-payment during fiscal year 2020 and the first quarter of 2021. While NYCDOT resumed payments in the second and third quarters of 2021, we cannot predict when this matter will be resolved, how much it may cost or the timing of their payments to us.</w:t>
      </w:r>
    </w:p>
    <w:p>
      <w:pPr>
        <w:spacing w:after="0" w:line="183" w:lineRule="exact"/>
        <w:rPr>
          <w:sz w:val="20"/>
          <w:szCs w:val="20"/>
          <w:color w:val="auto"/>
        </w:rPr>
      </w:pPr>
    </w:p>
    <w:p>
      <w:pPr>
        <w:jc w:val="both"/>
        <w:ind w:firstLine="644"/>
        <w:spacing w:after="0" w:line="269" w:lineRule="auto"/>
        <w:rPr>
          <w:sz w:val="20"/>
          <w:szCs w:val="20"/>
          <w:color w:val="auto"/>
        </w:rPr>
      </w:pPr>
      <w:r>
        <w:rPr>
          <w:rFonts w:ascii="Arial" w:cs="Arial" w:eastAsia="Arial" w:hAnsi="Arial"/>
          <w:sz w:val="18"/>
          <w:szCs w:val="18"/>
          <w:color w:val="auto"/>
        </w:rPr>
        <w:t>We provide photo enforcement and school zone enforcement services to NYCDOT, which was our largest customer by revenue in 2020 (31.3% of total revenue for the year ended December 31, 2020), under two primary contracts: a legacy contract relating to red light, bus lane, mobile speed and fixed speed photo enforcement cameras that were installed prior to fiscal year 2020 (the “</w:t>
      </w:r>
      <w:r>
        <w:rPr>
          <w:rFonts w:ascii="Arial" w:cs="Arial" w:eastAsia="Arial" w:hAnsi="Arial"/>
          <w:sz w:val="18"/>
          <w:szCs w:val="18"/>
          <w:b w:val="1"/>
          <w:bCs w:val="1"/>
          <w:i w:val="1"/>
          <w:iCs w:val="1"/>
          <w:color w:val="auto"/>
        </w:rPr>
        <w:t>Legacy Contract</w:t>
      </w:r>
      <w:r>
        <w:rPr>
          <w:rFonts w:ascii="Arial" w:cs="Arial" w:eastAsia="Arial" w:hAnsi="Arial"/>
          <w:sz w:val="18"/>
          <w:szCs w:val="18"/>
          <w:color w:val="auto"/>
        </w:rPr>
        <w:t>”), and an emergency contract for the purchase, installation, maintenance and operation of an expanded fixed speed camera program beginning in 2020 (the “</w:t>
      </w:r>
      <w:r>
        <w:rPr>
          <w:rFonts w:ascii="Arial" w:cs="Arial" w:eastAsia="Arial" w:hAnsi="Arial"/>
          <w:sz w:val="18"/>
          <w:szCs w:val="18"/>
          <w:b w:val="1"/>
          <w:bCs w:val="1"/>
          <w:i w:val="1"/>
          <w:iCs w:val="1"/>
          <w:color w:val="auto"/>
        </w:rPr>
        <w:t>Emergency Contract</w:t>
      </w:r>
      <w:r>
        <w:rPr>
          <w:rFonts w:ascii="Arial" w:cs="Arial" w:eastAsia="Arial" w:hAnsi="Arial"/>
          <w:sz w:val="18"/>
          <w:szCs w:val="18"/>
          <w:color w:val="auto"/>
        </w:rPr>
        <w:t>”). In late 2019, we concluded that some of our system installations under the Legacy Contract did not meet New York City’s requirements related to the depth of buried electrical conduit and the color of grounding wire. We disclosed these issues to NYCDOT and in the fourth quarter of 2020 agreed to remediate the affected sites. As of October 2021, remediation efforts have been completed on all accessible sites, and will be completed on the remaining sites as soon as they become accessible.</w:t>
      </w:r>
    </w:p>
    <w:p>
      <w:pPr>
        <w:spacing w:after="0" w:line="196" w:lineRule="exact"/>
        <w:rPr>
          <w:sz w:val="20"/>
          <w:szCs w:val="20"/>
          <w:color w:val="auto"/>
        </w:rPr>
      </w:pPr>
    </w:p>
    <w:p>
      <w:pPr>
        <w:jc w:val="both"/>
        <w:ind w:firstLine="644"/>
        <w:spacing w:after="0" w:line="287" w:lineRule="auto"/>
        <w:rPr>
          <w:sz w:val="20"/>
          <w:szCs w:val="20"/>
          <w:color w:val="auto"/>
        </w:rPr>
      </w:pPr>
      <w:r>
        <w:rPr>
          <w:rFonts w:ascii="Arial" w:cs="Arial" w:eastAsia="Arial" w:hAnsi="Arial"/>
          <w:sz w:val="17"/>
          <w:szCs w:val="17"/>
          <w:color w:val="auto"/>
        </w:rPr>
        <w:t>In January 2021, we were separately informed that the City of New York’s Law Department (the “</w:t>
      </w:r>
      <w:r>
        <w:rPr>
          <w:rFonts w:ascii="Arial" w:cs="Arial" w:eastAsia="Arial" w:hAnsi="Arial"/>
          <w:sz w:val="17"/>
          <w:szCs w:val="17"/>
          <w:b w:val="1"/>
          <w:bCs w:val="1"/>
          <w:i w:val="1"/>
          <w:iCs w:val="1"/>
          <w:color w:val="auto"/>
        </w:rPr>
        <w:t>NYC Law Department</w:t>
      </w:r>
      <w:r>
        <w:rPr>
          <w:rFonts w:ascii="Arial" w:cs="Arial" w:eastAsia="Arial" w:hAnsi="Arial"/>
          <w:sz w:val="17"/>
          <w:szCs w:val="17"/>
          <w:color w:val="auto"/>
        </w:rPr>
        <w:t>”) was investigating matters related to our previously disclosed conduit depth issue as well as matters related to whether we unnecessarily installed new poles where existing infrastructure could have been used. We were informed in March 2021 by the NYC Law Department that it had concluded its investigation, and we reached an agreement in principle to resolve the matter for approximately $1.3 million, subject to final administrative approvals. The installation issues described above and investigated by the NYC Law Department did not have any impact on the camera operations or the overall effectiveness of the photo enforcement programs. We continue to perform work for NYCDOT under the Legacy Contract and the Emergency Contract, and in March 2021, we received an Authorization to Proceed (the “</w:t>
      </w:r>
      <w:r>
        <w:rPr>
          <w:rFonts w:ascii="Arial" w:cs="Arial" w:eastAsia="Arial" w:hAnsi="Arial"/>
          <w:sz w:val="17"/>
          <w:szCs w:val="17"/>
          <w:b w:val="1"/>
          <w:bCs w:val="1"/>
          <w:i w:val="1"/>
          <w:iCs w:val="1"/>
          <w:color w:val="auto"/>
        </w:rPr>
        <w:t>Authorization to Proceed</w:t>
      </w:r>
      <w:r>
        <w:rPr>
          <w:rFonts w:ascii="Arial" w:cs="Arial" w:eastAsia="Arial" w:hAnsi="Arial"/>
          <w:sz w:val="17"/>
          <w:szCs w:val="17"/>
          <w:color w:val="auto"/>
        </w:rPr>
        <w:t>”) with the installation of an additional 720 school zone speed cameras in 2021. We began installing the additional school zone speed cameras in April 2021 and, as of September 30, 2021, we had installed approximately 390 cameras under the Authorization to Proceed.</w:t>
      </w:r>
    </w:p>
    <w:p>
      <w:pPr>
        <w:spacing w:after="0" w:line="178" w:lineRule="exact"/>
        <w:rPr>
          <w:sz w:val="20"/>
          <w:szCs w:val="20"/>
          <w:color w:val="auto"/>
        </w:rPr>
      </w:pPr>
    </w:p>
    <w:p>
      <w:pPr>
        <w:jc w:val="both"/>
        <w:ind w:firstLine="636"/>
        <w:spacing w:after="0" w:line="275" w:lineRule="auto"/>
        <w:rPr>
          <w:sz w:val="20"/>
          <w:szCs w:val="20"/>
          <w:color w:val="auto"/>
        </w:rPr>
      </w:pPr>
      <w:r>
        <w:rPr>
          <w:rFonts w:ascii="Arial" w:cs="Arial" w:eastAsia="Arial" w:hAnsi="Arial"/>
          <w:sz w:val="18"/>
          <w:szCs w:val="18"/>
          <w:color w:val="auto"/>
        </w:rPr>
        <w:t>The Emergency Contract was registered with the NYC Comptroller’s office in May 2021. In June 2021, NYCDOT began making payments under the Emergency Contract and resumed making payments under the Legacy Contract. The total outstanding receivables balance decreased $46.2 million at September 30, 2021 compared to the outstanding balance at June 30, 2021 as the Company collected $87.5 million during the third quarter of 2021 related to both contracts. Because we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8"/>
          <w:szCs w:val="18"/>
          <w:color w:val="auto"/>
        </w:rPr>
        <w:t>continuing to install new cameras pursuant to the Authorization to Proceed and performing services related to all installed cameras, we continue to maintain an open receivable balance with NYCDOT.</w:t>
      </w:r>
    </w:p>
    <w:p>
      <w:pPr>
        <w:spacing w:after="0" w:line="170" w:lineRule="exact"/>
        <w:rPr>
          <w:sz w:val="20"/>
          <w:szCs w:val="20"/>
          <w:color w:val="auto"/>
        </w:rPr>
      </w:pPr>
    </w:p>
    <w:p>
      <w:pPr>
        <w:jc w:val="both"/>
        <w:ind w:firstLine="636"/>
        <w:spacing w:after="0" w:line="319" w:lineRule="auto"/>
        <w:rPr>
          <w:sz w:val="20"/>
          <w:szCs w:val="20"/>
          <w:color w:val="auto"/>
        </w:rPr>
      </w:pPr>
      <w:r>
        <w:rPr>
          <w:rFonts w:ascii="Arial" w:cs="Arial" w:eastAsia="Arial" w:hAnsi="Arial"/>
          <w:sz w:val="16"/>
          <w:szCs w:val="16"/>
          <w:color w:val="auto"/>
        </w:rPr>
        <w:t>At September 30, 2021, the Legacy Contract had an open receivable balance of $16.1 million, of which $7.6 million had aged beyond NYCDOT’s 45-day payment terms. As of September 30, 2021, the Company has invoiced NYCDOT for $80.9 million in product revenue and $48.8 million in service revenue under the Emergency Contract, and the Emergency Contract had an open receivable balance of $64.8 million, of which $41.6 million had aged beyond NYCDOT’s 45-day payment terms. We continue to work with NYCDOT to expedite payments for the aged accounts receivables.</w:t>
      </w:r>
    </w:p>
    <w:p>
      <w:pPr>
        <w:spacing w:after="0" w:line="156"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8"/>
          <w:szCs w:val="18"/>
          <w:color w:val="auto"/>
        </w:rPr>
        <w:t>We cannot predict when these matters will be finally resolved, how much it may cost or the timing of the payments to us on the outstanding receivables. The failure to resolve these matters with the City of New York in a timely and effective manner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260" w:type="dxa"/>
            <w:vAlign w:val="bottom"/>
          </w:tcPr>
          <w:p>
            <w:pPr>
              <w:spacing w:after="0"/>
              <w:rPr>
                <w:sz w:val="15"/>
                <w:szCs w:val="15"/>
                <w:color w:val="auto"/>
              </w:rPr>
            </w:pPr>
          </w:p>
        </w:tc>
        <w:tc>
          <w:tcPr>
            <w:tcW w:w="15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5"/>
              </w:rPr>
              <w:t>Average Price Paid per</w:t>
            </w:r>
          </w:p>
        </w:tc>
        <w:tc>
          <w:tcPr>
            <w:tcW w:w="24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Maximum Dollar Value of Shares that May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160" w:type="dxa"/>
            <w:vAlign w:val="bottom"/>
            <w:vMerge w:val="restart"/>
          </w:tcPr>
          <w:p>
            <w:pPr>
              <w:ind w:left="880"/>
              <w:spacing w:after="0" w:line="157" w:lineRule="exact"/>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12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1"/>
              </w:rPr>
              <w:t>Purchased as Part of Publicly</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0" w:type="dxa"/>
            <w:vAlign w:val="bottom"/>
            <w:vMerge w:val="restart"/>
          </w:tcPr>
          <w:p>
            <w:pPr>
              <w:jc w:val="center"/>
              <w:ind w:right="68"/>
              <w:spacing w:after="0" w:line="157" w:lineRule="exact"/>
              <w:rPr>
                <w:sz w:val="20"/>
                <w:szCs w:val="20"/>
                <w:color w:val="auto"/>
              </w:rPr>
            </w:pPr>
            <w:r>
              <w:rPr>
                <w:rFonts w:ascii="Arial" w:cs="Arial" w:eastAsia="Arial" w:hAnsi="Arial"/>
                <w:sz w:val="14"/>
                <w:szCs w:val="14"/>
                <w:b w:val="1"/>
                <w:bCs w:val="1"/>
                <w:color w:val="auto"/>
                <w:w w:val="91"/>
              </w:rPr>
              <w:t>Yet be Purchased Under the Plans or</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1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4"/>
                <w:szCs w:val="14"/>
                <w:b w:val="1"/>
                <w:bCs w:val="1"/>
                <w:color w:val="auto"/>
                <w:w w:val="90"/>
              </w:rPr>
              <w:t xml:space="preserve">Announced Plans or Programs </w:t>
            </w:r>
            <w:r>
              <w:rPr>
                <w:rFonts w:ascii="Arial" w:cs="Arial" w:eastAsia="Arial" w:hAnsi="Arial"/>
                <w:sz w:val="19"/>
                <w:szCs w:val="19"/>
                <w:b w:val="1"/>
                <w:bCs w:val="1"/>
                <w:color w:val="auto"/>
                <w:w w:val="90"/>
                <w:vertAlign w:val="superscript"/>
              </w:rPr>
              <w:t>(1)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center"/>
              <w:ind w:right="8"/>
              <w:spacing w:after="0" w:line="217"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9"/>
                <w:szCs w:val="19"/>
                <w:b w:val="1"/>
                <w:bCs w:val="1"/>
                <w:color w:val="auto"/>
                <w:w w:val="89"/>
                <w:vertAlign w:val="superscript"/>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August 1-31, 2021</w:t>
            </w:r>
          </w:p>
        </w:tc>
        <w:tc>
          <w:tcPr>
            <w:tcW w:w="1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6,849,315</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14.60</w:t>
            </w:r>
          </w:p>
        </w:tc>
        <w:tc>
          <w:tcPr>
            <w:tcW w:w="24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6,849,315</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2800" w:type="dxa"/>
            <w:vAlign w:val="bottom"/>
            <w:tcBorders>
              <w:bottom w:val="single" w:sz="8" w:color="auto"/>
            </w:tcBorders>
            <w:shd w:val="clear" w:color="auto" w:fill="CFF0FC"/>
          </w:tcPr>
          <w:p>
            <w:pPr>
              <w:ind w:left="264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6,849,315</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14.60</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6,849,315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0" w:type="dxa"/>
            <w:vAlign w:val="bottom"/>
          </w:tcPr>
          <w:p>
            <w:pPr>
              <w:ind w:left="26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-159385</wp:posOffset>
            </wp:positionV>
            <wp:extent cx="16256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-159385</wp:posOffset>
            </wp:positionV>
            <wp:extent cx="14605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14605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98" w:lineRule="exact"/>
        <w:rPr>
          <w:sz w:val="20"/>
          <w:szCs w:val="20"/>
          <w:color w:val="auto"/>
        </w:rPr>
      </w:pPr>
    </w:p>
    <w:p>
      <w:pPr>
        <w:jc w:val="both"/>
        <w:ind w:left="760" w:hanging="3"/>
        <w:spacing w:after="0" w:line="292" w:lineRule="auto"/>
        <w:tabs>
          <w:tab w:leader="none" w:pos="10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August 9, 2021, we announced that our Board of Directors authorized a share repurchase program for up to an aggregate amount of $100 million of Class A Common Stock. On August 20, 2021, we repurchased and retired 6,849,315 shares of Class A Common Stock from the Platinum Stockholder at a price per share of $14.60, which was equal to the price at which the underwriter exercised the overallotment option for the secondary offering discussed above. We paid $100 million to fund the share repurchase using existing cash on hand. As of September 30, 2021, zero dollars remained available for repurchase under our share repurchase program.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60" w:type="dxa"/>
            <w:vAlign w:val="bottom"/>
            <w:gridSpan w:val="3"/>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File No.</w:t>
            </w: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2"/>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2.1</w:t>
            </w:r>
          </w:p>
        </w:tc>
        <w:tc>
          <w:tcPr>
            <w:tcW w:w="5100" w:type="dxa"/>
            <w:vAlign w:val="bottom"/>
            <w:gridSpan w:val="15"/>
          </w:tcPr>
          <w:p>
            <w:pPr>
              <w:spacing w:after="0" w:line="202" w:lineRule="exact"/>
              <w:rPr>
                <w:rFonts w:ascii="Arial" w:cs="Arial" w:eastAsia="Arial" w:hAnsi="Arial"/>
                <w:sz w:val="18"/>
                <w:szCs w:val="18"/>
                <w:color w:val="0000FF"/>
                <w:w w:val="92"/>
              </w:rPr>
            </w:pPr>
            <w:hyperlink r:id="rId403">
              <w:r>
                <w:rPr>
                  <w:rFonts w:ascii="Arial" w:cs="Arial" w:eastAsia="Arial" w:hAnsi="Arial"/>
                  <w:sz w:val="18"/>
                  <w:szCs w:val="18"/>
                  <w:color w:val="0000FF"/>
                  <w:w w:val="92"/>
                </w:rPr>
                <w:t>Merger Agreement, dated as of June 21, 2018, by and among Gores</w:t>
              </w:r>
            </w:hyperlink>
          </w:p>
        </w:tc>
        <w:tc>
          <w:tcPr>
            <w:tcW w:w="8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line="202" w:lineRule="exact"/>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7"/>
              </w:rPr>
              <w:t>2.1</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87"/>
              </w:rPr>
              <w:t>June 21, 2018</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80" w:type="dxa"/>
            <w:vAlign w:val="bottom"/>
            <w:vMerge w:val="continue"/>
          </w:tcPr>
          <w:p>
            <w:pPr>
              <w:spacing w:after="0"/>
              <w:rPr>
                <w:sz w:val="8"/>
                <w:szCs w:val="8"/>
                <w:color w:val="auto"/>
              </w:rPr>
            </w:pPr>
          </w:p>
        </w:tc>
        <w:tc>
          <w:tcPr>
            <w:tcW w:w="5100" w:type="dxa"/>
            <w:vAlign w:val="bottom"/>
            <w:gridSpan w:val="15"/>
            <w:vMerge w:val="restart"/>
          </w:tcPr>
          <w:p>
            <w:pPr>
              <w:spacing w:after="0"/>
              <w:rPr>
                <w:rFonts w:ascii="Arial" w:cs="Arial" w:eastAsia="Arial" w:hAnsi="Arial"/>
                <w:sz w:val="18"/>
                <w:szCs w:val="18"/>
                <w:color w:val="0000FF"/>
                <w:w w:val="99"/>
              </w:rPr>
            </w:pPr>
            <w:hyperlink r:id="rId403">
              <w:r>
                <w:rPr>
                  <w:rFonts w:ascii="Arial" w:cs="Arial" w:eastAsia="Arial" w:hAnsi="Arial"/>
                  <w:sz w:val="18"/>
                  <w:szCs w:val="18"/>
                  <w:color w:val="0000FF"/>
                  <w:w w:val="99"/>
                </w:rPr>
                <w:t>Holdings II, Inc., AM Merger Sub I, Inc., AM Merger Sub II, LLC,</w:t>
              </w:r>
            </w:hyperlink>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5100" w:type="dxa"/>
            <w:vAlign w:val="bottom"/>
            <w:gridSpan w:val="15"/>
            <w:vMerge w:val="continue"/>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3">
              <w:r>
                <w:rPr>
                  <w:rFonts w:ascii="Arial" w:cs="Arial" w:eastAsia="Arial" w:hAnsi="Arial"/>
                  <w:sz w:val="18"/>
                  <w:szCs w:val="18"/>
                  <w:color w:val="0000FF"/>
                </w:rPr>
                <w:t>Greenlight Holding II Corporation and PE Greenlight Holdings,</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3">
              <w:r>
                <w:rPr>
                  <w:rFonts w:ascii="Arial" w:cs="Arial" w:eastAsia="Arial" w:hAnsi="Arial"/>
                  <w:sz w:val="18"/>
                  <w:szCs w:val="18"/>
                  <w:color w:val="0000FF"/>
                </w:rPr>
                <w:t>LLC, in its capacity as the Stockholder Representative.</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2.2</w:t>
            </w:r>
          </w:p>
        </w:tc>
        <w:tc>
          <w:tcPr>
            <w:tcW w:w="5100" w:type="dxa"/>
            <w:vAlign w:val="bottom"/>
            <w:gridSpan w:val="15"/>
          </w:tcPr>
          <w:p>
            <w:pPr>
              <w:spacing w:after="0"/>
              <w:rPr>
                <w:rFonts w:ascii="Arial" w:cs="Arial" w:eastAsia="Arial" w:hAnsi="Arial"/>
                <w:sz w:val="18"/>
                <w:szCs w:val="18"/>
                <w:color w:val="0000FF"/>
                <w:w w:val="98"/>
              </w:rPr>
            </w:pPr>
            <w:hyperlink r:id="rId404">
              <w:r>
                <w:rPr>
                  <w:rFonts w:ascii="Arial" w:cs="Arial" w:eastAsia="Arial" w:hAnsi="Arial"/>
                  <w:sz w:val="18"/>
                  <w:szCs w:val="18"/>
                  <w:color w:val="0000FF"/>
                  <w:w w:val="98"/>
                </w:rPr>
                <w:t>Amendment No. 1 to Agreement and Plan of Merger, dated as of</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4">
              <w:r>
                <w:rPr>
                  <w:rFonts w:ascii="Arial" w:cs="Arial" w:eastAsia="Arial" w:hAnsi="Arial"/>
                  <w:sz w:val="18"/>
                  <w:szCs w:val="18"/>
                  <w:color w:val="0000FF"/>
                </w:rPr>
                <w:t>August 23, 2018, by and among Gores Holdings II, Inc., AM</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9"/>
              </w:rPr>
            </w:pPr>
            <w:hyperlink r:id="rId404">
              <w:r>
                <w:rPr>
                  <w:rFonts w:ascii="Arial" w:cs="Arial" w:eastAsia="Arial" w:hAnsi="Arial"/>
                  <w:sz w:val="18"/>
                  <w:szCs w:val="18"/>
                  <w:color w:val="0000FF"/>
                  <w:w w:val="99"/>
                </w:rPr>
                <w:t>Merger Sub I, Inc., AM Merger Sub II, LLC, Greenlight Holding II</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4"/>
              </w:rPr>
            </w:pPr>
            <w:hyperlink r:id="rId404">
              <w:r>
                <w:rPr>
                  <w:rFonts w:ascii="Arial" w:cs="Arial" w:eastAsia="Arial" w:hAnsi="Arial"/>
                  <w:sz w:val="18"/>
                  <w:szCs w:val="18"/>
                  <w:color w:val="0000FF"/>
                  <w:w w:val="94"/>
                </w:rPr>
                <w:t>Corporation and PE Greenlight Holdings, LLC, in its capacity as the</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4">
              <w:r>
                <w:rPr>
                  <w:rFonts w:ascii="Arial" w:cs="Arial" w:eastAsia="Arial" w:hAnsi="Arial"/>
                  <w:sz w:val="18"/>
                  <w:szCs w:val="18"/>
                  <w:color w:val="0000FF"/>
                </w:rPr>
                <w:t>Stockholder Representative.</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2.3</w:t>
            </w:r>
          </w:p>
        </w:tc>
        <w:tc>
          <w:tcPr>
            <w:tcW w:w="5100" w:type="dxa"/>
            <w:vAlign w:val="bottom"/>
            <w:gridSpan w:val="15"/>
          </w:tcPr>
          <w:p>
            <w:pPr>
              <w:spacing w:after="0"/>
              <w:rPr>
                <w:rFonts w:ascii="Arial" w:cs="Arial" w:eastAsia="Arial" w:hAnsi="Arial"/>
                <w:sz w:val="18"/>
                <w:szCs w:val="18"/>
                <w:color w:val="0000FF"/>
                <w:w w:val="94"/>
              </w:rPr>
            </w:pPr>
            <w:hyperlink r:id="rId405">
              <w:r>
                <w:rPr>
                  <w:rFonts w:ascii="Arial" w:cs="Arial" w:eastAsia="Arial" w:hAnsi="Arial"/>
                  <w:sz w:val="18"/>
                  <w:szCs w:val="18"/>
                  <w:color w:val="0000FF"/>
                  <w:w w:val="94"/>
                </w:rPr>
                <w:t>Scheme Implementation Agreement, dated as of January 21, 2021,</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January 21, 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8"/>
              </w:rPr>
            </w:pPr>
            <w:hyperlink r:id="rId405">
              <w:r>
                <w:rPr>
                  <w:rFonts w:ascii="Arial" w:cs="Arial" w:eastAsia="Arial" w:hAnsi="Arial"/>
                  <w:sz w:val="18"/>
                  <w:szCs w:val="18"/>
                  <w:color w:val="0000FF"/>
                  <w:w w:val="98"/>
                </w:rPr>
                <w:t>by and between Verra Mobility Corporation and Redflex Holdings</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5">
              <w:r>
                <w:rPr>
                  <w:rFonts w:ascii="Arial" w:cs="Arial" w:eastAsia="Arial" w:hAnsi="Arial"/>
                  <w:sz w:val="18"/>
                  <w:szCs w:val="18"/>
                  <w:color w:val="0000FF"/>
                </w:rPr>
                <w:t>Limited.</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2.4</w:t>
            </w:r>
          </w:p>
        </w:tc>
        <w:tc>
          <w:tcPr>
            <w:tcW w:w="5100" w:type="dxa"/>
            <w:vAlign w:val="bottom"/>
            <w:gridSpan w:val="15"/>
          </w:tcPr>
          <w:p>
            <w:pPr>
              <w:spacing w:after="0"/>
              <w:rPr>
                <w:rFonts w:ascii="Arial" w:cs="Arial" w:eastAsia="Arial" w:hAnsi="Arial"/>
                <w:sz w:val="18"/>
                <w:szCs w:val="18"/>
                <w:color w:val="0000FF"/>
                <w:w w:val="98"/>
              </w:rPr>
            </w:pPr>
            <w:hyperlink r:id="rId406">
              <w:r>
                <w:rPr>
                  <w:rFonts w:ascii="Arial" w:cs="Arial" w:eastAsia="Arial" w:hAnsi="Arial"/>
                  <w:sz w:val="18"/>
                  <w:szCs w:val="18"/>
                  <w:color w:val="0000FF"/>
                  <w:w w:val="98"/>
                </w:rPr>
                <w:t>Deed of Amendment and Consent, dated as of April 30, 2021, by</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30, 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6">
              <w:r>
                <w:rPr>
                  <w:rFonts w:ascii="Arial" w:cs="Arial" w:eastAsia="Arial" w:hAnsi="Arial"/>
                  <w:sz w:val="18"/>
                  <w:szCs w:val="18"/>
                  <w:color w:val="0000FF"/>
                </w:rPr>
                <w:t>and between Verra Mobility Corporation and Redflex Holdings</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6">
              <w:r>
                <w:rPr>
                  <w:rFonts w:ascii="Arial" w:cs="Arial" w:eastAsia="Arial" w:hAnsi="Arial"/>
                  <w:sz w:val="18"/>
                  <w:szCs w:val="18"/>
                  <w:color w:val="0000FF"/>
                </w:rPr>
                <w:t>Limited.</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3.1</w:t>
            </w:r>
          </w:p>
        </w:tc>
        <w:tc>
          <w:tcPr>
            <w:tcW w:w="5100" w:type="dxa"/>
            <w:vAlign w:val="bottom"/>
            <w:gridSpan w:val="15"/>
          </w:tcPr>
          <w:p>
            <w:pPr>
              <w:spacing w:after="0"/>
              <w:rPr>
                <w:rFonts w:ascii="Arial" w:cs="Arial" w:eastAsia="Arial" w:hAnsi="Arial"/>
                <w:sz w:val="18"/>
                <w:szCs w:val="18"/>
                <w:color w:val="0000FF"/>
                <w:w w:val="94"/>
              </w:rPr>
            </w:pPr>
            <w:hyperlink r:id="rId407">
              <w:r>
                <w:rPr>
                  <w:rFonts w:ascii="Arial" w:cs="Arial" w:eastAsia="Arial" w:hAnsi="Arial"/>
                  <w:sz w:val="18"/>
                  <w:szCs w:val="18"/>
                  <w:color w:val="0000FF"/>
                  <w:w w:val="94"/>
                </w:rPr>
                <w:t>Second Amended and Restated Certificate of Incorporation of Verra</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07">
              <w:r>
                <w:rPr>
                  <w:rFonts w:ascii="Arial" w:cs="Arial" w:eastAsia="Arial" w:hAnsi="Arial"/>
                  <w:sz w:val="18"/>
                  <w:szCs w:val="18"/>
                  <w:color w:val="0000FF"/>
                </w:rPr>
                <w:t>Mobility Corporation.</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5100" w:type="dxa"/>
            <w:vAlign w:val="bottom"/>
            <w:gridSpan w:val="15"/>
          </w:tcPr>
          <w:p>
            <w:pPr>
              <w:spacing w:after="0"/>
              <w:rPr>
                <w:rFonts w:ascii="Arial" w:cs="Arial" w:eastAsia="Arial" w:hAnsi="Arial"/>
                <w:sz w:val="18"/>
                <w:szCs w:val="18"/>
                <w:color w:val="0000FF"/>
              </w:rPr>
            </w:pPr>
            <w:hyperlink r:id="rId408">
              <w:r>
                <w:rPr>
                  <w:rFonts w:ascii="Arial" w:cs="Arial" w:eastAsia="Arial" w:hAnsi="Arial"/>
                  <w:sz w:val="18"/>
                  <w:szCs w:val="18"/>
                  <w:color w:val="0000FF"/>
                </w:rPr>
                <w:t>Amended and Restated Bylaws of Verra Mobility Corporation.</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5100" w:type="dxa"/>
            <w:vAlign w:val="bottom"/>
            <w:gridSpan w:val="15"/>
          </w:tcPr>
          <w:p>
            <w:pPr>
              <w:spacing w:after="0"/>
              <w:rPr>
                <w:rFonts w:ascii="Arial" w:cs="Arial" w:eastAsia="Arial" w:hAnsi="Arial"/>
                <w:sz w:val="18"/>
                <w:szCs w:val="18"/>
                <w:color w:val="0000FF"/>
              </w:rPr>
            </w:pPr>
            <w:hyperlink r:id="rId409">
              <w:r>
                <w:rPr>
                  <w:rFonts w:ascii="Arial" w:cs="Arial" w:eastAsia="Arial" w:hAnsi="Arial"/>
                  <w:sz w:val="18"/>
                  <w:szCs w:val="18"/>
                  <w:color w:val="0000FF"/>
                </w:rPr>
                <w:t>Specimen Class A Common Stock Certificate.</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5100" w:type="dxa"/>
            <w:vAlign w:val="bottom"/>
            <w:gridSpan w:val="15"/>
          </w:tcPr>
          <w:p>
            <w:pPr>
              <w:spacing w:after="0"/>
              <w:rPr>
                <w:rFonts w:ascii="Arial" w:cs="Arial" w:eastAsia="Arial" w:hAnsi="Arial"/>
                <w:sz w:val="18"/>
                <w:szCs w:val="18"/>
                <w:color w:val="0000FF"/>
              </w:rPr>
            </w:pPr>
            <w:hyperlink r:id="rId410">
              <w:r>
                <w:rPr>
                  <w:rFonts w:ascii="Arial" w:cs="Arial" w:eastAsia="Arial" w:hAnsi="Arial"/>
                  <w:sz w:val="18"/>
                  <w:szCs w:val="18"/>
                  <w:color w:val="0000FF"/>
                </w:rPr>
                <w:t>Specimen Warrant Certificate.</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4.3</w:t>
            </w:r>
          </w:p>
        </w:tc>
        <w:tc>
          <w:tcPr>
            <w:tcW w:w="5100" w:type="dxa"/>
            <w:vAlign w:val="bottom"/>
            <w:gridSpan w:val="15"/>
          </w:tcPr>
          <w:p>
            <w:pPr>
              <w:spacing w:after="0"/>
              <w:rPr>
                <w:rFonts w:ascii="Arial" w:cs="Arial" w:eastAsia="Arial" w:hAnsi="Arial"/>
                <w:sz w:val="18"/>
                <w:szCs w:val="18"/>
                <w:color w:val="0000FF"/>
                <w:w w:val="92"/>
              </w:rPr>
            </w:pPr>
            <w:hyperlink r:id="rId411">
              <w:r>
                <w:rPr>
                  <w:rFonts w:ascii="Arial" w:cs="Arial" w:eastAsia="Arial" w:hAnsi="Arial"/>
                  <w:sz w:val="18"/>
                  <w:szCs w:val="18"/>
                  <w:color w:val="0000FF"/>
                  <w:w w:val="92"/>
                </w:rPr>
                <w:t>Warrant Agreement, dated January 12, 2017, between the Registrant</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January 19, 2017</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3"/>
              </w:rPr>
            </w:pPr>
            <w:hyperlink r:id="rId411">
              <w:r>
                <w:rPr>
                  <w:rFonts w:ascii="Arial" w:cs="Arial" w:eastAsia="Arial" w:hAnsi="Arial"/>
                  <w:sz w:val="18"/>
                  <w:szCs w:val="18"/>
                  <w:color w:val="0000FF"/>
                  <w:w w:val="93"/>
                </w:rPr>
                <w:t>and Continental Stock Transfer &amp; Trust Company, as warrant agent.</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4.4</w:t>
            </w:r>
          </w:p>
        </w:tc>
        <w:tc>
          <w:tcPr>
            <w:tcW w:w="5100" w:type="dxa"/>
            <w:vAlign w:val="bottom"/>
            <w:gridSpan w:val="15"/>
          </w:tcPr>
          <w:p>
            <w:pPr>
              <w:spacing w:after="0"/>
              <w:rPr>
                <w:rFonts w:ascii="Arial" w:cs="Arial" w:eastAsia="Arial" w:hAnsi="Arial"/>
                <w:sz w:val="18"/>
                <w:szCs w:val="18"/>
                <w:color w:val="0000FF"/>
                <w:w w:val="97"/>
              </w:rPr>
            </w:pPr>
            <w:hyperlink r:id="rId412">
              <w:r>
                <w:rPr>
                  <w:rFonts w:ascii="Arial" w:cs="Arial" w:eastAsia="Arial" w:hAnsi="Arial"/>
                  <w:sz w:val="18"/>
                  <w:szCs w:val="18"/>
                  <w:color w:val="0000FF"/>
                  <w:w w:val="97"/>
                </w:rPr>
                <w:t>First Amendment to Warrant Agreement, dated January 15, 2020,</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8"/>
              </w:rPr>
            </w:pPr>
            <w:hyperlink r:id="rId412">
              <w:r>
                <w:rPr>
                  <w:rFonts w:ascii="Arial" w:cs="Arial" w:eastAsia="Arial" w:hAnsi="Arial"/>
                  <w:sz w:val="18"/>
                  <w:szCs w:val="18"/>
                  <w:color w:val="0000FF"/>
                  <w:w w:val="98"/>
                </w:rPr>
                <w:t>by and among the Registrant, Continental Stock Transfer &amp; Trust</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12">
              <w:r>
                <w:rPr>
                  <w:rFonts w:ascii="Arial" w:cs="Arial" w:eastAsia="Arial" w:hAnsi="Arial"/>
                  <w:sz w:val="18"/>
                  <w:szCs w:val="18"/>
                  <w:color w:val="0000FF"/>
                </w:rPr>
                <w:t>Company and American Stock Transfer &amp; Trust Company.</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EE"/>
            </w:tcBorders>
            <w:gridSpan w:val="6"/>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5100" w:type="dxa"/>
            <w:vAlign w:val="bottom"/>
            <w:gridSpan w:val="15"/>
          </w:tcPr>
          <w:p>
            <w:pPr>
              <w:spacing w:after="0"/>
              <w:rPr>
                <w:rFonts w:ascii="Arial" w:cs="Arial" w:eastAsia="Arial" w:hAnsi="Arial"/>
                <w:sz w:val="18"/>
                <w:szCs w:val="18"/>
                <w:color w:val="0000FF"/>
                <w:w w:val="93"/>
              </w:rPr>
            </w:pPr>
            <w:hyperlink r:id="rId413">
              <w:r>
                <w:rPr>
                  <w:rFonts w:ascii="Arial" w:cs="Arial" w:eastAsia="Arial" w:hAnsi="Arial"/>
                  <w:sz w:val="18"/>
                  <w:szCs w:val="18"/>
                  <w:color w:val="0000FF"/>
                  <w:w w:val="93"/>
                </w:rPr>
                <w:t>Share Repurchase Agreement, dated as of August 18, 2021, by and</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August 20, 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8"/>
              </w:rPr>
            </w:pPr>
            <w:hyperlink r:id="rId413">
              <w:r>
                <w:rPr>
                  <w:rFonts w:ascii="Arial" w:cs="Arial" w:eastAsia="Arial" w:hAnsi="Arial"/>
                  <w:sz w:val="18"/>
                  <w:szCs w:val="18"/>
                  <w:color w:val="0000FF"/>
                  <w:w w:val="98"/>
                </w:rPr>
                <w:t>between Verra Mobility Corporation and PE Greenlight Holdings,</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r:id="rId413">
              <w:r>
                <w:rPr>
                  <w:rFonts w:ascii="Arial" w:cs="Arial" w:eastAsia="Arial" w:hAnsi="Arial"/>
                  <w:sz w:val="18"/>
                  <w:szCs w:val="18"/>
                  <w:color w:val="0000FF"/>
                </w:rPr>
                <w:t>LLC.</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5100" w:type="dxa"/>
            <w:vAlign w:val="bottom"/>
            <w:gridSpan w:val="1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Principal Executive Officer Pursuant to Rules</w:t>
              </w:r>
            </w:hyperlink>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line="207" w:lineRule="exact"/>
              <w:rPr>
                <w:rFonts w:ascii="Arial" w:cs="Arial" w:eastAsia="Arial" w:hAnsi="Arial"/>
                <w:sz w:val="18"/>
                <w:szCs w:val="18"/>
                <w:color w:val="0000FF"/>
              </w:rPr>
            </w:pPr>
            <w:hyperlink w:anchor="page52">
              <w:r>
                <w:rPr>
                  <w:rFonts w:ascii="Arial" w:cs="Arial" w:eastAsia="Arial" w:hAnsi="Arial"/>
                  <w:sz w:val="18"/>
                  <w:szCs w:val="18"/>
                  <w:color w:val="0000FF"/>
                </w:rPr>
                <w:t>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7"/>
              </w:rPr>
            </w:pPr>
            <w:hyperlink w:anchor="page52">
              <w:r>
                <w:rPr>
                  <w:rFonts w:ascii="Arial" w:cs="Arial" w:eastAsia="Arial" w:hAnsi="Arial"/>
                  <w:sz w:val="18"/>
                  <w:szCs w:val="18"/>
                  <w:color w:val="0000FF"/>
                  <w:w w:val="97"/>
                </w:rPr>
                <w:t>1934, as Adopted Pursuant to Section 302 of the Sarbanes-Oxley</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Act of 2002.</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5100" w:type="dxa"/>
            <w:vAlign w:val="bottom"/>
            <w:gridSpan w:val="1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of  Principal  Financial  Officer  Pursuant  to  Rules</w:t>
              </w:r>
            </w:hyperlink>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line="207" w:lineRule="exact"/>
              <w:rPr>
                <w:rFonts w:ascii="Arial" w:cs="Arial" w:eastAsia="Arial" w:hAnsi="Arial"/>
                <w:sz w:val="18"/>
                <w:szCs w:val="18"/>
                <w:color w:val="0000FF"/>
              </w:rPr>
            </w:pPr>
            <w:hyperlink w:anchor="page53">
              <w:r>
                <w:rPr>
                  <w:rFonts w:ascii="Arial" w:cs="Arial" w:eastAsia="Arial" w:hAnsi="Arial"/>
                  <w:sz w:val="18"/>
                  <w:szCs w:val="18"/>
                  <w:color w:val="0000FF"/>
                </w:rPr>
                <w:t>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1934, as Adopted Pursuant to Section 302 of the Sarbanes-Oxley</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Act of 2002.</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5100" w:type="dxa"/>
            <w:vAlign w:val="bottom"/>
            <w:gridSpan w:val="15"/>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Principal Executive Officer Pursuant to 18 U.S.C.</w:t>
              </w:r>
            </w:hyperlink>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Section 1350, as Adopted Pursuant to Section 906 of the Sarbanes-</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100" w:type="dxa"/>
            <w:vAlign w:val="bottom"/>
            <w:gridSpan w:val="1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Oxley Act of 2002.</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3"/>
        </w:trPr>
        <w:tc>
          <w:tcPr>
            <w:tcW w:w="980" w:type="dxa"/>
            <w:vAlign w:val="bottom"/>
          </w:tcPr>
          <w:p>
            <w:pPr>
              <w:spacing w:after="0"/>
              <w:rPr>
                <w:sz w:val="24"/>
                <w:szCs w:val="24"/>
                <w:color w:val="auto"/>
              </w:rPr>
            </w:pPr>
          </w:p>
        </w:tc>
        <w:tc>
          <w:tcPr>
            <w:tcW w:w="1380" w:type="dxa"/>
            <w:vAlign w:val="bottom"/>
            <w:tcBorders>
              <w:top w:val="single" w:sz="8" w:color="0000FF"/>
            </w:tcBorders>
            <w:gridSpan w:val="4"/>
          </w:tcPr>
          <w:p>
            <w:pPr>
              <w:spacing w:after="0"/>
              <w:rPr>
                <w:sz w:val="24"/>
                <w:szCs w:val="24"/>
                <w:color w:val="auto"/>
              </w:rPr>
            </w:pPr>
          </w:p>
        </w:tc>
        <w:tc>
          <w:tcPr>
            <w:tcW w:w="3520" w:type="dxa"/>
            <w:vAlign w:val="bottom"/>
            <w:gridSpan w:val="8"/>
          </w:tcPr>
          <w:p>
            <w:pPr>
              <w:jc w:val="right"/>
              <w:ind w:right="1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738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of Principal Financial Officer Pursuant to 18 U.S.C.</w:t>
              </w:r>
            </w:hyperlink>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738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Section 1350, as Adopted Pursuant to Section 906 of the Sarbanes-</w:t>
              </w:r>
            </w:hyperlink>
          </w:p>
        </w:tc>
        <w:tc>
          <w:tcPr>
            <w:tcW w:w="2580" w:type="dxa"/>
            <w:vAlign w:val="bottom"/>
          </w:tcPr>
          <w:p>
            <w:pPr>
              <w:spacing w:after="0"/>
              <w:rPr>
                <w:sz w:val="18"/>
                <w:szCs w:val="18"/>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738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Oxley Act of 2002.</w:t>
              </w:r>
            </w:hyperlink>
          </w:p>
        </w:tc>
        <w:tc>
          <w:tcPr>
            <w:tcW w:w="2580" w:type="dxa"/>
            <w:vAlign w:val="bottom"/>
          </w:tcPr>
          <w:p>
            <w:pPr>
              <w:spacing w:after="0"/>
              <w:rPr>
                <w:sz w:val="18"/>
                <w:szCs w:val="18"/>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Instance Document (the instance does not appear in</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29"/>
        </w:trPr>
        <w:tc>
          <w:tcPr>
            <w:tcW w:w="96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the Interactive Data File because its XBRL tags are embedded</w:t>
            </w:r>
          </w:p>
        </w:tc>
        <w:tc>
          <w:tcPr>
            <w:tcW w:w="258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c>
          <w:tcPr>
            <w:tcW w:w="2580" w:type="dxa"/>
            <w:vAlign w:val="bottom"/>
          </w:tcPr>
          <w:p>
            <w:pPr>
              <w:spacing w:after="0"/>
              <w:rPr>
                <w:sz w:val="20"/>
                <w:szCs w:val="20"/>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96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580" w:type="dxa"/>
            <w:vAlign w:val="bottom"/>
          </w:tcPr>
          <w:p>
            <w:pPr>
              <w:spacing w:after="0"/>
              <w:rPr>
                <w:sz w:val="20"/>
                <w:szCs w:val="20"/>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73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96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580" w:type="dxa"/>
            <w:vAlign w:val="bottom"/>
          </w:tcPr>
          <w:p>
            <w:pPr>
              <w:spacing w:after="0"/>
              <w:rPr>
                <w:sz w:val="20"/>
                <w:szCs w:val="20"/>
                <w:color w:val="auto"/>
              </w:rPr>
            </w:pP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73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2580" w:type="dxa"/>
            <w:vAlign w:val="bottom"/>
          </w:tcPr>
          <w:p>
            <w:pPr>
              <w:ind w:left="2460"/>
              <w:spacing w:after="0"/>
              <w:rPr>
                <w:sz w:val="20"/>
                <w:szCs w:val="20"/>
                <w:color w:val="auto"/>
              </w:rPr>
            </w:pPr>
            <w:r>
              <w:rPr>
                <w:rFonts w:ascii="Arial" w:cs="Arial" w:eastAsia="Arial" w:hAnsi="Arial"/>
                <w:sz w:val="18"/>
                <w:szCs w:val="18"/>
                <w:color w:val="auto"/>
                <w:w w:val="82"/>
              </w:rPr>
              <w:t>X</w:t>
            </w:r>
          </w:p>
        </w:tc>
      </w:tr>
      <w:tr>
        <w:trPr>
          <w:trHeight w:val="230"/>
        </w:trPr>
        <w:tc>
          <w:tcPr>
            <w:tcW w:w="96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2580" w:type="dxa"/>
            <w:vAlign w:val="bottom"/>
          </w:tcPr>
          <w:p>
            <w:pPr>
              <w:spacing w:after="0"/>
              <w:rPr>
                <w:sz w:val="20"/>
                <w:szCs w:val="20"/>
                <w:color w:val="auto"/>
              </w:rPr>
            </w:pPr>
          </w:p>
        </w:tc>
      </w:tr>
    </w:tbl>
    <w:p>
      <w:pPr>
        <w:spacing w:after="0" w:line="161" w:lineRule="exact"/>
        <w:rPr>
          <w:sz w:val="20"/>
          <w:szCs w:val="20"/>
          <w:color w:val="auto"/>
        </w:rPr>
      </w:pPr>
    </w:p>
    <w:p>
      <w:pPr>
        <w:ind w:firstLine="1"/>
        <w:spacing w:after="0" w:line="293" w:lineRule="auto"/>
        <w:tabs>
          <w:tab w:leader="none" w:pos="2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5"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VERRA MOBILITY CORPORATION</w:t>
      </w:r>
    </w:p>
    <w:p>
      <w:pPr>
        <w:spacing w:after="0" w:line="306" w:lineRule="exact"/>
        <w:rPr>
          <w:sz w:val="20"/>
          <w:szCs w:val="20"/>
          <w:color w:val="auto"/>
        </w:rPr>
      </w:pPr>
    </w:p>
    <w:p>
      <w:pPr>
        <w:ind w:left="20"/>
        <w:spacing w:after="0"/>
        <w:tabs>
          <w:tab w:leader="none" w:pos="5780" w:val="left"/>
          <w:tab w:leader="none" w:pos="62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23495</wp:posOffset>
            </wp:positionV>
            <wp:extent cx="31718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4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David Roberts</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98"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98" w:lineRule="exact"/>
        <w:rPr>
          <w:rFonts w:ascii="Arial" w:cs="Arial" w:eastAsia="Arial" w:hAnsi="Arial"/>
          <w:sz w:val="18"/>
          <w:szCs w:val="18"/>
          <w:color w:val="auto"/>
        </w:rPr>
      </w:pPr>
    </w:p>
    <w:p>
      <w:pPr>
        <w:jc w:val="both"/>
        <w:ind w:left="440" w:hanging="432"/>
        <w:spacing w:after="0" w:line="279"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5" w:lineRule="exact"/>
        <w:rPr>
          <w:rFonts w:ascii="Arial" w:cs="Arial" w:eastAsia="Arial" w:hAnsi="Arial"/>
          <w:sz w:val="18"/>
          <w:szCs w:val="18"/>
          <w:color w:val="auto"/>
        </w:rPr>
      </w:pPr>
    </w:p>
    <w:p>
      <w:pPr>
        <w:ind w:left="440" w:hanging="432"/>
        <w:spacing w:after="0" w:line="359"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4" w:lineRule="exact"/>
        <w:rPr>
          <w:rFonts w:ascii="Arial" w:cs="Arial" w:eastAsia="Arial" w:hAnsi="Arial"/>
          <w:sz w:val="16"/>
          <w:szCs w:val="16"/>
          <w:color w:val="auto"/>
        </w:rPr>
      </w:pPr>
    </w:p>
    <w:p>
      <w:pPr>
        <w:jc w:val="both"/>
        <w:ind w:left="440" w:hanging="432"/>
        <w:spacing w:after="0" w:line="279"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960" w:hanging="441"/>
        <w:spacing w:after="0" w:line="279"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4" w:lineRule="exact"/>
        <w:rPr>
          <w:rFonts w:ascii="Arial" w:cs="Arial" w:eastAsia="Arial" w:hAnsi="Arial"/>
          <w:sz w:val="18"/>
          <w:szCs w:val="18"/>
          <w:color w:val="auto"/>
        </w:rPr>
      </w:pPr>
    </w:p>
    <w:p>
      <w:pPr>
        <w:jc w:val="both"/>
        <w:ind w:left="960" w:hanging="441"/>
        <w:spacing w:after="0" w:line="279"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hanging="441"/>
        <w:spacing w:after="0" w:line="279"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4" w:lineRule="exact"/>
        <w:rPr>
          <w:rFonts w:ascii="Arial" w:cs="Arial" w:eastAsia="Arial" w:hAnsi="Arial"/>
          <w:sz w:val="18"/>
          <w:szCs w:val="18"/>
          <w:color w:val="auto"/>
        </w:rPr>
      </w:pPr>
    </w:p>
    <w:p>
      <w:pPr>
        <w:jc w:val="both"/>
        <w:ind w:left="960" w:hanging="441"/>
        <w:spacing w:after="0" w:line="279"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hanging="441"/>
        <w:spacing w:after="0" w:line="324" w:lineRule="auto"/>
        <w:tabs>
          <w:tab w:leader="none" w:pos="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960" w:right="20" w:hanging="441"/>
        <w:spacing w:after="0" w:line="293"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640" w:val="left"/>
          <w:tab w:leader="none" w:pos="720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Roberts</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98"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98" w:lineRule="exact"/>
        <w:rPr>
          <w:rFonts w:ascii="Arial" w:cs="Arial" w:eastAsia="Arial" w:hAnsi="Arial"/>
          <w:sz w:val="18"/>
          <w:szCs w:val="18"/>
          <w:color w:val="auto"/>
        </w:rPr>
      </w:pPr>
    </w:p>
    <w:p>
      <w:pPr>
        <w:jc w:val="both"/>
        <w:ind w:left="440" w:hanging="432"/>
        <w:spacing w:after="0" w:line="27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5" w:lineRule="exact"/>
        <w:rPr>
          <w:rFonts w:ascii="Arial" w:cs="Arial" w:eastAsia="Arial" w:hAnsi="Arial"/>
          <w:sz w:val="18"/>
          <w:szCs w:val="18"/>
          <w:color w:val="auto"/>
        </w:rPr>
      </w:pPr>
    </w:p>
    <w:p>
      <w:pPr>
        <w:ind w:left="440" w:hanging="432"/>
        <w:spacing w:after="0" w:line="359"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4" w:lineRule="exact"/>
        <w:rPr>
          <w:rFonts w:ascii="Arial" w:cs="Arial" w:eastAsia="Arial" w:hAnsi="Arial"/>
          <w:sz w:val="16"/>
          <w:szCs w:val="16"/>
          <w:color w:val="auto"/>
        </w:rPr>
      </w:pPr>
    </w:p>
    <w:p>
      <w:pPr>
        <w:jc w:val="both"/>
        <w:ind w:left="440" w:hanging="432"/>
        <w:spacing w:after="0" w:line="27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jc w:val="both"/>
        <w:ind w:left="96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4" w:lineRule="exact"/>
        <w:rPr>
          <w:rFonts w:ascii="Arial" w:cs="Arial" w:eastAsia="Arial" w:hAnsi="Arial"/>
          <w:sz w:val="18"/>
          <w:szCs w:val="18"/>
          <w:color w:val="auto"/>
        </w:rPr>
      </w:pPr>
    </w:p>
    <w:p>
      <w:pPr>
        <w:jc w:val="both"/>
        <w:ind w:left="960" w:right="2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4" w:lineRule="exact"/>
        <w:rPr>
          <w:rFonts w:ascii="Arial" w:cs="Arial" w:eastAsia="Arial" w:hAnsi="Arial"/>
          <w:sz w:val="18"/>
          <w:szCs w:val="18"/>
          <w:color w:val="auto"/>
        </w:rPr>
      </w:pPr>
    </w:p>
    <w:p>
      <w:pPr>
        <w:jc w:val="both"/>
        <w:ind w:left="960" w:hanging="443"/>
        <w:spacing w:after="0" w:line="279"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440" w:hanging="432"/>
        <w:spacing w:after="0" w:line="324"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hanging="441"/>
        <w:spacing w:after="0" w:line="324" w:lineRule="auto"/>
        <w:tabs>
          <w:tab w:leader="none" w:pos="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960" w:right="20" w:hanging="441"/>
        <w:spacing w:after="0" w:line="293"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640" w:val="left"/>
          <w:tab w:leader="none" w:pos="720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Patricia Chiodo</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September 30, 2021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6"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440" w:hanging="432"/>
        <w:spacing w:after="0" w:line="293"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66" w:lineRule="exact"/>
        <w:rPr>
          <w:sz w:val="20"/>
          <w:szCs w:val="20"/>
          <w:color w:val="auto"/>
        </w:rPr>
      </w:pPr>
    </w:p>
    <w:p>
      <w:pPr>
        <w:ind w:left="20"/>
        <w:spacing w:after="0"/>
        <w:tabs>
          <w:tab w:leader="none" w:pos="5380" w:val="left"/>
          <w:tab w:leader="none" w:pos="596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September 30, 2021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Patricia Chiodo, Chief Financial Officer of the Company, hereby certify as of the date hereof, solely for purposes of Title 18, Chapter 63, Section 1350 of the United States Code, that to the best of my knowledge:</w:t>
      </w:r>
    </w:p>
    <w:p>
      <w:pPr>
        <w:spacing w:after="0" w:line="56"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440" w:hanging="432"/>
        <w:spacing w:after="0" w:line="293"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66" w:lineRule="exact"/>
        <w:rPr>
          <w:sz w:val="20"/>
          <w:szCs w:val="20"/>
          <w:color w:val="auto"/>
        </w:rPr>
      </w:pPr>
    </w:p>
    <w:p>
      <w:pPr>
        <w:ind w:left="20"/>
        <w:spacing w:after="0"/>
        <w:tabs>
          <w:tab w:leader="none" w:pos="5400" w:val="left"/>
          <w:tab w:leader="none" w:pos="596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Patricia Chiodo</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4"/>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7"/>
    </w:lvl>
  </w:abstractNum>
  <w:abstractNum w:abstractNumId="13">
    <w:nsid w:val="7C83E458"/>
    <w:multiLevelType w:val="hybridMultilevel"/>
    <w:lvl w:ilvl="0">
      <w:lvlJc w:val="left"/>
      <w:lvlText w:val="%1."/>
      <w:numFmt w:val="decimal"/>
      <w:start w:val="8"/>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6">
    <w:nsid w:val="436C6125"/>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03" Type="http://schemas.openxmlformats.org/officeDocument/2006/relationships/hyperlink" Target="https://www.sec.gov/Archives/edgar/data/1682745/000110465918041476/a18-15692_1ex2d1.htm" TargetMode="External"/><Relationship Id="rId404" Type="http://schemas.openxmlformats.org/officeDocument/2006/relationships/hyperlink" Target="https://www.sec.gov/Archives/edgar/data/1682745/000104746918005773/a2236552zex-2_2.htm" TargetMode="External"/><Relationship Id="rId405" Type="http://schemas.openxmlformats.org/officeDocument/2006/relationships/hyperlink" Target="https://www.sec.gov/Archives/edgar/data/1682745/000156459021001806/vrrm-ex21_146.htm" TargetMode="External"/><Relationship Id="rId406" Type="http://schemas.openxmlformats.org/officeDocument/2006/relationships/hyperlink" Target="https://www.sec.gov/Archives/edgar/data/1682745/000156459021022171/vrrm-ex21_27.htm" TargetMode="External"/><Relationship Id="rId407" Type="http://schemas.openxmlformats.org/officeDocument/2006/relationships/hyperlink" Target="https://www.sec.gov/Archives/edgar/data/1682745/000156459018024644/vrrm-ex31_941.htm" TargetMode="External"/><Relationship Id="rId408" Type="http://schemas.openxmlformats.org/officeDocument/2006/relationships/hyperlink" Target="https://www.sec.gov/Archives/edgar/data/1682745/000156459018024644/vrrm-ex32_939.htm" TargetMode="External"/><Relationship Id="rId409" Type="http://schemas.openxmlformats.org/officeDocument/2006/relationships/hyperlink" Target="https://www.sec.gov/Archives/edgar/data/1682745/000104746916017126/a2230401zex-4_2.htm" TargetMode="External"/><Relationship Id="rId410" Type="http://schemas.openxmlformats.org/officeDocument/2006/relationships/hyperlink" Target="https://www.sec.gov/Archives/edgar/data/1682745/000104746916017126/a2230401zex-4_3.htm" TargetMode="External"/><Relationship Id="rId411" Type="http://schemas.openxmlformats.org/officeDocument/2006/relationships/hyperlink" Target="https://www.sec.gov/Archives/edgar/data/1682745/000110465917003086/a17-2559_1ex4d1.htm" TargetMode="External"/><Relationship Id="rId412" Type="http://schemas.openxmlformats.org/officeDocument/2006/relationships/hyperlink" Target="https://www.sec.gov/Archives/edgar/data/1682745/000156459020008153/vrrm-ex44_298.htm" TargetMode="External"/><Relationship Id="rId413" Type="http://schemas.openxmlformats.org/officeDocument/2006/relationships/hyperlink" Target="https://www.sec.gov/Archives/edgar/data/1682745/000119312521252816/d2194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2021-11-04T16:25:23Z</dcterms:created>
  <dcterms:modified xsi:type="dcterms:W3CDTF">2021-11-04T16:25:23Z</dcterms:modified>
</cp:coreProperties>
</file>