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vrrm-20230630.htm"/>
      <w:bookmarkStart w:id="1" w:name="ksvrrm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0"/>
        </w:rPr>
      </w:pPr>
      <w:r>
        <w:rPr>
          <w:rFonts w:ascii="Times New Roman;serif" w:hAnsi="Times New Roman;serif"/>
          <w:b/>
          <w:sz w:val="30"/>
        </w:rPr>
        <w:t>UNITED STATES</w:t>
      </w:r>
    </w:p>
    <w:p>
      <w:pPr>
        <w:pStyle w:val="TextBody"/>
        <w:bidi w:val="0"/>
        <w:spacing w:before="0" w:after="0"/>
        <w:jc w:val="center"/>
        <w:rPr>
          <w:rFonts w:ascii="Times New Roman;serif" w:hAnsi="Times New Roman;serif"/>
          <w:b/>
          <w:sz w:val="30"/>
        </w:rPr>
      </w:pPr>
      <w:r>
        <w:rPr>
          <w:rFonts w:ascii="Times New Roman;serif" w:hAnsi="Times New Roman;serif"/>
          <w:b/>
          <w:sz w:val="30"/>
        </w:rPr>
        <w:t>SECURITIES AND EXCHANGE COMMISSION</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both"/>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p>
      <w:pPr>
        <w:pStyle w:val="TextBody"/>
        <w:bidi w:val="0"/>
        <w:spacing w:before="80" w:after="0"/>
        <w:jc w:val="both"/>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80" w:after="0"/>
        <w:jc w:val="center"/>
        <w:rPr>
          <w:rFonts w:ascii="Times New Roman;serif" w:hAnsi="Times New Roman;serif"/>
          <w:b/>
          <w:sz w:val="20"/>
        </w:rPr>
      </w:pPr>
      <w:r>
        <w:rPr>
          <w:rFonts w:ascii="Times New Roman;serif" w:hAnsi="Times New Roman;serif"/>
          <w:b/>
          <w:sz w:val="20"/>
        </w:rPr>
        <w:t>For the transition period from ___________ to ___________.</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001-37979</w:t>
      </w:r>
    </w:p>
    <w:p>
      <w:pPr>
        <w:pStyle w:val="TextBody"/>
        <w:pBdr>
          <w:bottom w:val="single" w:sz="4"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VERRA MOBILITY CORPORATION</w:t>
      </w:r>
    </w:p>
    <w:p>
      <w:pPr>
        <w:pStyle w:val="TextBody"/>
        <w:bidi w:val="0"/>
        <w:spacing w:before="0" w:after="0"/>
        <w:jc w:val="center"/>
        <w:rPr>
          <w:rFonts w:ascii="Times New Roman" w:hAnsi="Times New Roman"/>
          <w:sz w:val="20"/>
        </w:rPr>
      </w:pPr>
      <w:r>
        <w:rPr>
          <w:rFonts w:ascii="Times New Roman;serif" w:hAnsi="Times New Roman;serif"/>
          <w:b w:val="false"/>
          <w:sz w:val="19"/>
        </w:rPr>
        <w:t>(</w:t>
      </w:r>
      <w:r>
        <w:rPr>
          <w:rFonts w:ascii="Times New Roman;serif" w:hAnsi="Times New Roman;serif"/>
          <w:b w:val="false"/>
          <w:i/>
          <w:sz w:val="19"/>
        </w:rPr>
        <w:t>Exact name of registrant as specified in its charter</w:t>
      </w:r>
      <w:r>
        <w:rPr>
          <w:rFonts w:ascii="Times New Roman;serif" w:hAnsi="Times New Roman;serif"/>
          <w:b w:val="false"/>
          <w:sz w:val="19"/>
        </w:rPr>
        <w:t>)</w:t>
      </w:r>
    </w:p>
    <w:p>
      <w:pPr>
        <w:pStyle w:val="TextBody"/>
        <w:pBdr>
          <w:bottom w:val="single" w:sz="4" w:space="1" w:color="000000"/>
        </w:pBdr>
        <w:bidi w:val="0"/>
        <w:spacing w:before="0" w:after="0"/>
        <w:jc w:val="center"/>
        <w:rPr/>
      </w:pPr>
      <w:r>
        <w:rPr/>
        <w:t> </w:t>
      </w:r>
    </w:p>
    <w:tbl>
      <w:tblPr>
        <w:tblW w:w="5188" w:type="dxa"/>
        <w:jc w:val="left"/>
        <w:tblInd w:w="0" w:type="dxa"/>
        <w:tblLayout w:type="fixed"/>
        <w:tblCellMar>
          <w:top w:w="28" w:type="dxa"/>
          <w:left w:w="28" w:type="dxa"/>
          <w:bottom w:w="28" w:type="dxa"/>
          <w:right w:w="28" w:type="dxa"/>
        </w:tblCellMar>
      </w:tblPr>
      <w:tblGrid>
        <w:gridCol w:w="3376"/>
        <w:gridCol w:w="146"/>
        <w:gridCol w:w="166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Delaware</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81-3563824</w:t>
            </w:r>
          </w:p>
        </w:tc>
      </w:tr>
      <w:tr>
        <w:trPr/>
        <w:tc>
          <w:tcPr>
            <w:tcW w:w="3376" w:type="dxa"/>
            <w:tcBorders/>
            <w:vAlign w:val="center"/>
          </w:tcPr>
          <w:p>
            <w:pPr>
              <w:pStyle w:val="TableContents"/>
              <w:bidi w:val="0"/>
              <w:spacing w:before="0" w:after="0"/>
              <w:ind w:left="0" w:right="0" w:hanging="0"/>
              <w:jc w:val="center"/>
              <w:rPr>
                <w:rFonts w:ascii="Times New Roman" w:hAnsi="Times New Roman"/>
                <w:sz w:val="19"/>
              </w:rPr>
            </w:pPr>
            <w:r>
              <w:rPr>
                <w:rFonts w:ascii="Times New Roman;serif" w:hAnsi="Times New Roman;serif"/>
                <w:b w:val="false"/>
                <w:sz w:val="19"/>
              </w:rPr>
              <w:t>(</w:t>
            </w:r>
            <w:r>
              <w:rPr>
                <w:rFonts w:ascii="Times New Roman;serif" w:hAnsi="Times New Roman;serif"/>
                <w:b w:val="false"/>
                <w:i/>
                <w:sz w:val="19"/>
              </w:rPr>
              <w:t>State of</w:t>
            </w:r>
            <w:r>
              <w:rPr>
                <w:rFonts w:ascii="Times New Roman" w:hAnsi="Times New Roman"/>
                <w:sz w:val="19"/>
              </w:rPr>
              <w:t xml:space="preserve"> </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rFonts w:ascii="Times New Roman" w:hAnsi="Times New Roman"/>
                <w:sz w:val="19"/>
              </w:rPr>
            </w:pPr>
            <w:r>
              <w:rPr>
                <w:rFonts w:ascii="Times New Roman;serif" w:hAnsi="Times New Roman;serif"/>
                <w:b w:val="false"/>
                <w:sz w:val="19"/>
              </w:rPr>
              <w:t>(</w:t>
            </w:r>
            <w:r>
              <w:rPr>
                <w:rFonts w:ascii="Times New Roman;serif" w:hAnsi="Times New Roman;serif"/>
                <w:b w:val="false"/>
                <w:i/>
                <w:sz w:val="19"/>
              </w:rPr>
              <w:t>I.R.S. Employer</w:t>
            </w:r>
          </w:p>
        </w:tc>
      </w:tr>
      <w:tr>
        <w:trPr/>
        <w:tc>
          <w:tcPr>
            <w:tcW w:w="3376" w:type="dxa"/>
            <w:tcBorders/>
            <w:vAlign w:val="center"/>
          </w:tcPr>
          <w:p>
            <w:pPr>
              <w:pStyle w:val="TableContents"/>
              <w:bidi w:val="0"/>
              <w:spacing w:before="0" w:after="0"/>
              <w:ind w:left="0" w:right="0" w:hanging="0"/>
              <w:jc w:val="center"/>
              <w:rPr>
                <w:rFonts w:ascii="Times New Roman" w:hAnsi="Times New Roman"/>
                <w:sz w:val="19"/>
              </w:rPr>
            </w:pPr>
            <w:r>
              <w:rPr>
                <w:rFonts w:ascii="Times New Roman;serif" w:hAnsi="Times New Roman;serif"/>
                <w:b w:val="false"/>
                <w:i/>
                <w:sz w:val="19"/>
              </w:rPr>
              <w:t>Incorporation</w:t>
            </w: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rFonts w:ascii="Times New Roman" w:hAnsi="Times New Roman"/>
                <w:sz w:val="19"/>
              </w:rPr>
            </w:pPr>
            <w:r>
              <w:rPr>
                <w:rFonts w:ascii="Times New Roman;serif" w:hAnsi="Times New Roman;serif"/>
                <w:b w:val="false"/>
                <w:i/>
                <w:sz w:val="19"/>
              </w:rPr>
              <w:t>Identification No.</w:t>
            </w:r>
            <w:r>
              <w:rPr>
                <w:rFonts w:ascii="Times New Roman;serif" w:hAnsi="Times New Roman;serif"/>
                <w:b w:val="false"/>
                <w:sz w:val="19"/>
              </w:rPr>
              <w:t>)</w:t>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1150 North Alma School Road</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85201</w:t>
            </w:r>
          </w:p>
        </w:tc>
      </w:tr>
      <w:tr>
        <w:trPr/>
        <w:tc>
          <w:tcPr>
            <w:tcW w:w="3376"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Mesa, Arizona</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rFonts w:ascii="Times New Roman" w:hAnsi="Times New Roman"/>
                <w:sz w:val="19"/>
              </w:rPr>
            </w:pPr>
            <w:r>
              <w:rPr>
                <w:rFonts w:ascii="Times New Roman;serif" w:hAnsi="Times New Roman;serif"/>
                <w:b w:val="false"/>
                <w:sz w:val="19"/>
              </w:rPr>
              <w:t>(</w:t>
            </w:r>
            <w:r>
              <w:rPr>
                <w:rFonts w:ascii="Times New Roman;serif" w:hAnsi="Times New Roman;serif"/>
                <w:b w:val="false"/>
                <w:i/>
                <w:sz w:val="19"/>
              </w:rPr>
              <w:t>Zip Code</w:t>
            </w:r>
            <w:r>
              <w:rPr>
                <w:rFonts w:ascii="Times New Roman;serif" w:hAnsi="Times New Roman;serif"/>
                <w:b w:val="false"/>
                <w:sz w:val="19"/>
              </w:rPr>
              <w:t>)</w:t>
            </w:r>
          </w:p>
        </w:tc>
      </w:tr>
      <w:tr>
        <w:trPr/>
        <w:tc>
          <w:tcPr>
            <w:tcW w:w="3376" w:type="dxa"/>
            <w:tcBorders/>
            <w:vAlign w:val="center"/>
          </w:tcPr>
          <w:p>
            <w:pPr>
              <w:pStyle w:val="TableContents"/>
              <w:bidi w:val="0"/>
              <w:spacing w:before="0" w:after="0"/>
              <w:ind w:left="0" w:right="0" w:hanging="0"/>
              <w:jc w:val="center"/>
              <w:rPr>
                <w:rFonts w:ascii="Times New Roman" w:hAnsi="Times New Roman"/>
                <w:sz w:val="19"/>
              </w:rPr>
            </w:pPr>
            <w:r>
              <w:rPr>
                <w:rFonts w:ascii="Times New Roman;serif" w:hAnsi="Times New Roman;serif"/>
                <w:b w:val="false"/>
                <w:sz w:val="19"/>
              </w:rPr>
              <w:t>(</w:t>
            </w:r>
            <w:r>
              <w:rPr>
                <w:rFonts w:ascii="Times New Roman;serif" w:hAnsi="Times New Roman;serif"/>
                <w:b w:val="false"/>
                <w:i/>
                <w:sz w:val="19"/>
              </w:rPr>
              <w:t>Address of Principal Executive Offices</w:t>
            </w: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center"/>
              <w:rPr/>
            </w:pPr>
            <w:r>
              <w:rPr/>
              <w:t> </w:t>
            </w:r>
          </w:p>
        </w:tc>
        <w:tc>
          <w:tcPr>
            <w:tcW w:w="1666" w:type="dxa"/>
            <w:tcBorders/>
            <w:vAlign w:val="center"/>
          </w:tcPr>
          <w:p>
            <w:pPr>
              <w:pStyle w:val="TableContents"/>
              <w:bidi w:val="0"/>
              <w:spacing w:before="0" w:after="0"/>
              <w:ind w:left="0" w:right="0" w:hanging="0"/>
              <w:jc w:val="center"/>
              <w:rPr/>
            </w:pPr>
            <w:r>
              <w:rPr/>
              <w:t> </w:t>
            </w:r>
          </w:p>
        </w:tc>
      </w:tr>
    </w:tbl>
    <w:p>
      <w:pPr>
        <w:pStyle w:val="TextBody"/>
        <w:bidi w:val="0"/>
        <w:spacing w:before="80" w:after="0"/>
        <w:jc w:val="center"/>
        <w:rPr>
          <w:rFonts w:ascii="Times New Roman;serif" w:hAnsi="Times New Roman;serif"/>
          <w:b/>
          <w:sz w:val="19"/>
        </w:rPr>
      </w:pPr>
      <w:r>
        <w:rPr>
          <w:rFonts w:ascii="Times New Roman;serif" w:hAnsi="Times New Roman;serif"/>
          <w:b/>
          <w:sz w:val="19"/>
        </w:rPr>
        <w:t>(480) 443-7000</w:t>
      </w:r>
    </w:p>
    <w:p>
      <w:pPr>
        <w:pStyle w:val="TextBody"/>
        <w:bidi w:val="0"/>
        <w:spacing w:before="0" w:after="0"/>
        <w:jc w:val="center"/>
        <w:rPr>
          <w:rFonts w:ascii="Times New Roman" w:hAnsi="Times New Roman"/>
          <w:sz w:val="20"/>
        </w:rPr>
      </w:pPr>
      <w:r>
        <w:rPr>
          <w:rFonts w:ascii="Times New Roman;serif" w:hAnsi="Times New Roman;serif"/>
          <w:b w:val="false"/>
          <w:sz w:val="19"/>
        </w:rPr>
        <w:t>(</w:t>
      </w:r>
      <w:r>
        <w:rPr>
          <w:rFonts w:ascii="Times New Roman;serif" w:hAnsi="Times New Roman;serif"/>
          <w:b w:val="false"/>
          <w:i/>
          <w:sz w:val="19"/>
        </w:rPr>
        <w:t>Registrant’s telephone number, including area code</w:t>
      </w:r>
      <w:r>
        <w:rPr>
          <w:rFonts w:ascii="Times New Roman;serif" w:hAnsi="Times New Roman;serif"/>
          <w:b w:val="false"/>
          <w:sz w:val="19"/>
        </w:rPr>
        <w:t>)</w:t>
      </w:r>
    </w:p>
    <w:p>
      <w:pPr>
        <w:pStyle w:val="TextBody"/>
        <w:bidi w:val="0"/>
        <w:spacing w:before="0" w:after="0"/>
        <w:jc w:val="center"/>
        <w:rPr/>
      </w:pPr>
      <w:r>
        <w:rPr/>
        <w:t> </w:t>
      </w:r>
    </w:p>
    <w:p>
      <w:pPr>
        <w:pStyle w:val="TextBody"/>
        <w:bidi w:val="0"/>
        <w:spacing w:before="80" w:after="0"/>
        <w:jc w:val="center"/>
        <w:rPr>
          <w:rFonts w:ascii="Times New Roman;serif" w:hAnsi="Times New Roman;serif"/>
          <w:b w:val="false"/>
          <w:sz w:val="19"/>
        </w:rPr>
      </w:pPr>
      <w:r>
        <w:rPr>
          <w:rFonts w:ascii="Times New Roman;serif" w:hAnsi="Times New Roman;serif"/>
          <w:b w:val="false"/>
          <w:sz w:val="19"/>
        </w:rPr>
        <w:t>Securities registered pursuant to Section 12(b) of the Act:</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458"/>
        <w:gridCol w:w="146"/>
        <w:gridCol w:w="1515"/>
        <w:gridCol w:w="146"/>
        <w:gridCol w:w="3940"/>
      </w:tblGrid>
      <w:tr>
        <w:trPr/>
        <w:tc>
          <w:tcPr>
            <w:tcW w:w="4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center"/>
          </w:tcPr>
          <w:p>
            <w:pPr>
              <w:pStyle w:val="TableContents"/>
              <w:bidi w:val="0"/>
              <w:spacing w:before="0" w:after="44"/>
              <w:ind w:left="0" w:right="0" w:hanging="0"/>
              <w:jc w:val="center"/>
              <w:rPr>
                <w:rFonts w:ascii="Times New Roman;serif" w:hAnsi="Times New Roman;serif"/>
                <w:b w:val="false"/>
                <w:i/>
                <w:sz w:val="19"/>
              </w:rPr>
            </w:pPr>
            <w:r>
              <w:rPr>
                <w:rFonts w:ascii="Times New Roman;serif" w:hAnsi="Times New Roman;serif"/>
                <w:b w:val="false"/>
                <w:i/>
                <w:sz w:val="19"/>
              </w:rPr>
              <w:t>(Title of Each Class)</w:t>
            </w:r>
          </w:p>
        </w:tc>
        <w:tc>
          <w:tcPr>
            <w:tcW w:w="146" w:type="dxa"/>
            <w:tcBorders/>
            <w:vAlign w:val="center"/>
          </w:tcPr>
          <w:p>
            <w:pPr>
              <w:pStyle w:val="TableContents"/>
              <w:bidi w:val="0"/>
              <w:spacing w:before="0" w:after="44"/>
              <w:ind w:left="0" w:right="0" w:hanging="0"/>
              <w:jc w:val="center"/>
              <w:rPr/>
            </w:pPr>
            <w:r>
              <w:rPr/>
              <w:t> </w:t>
            </w:r>
          </w:p>
        </w:tc>
        <w:tc>
          <w:tcPr>
            <w:tcW w:w="1515" w:type="dxa"/>
            <w:tcBorders/>
            <w:vAlign w:val="center"/>
          </w:tcPr>
          <w:p>
            <w:pPr>
              <w:pStyle w:val="TableContents"/>
              <w:bidi w:val="0"/>
              <w:spacing w:before="0" w:after="44"/>
              <w:ind w:left="0" w:right="0" w:hanging="0"/>
              <w:jc w:val="center"/>
              <w:rPr>
                <w:rFonts w:ascii="Times New Roman;serif" w:hAnsi="Times New Roman;serif"/>
                <w:b w:val="false"/>
                <w:i/>
                <w:sz w:val="19"/>
              </w:rPr>
            </w:pPr>
            <w:r>
              <w:rPr>
                <w:rFonts w:ascii="Times New Roman;serif" w:hAnsi="Times New Roman;serif"/>
                <w:b w:val="false"/>
                <w:i/>
                <w:sz w:val="19"/>
              </w:rPr>
              <w:t>(Trading Symbol)</w:t>
            </w:r>
          </w:p>
        </w:tc>
        <w:tc>
          <w:tcPr>
            <w:tcW w:w="146" w:type="dxa"/>
            <w:tcBorders/>
            <w:vAlign w:val="center"/>
          </w:tcPr>
          <w:p>
            <w:pPr>
              <w:pStyle w:val="TableContents"/>
              <w:bidi w:val="0"/>
              <w:spacing w:before="0" w:after="44"/>
              <w:ind w:left="0" w:right="0" w:hanging="0"/>
              <w:jc w:val="center"/>
              <w:rPr/>
            </w:pPr>
            <w:r>
              <w:rPr/>
              <w:t> </w:t>
            </w:r>
          </w:p>
        </w:tc>
        <w:tc>
          <w:tcPr>
            <w:tcW w:w="3940" w:type="dxa"/>
            <w:tcBorders/>
            <w:vAlign w:val="center"/>
          </w:tcPr>
          <w:p>
            <w:pPr>
              <w:pStyle w:val="TableContents"/>
              <w:bidi w:val="0"/>
              <w:spacing w:before="0" w:after="44"/>
              <w:ind w:left="0" w:right="0" w:hanging="0"/>
              <w:jc w:val="center"/>
              <w:rPr>
                <w:rFonts w:ascii="Times New Roman;serif" w:hAnsi="Times New Roman;serif"/>
                <w:b w:val="false"/>
                <w:i/>
                <w:sz w:val="19"/>
              </w:rPr>
            </w:pPr>
            <w:r>
              <w:rPr>
                <w:rFonts w:ascii="Times New Roman;serif" w:hAnsi="Times New Roman;serif"/>
                <w:b w:val="false"/>
                <w:i/>
                <w:sz w:val="19"/>
              </w:rPr>
              <w:t>(Name of Each Exchange on Which Registered)</w:t>
            </w:r>
          </w:p>
        </w:tc>
      </w:tr>
      <w:tr>
        <w:trPr/>
        <w:tc>
          <w:tcPr>
            <w:tcW w:w="4458" w:type="dxa"/>
            <w:tcBorders/>
            <w:vAlign w:val="center"/>
          </w:tcPr>
          <w:p>
            <w:pPr>
              <w:pStyle w:val="TableContents"/>
              <w:bidi w:val="0"/>
              <w:spacing w:before="0" w:after="44"/>
              <w:ind w:left="0" w:right="0" w:hanging="0"/>
              <w:jc w:val="center"/>
              <w:rPr>
                <w:rFonts w:ascii="Times New Roman;serif" w:hAnsi="Times New Roman;serif"/>
                <w:b/>
                <w:sz w:val="19"/>
              </w:rPr>
            </w:pPr>
            <w:r>
              <w:rPr>
                <w:rFonts w:ascii="Times New Roman;serif" w:hAnsi="Times New Roman;serif"/>
                <w:b/>
                <w:sz w:val="19"/>
              </w:rPr>
              <w:t>Class A Common Stock, par value $0.0001 per share</w:t>
            </w:r>
          </w:p>
        </w:tc>
        <w:tc>
          <w:tcPr>
            <w:tcW w:w="146" w:type="dxa"/>
            <w:tcBorders/>
            <w:vAlign w:val="center"/>
          </w:tcPr>
          <w:p>
            <w:pPr>
              <w:pStyle w:val="TableContents"/>
              <w:bidi w:val="0"/>
              <w:spacing w:before="0" w:after="44"/>
              <w:ind w:left="0" w:right="0" w:hanging="0"/>
              <w:jc w:val="center"/>
              <w:rPr/>
            </w:pPr>
            <w:r>
              <w:rPr/>
              <w:t> </w:t>
            </w:r>
          </w:p>
        </w:tc>
        <w:tc>
          <w:tcPr>
            <w:tcW w:w="1515" w:type="dxa"/>
            <w:tcBorders/>
            <w:vAlign w:val="center"/>
          </w:tcPr>
          <w:p>
            <w:pPr>
              <w:pStyle w:val="TableContents"/>
              <w:bidi w:val="0"/>
              <w:spacing w:before="0" w:after="44"/>
              <w:ind w:left="0" w:right="0" w:hanging="0"/>
              <w:jc w:val="center"/>
              <w:rPr>
                <w:rFonts w:ascii="Times New Roman;serif" w:hAnsi="Times New Roman;serif"/>
                <w:b/>
                <w:caps/>
                <w:sz w:val="19"/>
              </w:rPr>
            </w:pPr>
            <w:r>
              <w:rPr>
                <w:rFonts w:ascii="Times New Roman;serif" w:hAnsi="Times New Roman;serif"/>
                <w:b/>
                <w:caps/>
                <w:sz w:val="19"/>
              </w:rPr>
              <w:t>VRRM</w:t>
            </w:r>
          </w:p>
        </w:tc>
        <w:tc>
          <w:tcPr>
            <w:tcW w:w="146" w:type="dxa"/>
            <w:tcBorders/>
            <w:vAlign w:val="center"/>
          </w:tcPr>
          <w:p>
            <w:pPr>
              <w:pStyle w:val="TableContents"/>
              <w:bidi w:val="0"/>
              <w:spacing w:before="0" w:after="44"/>
              <w:ind w:left="0" w:right="0" w:hanging="0"/>
              <w:jc w:val="center"/>
              <w:rPr/>
            </w:pPr>
            <w:r>
              <w:rPr/>
              <w:t> </w:t>
            </w:r>
          </w:p>
        </w:tc>
        <w:tc>
          <w:tcPr>
            <w:tcW w:w="3940" w:type="dxa"/>
            <w:tcBorders/>
            <w:vAlign w:val="center"/>
          </w:tcPr>
          <w:p>
            <w:pPr>
              <w:pStyle w:val="TableContents"/>
              <w:bidi w:val="0"/>
              <w:spacing w:before="0" w:after="44"/>
              <w:ind w:left="0" w:right="0" w:hanging="0"/>
              <w:jc w:val="center"/>
              <w:rPr>
                <w:rFonts w:ascii="Times New Roman;serif" w:hAnsi="Times New Roman;serif"/>
                <w:b/>
                <w:sz w:val="19"/>
              </w:rPr>
            </w:pPr>
            <w:r>
              <w:rPr>
                <w:rFonts w:ascii="Times New Roman;serif" w:hAnsi="Times New Roman;serif"/>
                <w:b/>
                <w:sz w:val="19"/>
              </w:rPr>
              <w:t>Nasdaq Capital Market</w:t>
            </w:r>
          </w:p>
        </w:tc>
      </w:tr>
      <w:tr>
        <w:trPr/>
        <w:tc>
          <w:tcPr>
            <w:tcW w:w="4458" w:type="dxa"/>
            <w:tcBorders/>
            <w:vAlign w:val="center"/>
          </w:tcPr>
          <w:p>
            <w:pPr>
              <w:pStyle w:val="TableContents"/>
              <w:bidi w:val="0"/>
              <w:spacing w:before="0" w:after="44"/>
              <w:ind w:left="0" w:right="0" w:hanging="0"/>
              <w:jc w:val="center"/>
              <w:rPr>
                <w:rFonts w:ascii="Times New Roman;serif" w:hAnsi="Times New Roman;serif"/>
                <w:b/>
                <w:sz w:val="19"/>
              </w:rPr>
            </w:pPr>
            <w:r>
              <w:rPr>
                <w:rFonts w:ascii="Times New Roman;serif" w:hAnsi="Times New Roman;serif"/>
                <w:b/>
                <w:sz w:val="19"/>
              </w:rPr>
              <w:t>Warrants to purchase Class A Common Stock</w:t>
            </w:r>
          </w:p>
        </w:tc>
        <w:tc>
          <w:tcPr>
            <w:tcW w:w="146" w:type="dxa"/>
            <w:tcBorders/>
            <w:vAlign w:val="center"/>
          </w:tcPr>
          <w:p>
            <w:pPr>
              <w:pStyle w:val="TableContents"/>
              <w:bidi w:val="0"/>
              <w:spacing w:before="0" w:after="44"/>
              <w:ind w:left="0" w:right="0" w:hanging="0"/>
              <w:jc w:val="center"/>
              <w:rPr/>
            </w:pPr>
            <w:r>
              <w:rPr/>
              <w:t> </w:t>
            </w:r>
          </w:p>
        </w:tc>
        <w:tc>
          <w:tcPr>
            <w:tcW w:w="1515" w:type="dxa"/>
            <w:tcBorders/>
            <w:vAlign w:val="center"/>
          </w:tcPr>
          <w:p>
            <w:pPr>
              <w:pStyle w:val="TableContents"/>
              <w:bidi w:val="0"/>
              <w:spacing w:before="0" w:after="44"/>
              <w:ind w:left="0" w:right="0" w:hanging="0"/>
              <w:jc w:val="center"/>
              <w:rPr>
                <w:rFonts w:ascii="Times New Roman;serif" w:hAnsi="Times New Roman;serif"/>
                <w:b/>
                <w:caps/>
                <w:sz w:val="19"/>
              </w:rPr>
            </w:pPr>
            <w:r>
              <w:rPr>
                <w:rFonts w:ascii="Times New Roman;serif" w:hAnsi="Times New Roman;serif"/>
                <w:b/>
                <w:caps/>
                <w:sz w:val="19"/>
              </w:rPr>
              <w:t>VRRMW</w:t>
            </w:r>
          </w:p>
        </w:tc>
        <w:tc>
          <w:tcPr>
            <w:tcW w:w="146" w:type="dxa"/>
            <w:tcBorders/>
            <w:vAlign w:val="center"/>
          </w:tcPr>
          <w:p>
            <w:pPr>
              <w:pStyle w:val="TableContents"/>
              <w:bidi w:val="0"/>
              <w:spacing w:before="0" w:after="44"/>
              <w:ind w:left="0" w:right="0" w:hanging="0"/>
              <w:jc w:val="center"/>
              <w:rPr/>
            </w:pPr>
            <w:r>
              <w:rPr/>
              <w:t> </w:t>
            </w:r>
          </w:p>
        </w:tc>
        <w:tc>
          <w:tcPr>
            <w:tcW w:w="3940" w:type="dxa"/>
            <w:tcBorders/>
            <w:vAlign w:val="center"/>
          </w:tcPr>
          <w:p>
            <w:pPr>
              <w:pStyle w:val="TableContents"/>
              <w:bidi w:val="0"/>
              <w:spacing w:before="0" w:after="44"/>
              <w:ind w:left="0" w:right="0" w:hanging="0"/>
              <w:jc w:val="center"/>
              <w:rPr>
                <w:rFonts w:ascii="Times New Roman;serif" w:hAnsi="Times New Roman;serif"/>
                <w:b/>
                <w:sz w:val="19"/>
              </w:rPr>
            </w:pPr>
            <w:r>
              <w:rPr>
                <w:rFonts w:ascii="Times New Roman;serif" w:hAnsi="Times New Roman;serif"/>
                <w:b/>
                <w:sz w:val="19"/>
              </w:rPr>
              <w:t>OTC Pink Marketplace</w:t>
            </w:r>
          </w:p>
        </w:tc>
      </w:tr>
    </w:tbl>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9"/>
        </w:rPr>
        <w:t>NO ☐</w:t>
      </w:r>
    </w:p>
    <w:p>
      <w:pPr>
        <w:pStyle w:val="TextBody"/>
        <w:bidi w:val="0"/>
        <w:spacing w:before="80" w:after="0"/>
        <w:jc w:val="both"/>
        <w:rPr>
          <w:rFonts w:ascii="Times New Roman" w:hAnsi="Times New Roman"/>
          <w:sz w:val="20"/>
        </w:rPr>
      </w:pPr>
      <w:r>
        <w:rPr>
          <w:rFonts w:ascii="Times New Roman;serif" w:hAnsi="Times New Roman;serif"/>
          <w:b w:val="false"/>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9"/>
        </w:rPr>
        <w:t>NO ☐</w:t>
      </w:r>
    </w:p>
    <w:p>
      <w:pPr>
        <w:pStyle w:val="TextBody"/>
        <w:bidi w:val="0"/>
        <w:spacing w:before="80" w:after="0"/>
        <w:jc w:val="both"/>
        <w:rPr>
          <w:rFonts w:ascii="Times New Roman;serif" w:hAnsi="Times New Roman;serif"/>
          <w:b w:val="false"/>
          <w:sz w:val="19"/>
        </w:rPr>
      </w:pPr>
      <w:r>
        <w:rPr>
          <w:rFonts w:ascii="Times New Roman;serif" w:hAnsi="Times New Roman;serif"/>
          <w:b w:val="false"/>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jc w:val="both"/>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9"/>
        </w:rPr>
      </w:pPr>
      <w:r>
        <w:rPr>
          <w:rFonts w:ascii="Times New Roman;serif" w:hAnsi="Times New Roman;serif"/>
          <w:b w:val="false"/>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both"/>
        <w:rPr>
          <w:rFonts w:ascii="Times New Roman" w:hAnsi="Times New Roman"/>
          <w:sz w:val="20"/>
        </w:rPr>
      </w:pPr>
      <w:r>
        <w:rPr>
          <w:rFonts w:ascii="Times New Roman;serif" w:hAnsi="Times New Roman;serif"/>
          <w:b w:val="false"/>
          <w:sz w:val="19"/>
        </w:rPr>
        <w:t>Indicate by check mark whether the registrant is a shell company (as defined in Rule 12b</w:t>
        <w:noBreakHyphen/>
        <w:t xml:space="preserve">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9"/>
        </w:rPr>
        <w:t>As of August 4, 2023, there were 169,670,795</w:t>
      </w:r>
      <w:r>
        <w:rPr>
          <w:rFonts w:ascii="Times New Roman" w:hAnsi="Times New Roman"/>
          <w:sz w:val="20"/>
        </w:rPr>
        <w:t xml:space="preserve"> </w:t>
      </w:r>
      <w:r>
        <w:rPr>
          <w:rFonts w:ascii="Times New Roman;serif" w:hAnsi="Times New Roman;serif"/>
          <w:b w:val="false"/>
          <w:sz w:val="19"/>
        </w:rPr>
        <w:t>shares of the Company’s Class A Common Stock, par value $0.0001 per share, issued and outstanding.</w:t>
      </w:r>
    </w:p>
    <w:p>
      <w:pPr>
        <w:pStyle w:val="TextBody"/>
        <w:pBdr>
          <w:bottom w:val="double" w:sz="6" w:space="1" w:color="000000"/>
        </w:pBdr>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200" w:after="0"/>
        <w:jc w:val="center"/>
        <w:rPr>
          <w:rFonts w:ascii="Times New Roman;serif" w:hAnsi="Times New Roman;serif"/>
          <w:b/>
          <w:sz w:val="20"/>
        </w:rPr>
      </w:pPr>
      <w:r>
        <w:rPr>
          <w:rFonts w:ascii="Times New Roman;serif" w:hAnsi="Times New Roman;serif"/>
          <w:b/>
          <w:sz w:val="20"/>
        </w:rPr>
        <w:t>FORM 10-Q</w:t>
      </w:r>
    </w:p>
    <w:p>
      <w:pPr>
        <w:pStyle w:val="TextBody"/>
        <w:bidi w:val="0"/>
        <w:spacing w:before="200" w:after="0"/>
        <w:jc w:val="center"/>
        <w:rPr>
          <w:rFonts w:ascii="Times New Roman;serif" w:hAnsi="Times New Roman;serif"/>
          <w:b/>
          <w:sz w:val="20"/>
        </w:rPr>
      </w:pPr>
      <w:r>
        <w:rPr>
          <w:rFonts w:ascii="Times New Roman;serif" w:hAnsi="Times New Roman;serif"/>
          <w:b/>
          <w:sz w:val="20"/>
        </w:rPr>
        <w:t>FOR THE QUARTER ENDED JUNE 30, 2023</w:t>
      </w:r>
    </w:p>
    <w:p>
      <w:pPr>
        <w:pStyle w:val="TextBody"/>
        <w:bidi w:val="0"/>
        <w:spacing w:before="20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9383" w:type="dxa"/>
        <w:jc w:val="left"/>
        <w:tblInd w:w="0" w:type="dxa"/>
        <w:tblLayout w:type="fixed"/>
        <w:tblCellMar>
          <w:top w:w="28" w:type="dxa"/>
          <w:left w:w="28" w:type="dxa"/>
          <w:bottom w:w="28" w:type="dxa"/>
          <w:right w:w="28" w:type="dxa"/>
        </w:tblCellMar>
      </w:tblPr>
      <w:tblGrid>
        <w:gridCol w:w="7981"/>
        <w:gridCol w:w="146"/>
        <w:gridCol w:w="1256"/>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7981" w:type="dxa"/>
            <w:tcBorders/>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sz w:val="20"/>
                  <w:u w:val="single"/>
                </w:rPr>
                <w:t>PART I—FINANCIAL INFORMATION</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5</w:t>
            </w:r>
          </w:p>
        </w:tc>
      </w:tr>
      <w:tr>
        <w:trPr/>
        <w:tc>
          <w:tcPr>
            <w:tcW w:w="7981" w:type="dxa"/>
            <w:tcBorders/>
            <w:vAlign w:val="center"/>
          </w:tcPr>
          <w:p>
            <w:pPr>
              <w:pStyle w:val="TableContents"/>
              <w:bidi w:val="0"/>
              <w:spacing w:before="0" w:after="0"/>
              <w:ind w:left="360" w:right="0" w:hanging="0"/>
              <w:jc w:val="left"/>
              <w:rPr/>
            </w:pPr>
            <w:hyperlink w:anchor="item_1_financial_statements">
              <w:r>
                <w:rPr>
                  <w:rStyle w:val="InternetLink"/>
                  <w:rFonts w:ascii="Times New Roman;serif" w:hAnsi="Times New Roman;serif"/>
                  <w:b w:val="false"/>
                  <w:sz w:val="20"/>
                  <w:u w:val="single"/>
                </w:rPr>
                <w:t>Item 1. Financial Statements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1000"/>
              <w:jc w:val="right"/>
              <w:rPr>
                <w:rFonts w:ascii="Times New Roman;serif" w:hAnsi="Times New Roman;serif"/>
                <w:b/>
                <w:sz w:val="20"/>
              </w:rPr>
            </w:pPr>
            <w:r>
              <w:rPr>
                <w:rFonts w:ascii="Times New Roman;serif" w:hAnsi="Times New Roman;serif"/>
                <w:b/>
                <w:sz w:val="20"/>
              </w:rPr>
              <w:t>5</w:t>
            </w:r>
          </w:p>
        </w:tc>
      </w:tr>
      <w:tr>
        <w:trPr/>
        <w:tc>
          <w:tcPr>
            <w:tcW w:w="7981" w:type="dxa"/>
            <w:tcBorders/>
            <w:vAlign w:val="center"/>
          </w:tcPr>
          <w:p>
            <w:pPr>
              <w:pStyle w:val="TableContents"/>
              <w:bidi w:val="0"/>
              <w:spacing w:before="0" w:after="0"/>
              <w:ind w:left="100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1000"/>
              <w:jc w:val="right"/>
              <w:rPr>
                <w:rFonts w:ascii="Times New Roman;serif" w:hAnsi="Times New Roman;serif"/>
                <w:b/>
                <w:sz w:val="20"/>
              </w:rPr>
            </w:pPr>
            <w:r>
              <w:rPr>
                <w:rFonts w:ascii="Times New Roman;serif" w:hAnsi="Times New Roman;serif"/>
                <w:b/>
                <w:sz w:val="20"/>
              </w:rPr>
              <w:t>5</w:t>
            </w:r>
          </w:p>
        </w:tc>
      </w:tr>
      <w:tr>
        <w:trPr/>
        <w:tc>
          <w:tcPr>
            <w:tcW w:w="7981" w:type="dxa"/>
            <w:tcBorders/>
            <w:vAlign w:val="center"/>
          </w:tcPr>
          <w:p>
            <w:pPr>
              <w:pStyle w:val="TableContents"/>
              <w:bidi w:val="0"/>
              <w:spacing w:before="0" w:after="0"/>
              <w:ind w:left="100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Income</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1000"/>
              <w:jc w:val="right"/>
              <w:rPr>
                <w:rFonts w:ascii="Times New Roman;serif" w:hAnsi="Times New Roman;serif"/>
                <w:b/>
                <w:sz w:val="20"/>
              </w:rPr>
            </w:pPr>
            <w:r>
              <w:rPr>
                <w:rFonts w:ascii="Times New Roman;serif" w:hAnsi="Times New Roman;serif"/>
                <w:b/>
                <w:sz w:val="20"/>
              </w:rPr>
              <w:t>6</w:t>
            </w:r>
          </w:p>
        </w:tc>
      </w:tr>
      <w:tr>
        <w:trPr/>
        <w:tc>
          <w:tcPr>
            <w:tcW w:w="7981" w:type="dxa"/>
            <w:tcBorders/>
            <w:vAlign w:val="center"/>
          </w:tcPr>
          <w:p>
            <w:pPr>
              <w:pStyle w:val="TableContents"/>
              <w:bidi w:val="0"/>
              <w:spacing w:before="0" w:after="0"/>
              <w:ind w:left="1000" w:right="0" w:hanging="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1000"/>
              <w:jc w:val="right"/>
              <w:rPr>
                <w:rFonts w:ascii="Times New Roman;serif" w:hAnsi="Times New Roman;serif"/>
                <w:b/>
                <w:sz w:val="20"/>
              </w:rPr>
            </w:pPr>
            <w:r>
              <w:rPr>
                <w:rFonts w:ascii="Times New Roman;serif" w:hAnsi="Times New Roman;serif"/>
                <w:b/>
                <w:sz w:val="20"/>
              </w:rPr>
              <w:t>7</w:t>
            </w:r>
          </w:p>
        </w:tc>
      </w:tr>
      <w:tr>
        <w:trPr/>
        <w:tc>
          <w:tcPr>
            <w:tcW w:w="7981" w:type="dxa"/>
            <w:tcBorders/>
            <w:vAlign w:val="center"/>
          </w:tcPr>
          <w:p>
            <w:pPr>
              <w:pStyle w:val="TableContents"/>
              <w:bidi w:val="0"/>
              <w:spacing w:before="0" w:after="0"/>
              <w:ind w:left="100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1000"/>
              <w:jc w:val="right"/>
              <w:rPr>
                <w:rFonts w:ascii="Times New Roman;serif" w:hAnsi="Times New Roman;serif"/>
                <w:b/>
                <w:sz w:val="20"/>
              </w:rPr>
            </w:pPr>
            <w:r>
              <w:rPr>
                <w:rFonts w:ascii="Times New Roman;serif" w:hAnsi="Times New Roman;serif"/>
                <w:b/>
                <w:sz w:val="20"/>
              </w:rPr>
              <w:t>8</w:t>
            </w:r>
          </w:p>
        </w:tc>
      </w:tr>
      <w:tr>
        <w:trPr/>
        <w:tc>
          <w:tcPr>
            <w:tcW w:w="7981" w:type="dxa"/>
            <w:tcBorders/>
            <w:vAlign w:val="center"/>
          </w:tcPr>
          <w:p>
            <w:pPr>
              <w:pStyle w:val="TableContents"/>
              <w:bidi w:val="0"/>
              <w:spacing w:before="0" w:after="0"/>
              <w:ind w:left="1000" w:right="0" w:hanging="0"/>
              <w:jc w:val="left"/>
              <w:rPr/>
            </w:pPr>
            <w:hyperlink w:anchor="notes_to_condensed_consolidated_financia">
              <w:r>
                <w:rPr>
                  <w:rStyle w:val="InternetLink"/>
                  <w:rFonts w:ascii="Times New Roman;serif" w:hAnsi="Times New Roman;serif"/>
                  <w:b w:val="false"/>
                  <w:sz w:val="20"/>
                  <w:u w:val="single"/>
                </w:rPr>
                <w:t>Notes to the Condensed Consolidated Financial Statements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10</w:t>
            </w:r>
          </w:p>
        </w:tc>
      </w:tr>
      <w:tr>
        <w:trPr/>
        <w:tc>
          <w:tcPr>
            <w:tcW w:w="7981" w:type="dxa"/>
            <w:tcBorders/>
            <w:vAlign w:val="center"/>
          </w:tcPr>
          <w:p>
            <w:pPr>
              <w:pStyle w:val="TableContents"/>
              <w:bidi w:val="0"/>
              <w:spacing w:before="0" w:after="0"/>
              <w:ind w:left="36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31</w:t>
            </w:r>
          </w:p>
        </w:tc>
      </w:tr>
      <w:tr>
        <w:trPr/>
        <w:tc>
          <w:tcPr>
            <w:tcW w:w="7981" w:type="dxa"/>
            <w:tcBorders/>
            <w:vAlign w:val="center"/>
          </w:tcPr>
          <w:p>
            <w:pPr>
              <w:pStyle w:val="TableContents"/>
              <w:bidi w:val="0"/>
              <w:spacing w:before="0" w:after="0"/>
              <w:ind w:left="36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42</w:t>
            </w:r>
          </w:p>
        </w:tc>
      </w:tr>
      <w:tr>
        <w:trPr/>
        <w:tc>
          <w:tcPr>
            <w:tcW w:w="7981" w:type="dxa"/>
            <w:tcBorders/>
            <w:vAlign w:val="center"/>
          </w:tcPr>
          <w:p>
            <w:pPr>
              <w:pStyle w:val="TableContents"/>
              <w:bidi w:val="0"/>
              <w:spacing w:before="0" w:after="0"/>
              <w:ind w:left="360" w:right="0" w:hanging="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43</w:t>
            </w:r>
          </w:p>
        </w:tc>
      </w:tr>
      <w:tr>
        <w:trPr/>
        <w:tc>
          <w:tcPr>
            <w:tcW w:w="7981" w:type="dxa"/>
            <w:tcBorders/>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sz w:val="20"/>
                  <w:u w:val="single"/>
                </w:rPr>
                <w:t>PART II—OTHER INFORMATION</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44</w:t>
            </w:r>
          </w:p>
        </w:tc>
      </w:tr>
      <w:tr>
        <w:trPr/>
        <w:tc>
          <w:tcPr>
            <w:tcW w:w="7981" w:type="dxa"/>
            <w:tcBorders/>
            <w:vAlign w:val="center"/>
          </w:tcPr>
          <w:p>
            <w:pPr>
              <w:pStyle w:val="TableContents"/>
              <w:bidi w:val="0"/>
              <w:spacing w:before="0" w:after="0"/>
              <w:ind w:left="36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44</w:t>
            </w:r>
          </w:p>
        </w:tc>
      </w:tr>
      <w:tr>
        <w:trPr/>
        <w:tc>
          <w:tcPr>
            <w:tcW w:w="7981" w:type="dxa"/>
            <w:tcBorders/>
            <w:vAlign w:val="center"/>
          </w:tcPr>
          <w:p>
            <w:pPr>
              <w:pStyle w:val="TableContents"/>
              <w:bidi w:val="0"/>
              <w:spacing w:before="0" w:after="0"/>
              <w:ind w:left="36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44</w:t>
            </w:r>
          </w:p>
        </w:tc>
      </w:tr>
      <w:tr>
        <w:trPr/>
        <w:tc>
          <w:tcPr>
            <w:tcW w:w="7981" w:type="dxa"/>
            <w:tcBorders/>
            <w:vAlign w:val="center"/>
          </w:tcPr>
          <w:p>
            <w:pPr>
              <w:pStyle w:val="TableContents"/>
              <w:bidi w:val="0"/>
              <w:spacing w:before="0" w:after="0"/>
              <w:ind w:left="360" w:right="0" w:hanging="0"/>
              <w:jc w:val="left"/>
              <w:rPr/>
            </w:pPr>
            <w:hyperlink w:anchor="item_2_sales_of_equity_securities">
              <w:r>
                <w:rPr>
                  <w:rStyle w:val="InternetLink"/>
                  <w:rFonts w:ascii="Times New Roman;serif" w:hAnsi="Times New Roman;serif"/>
                  <w:b w:val="false"/>
                  <w:sz w:val="20"/>
                  <w:u w:val="single"/>
                </w:rPr>
                <w:t>Item 2. Unregistered Sales of Equity Securities and Use of Proceeds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44</w:t>
            </w:r>
          </w:p>
        </w:tc>
      </w:tr>
      <w:tr>
        <w:trPr/>
        <w:tc>
          <w:tcPr>
            <w:tcW w:w="7981" w:type="dxa"/>
            <w:tcBorders/>
            <w:vAlign w:val="center"/>
          </w:tcPr>
          <w:p>
            <w:pPr>
              <w:pStyle w:val="TableContents"/>
              <w:bidi w:val="0"/>
              <w:spacing w:before="0" w:after="0"/>
              <w:ind w:left="36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45</w:t>
            </w:r>
          </w:p>
        </w:tc>
      </w:tr>
      <w:tr>
        <w:trPr/>
        <w:tc>
          <w:tcPr>
            <w:tcW w:w="7981" w:type="dxa"/>
            <w:tcBorders/>
            <w:vAlign w:val="center"/>
          </w:tcPr>
          <w:p>
            <w:pPr>
              <w:pStyle w:val="TableContents"/>
              <w:bidi w:val="0"/>
              <w:spacing w:before="0" w:after="0"/>
              <w:ind w:left="36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45</w:t>
            </w:r>
          </w:p>
        </w:tc>
      </w:tr>
      <w:tr>
        <w:trPr/>
        <w:tc>
          <w:tcPr>
            <w:tcW w:w="7981" w:type="dxa"/>
            <w:tcBorders/>
            <w:vAlign w:val="center"/>
          </w:tcPr>
          <w:p>
            <w:pPr>
              <w:pStyle w:val="TableContents"/>
              <w:bidi w:val="0"/>
              <w:spacing w:before="0" w:after="0"/>
              <w:ind w:left="36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firstLine="360"/>
              <w:jc w:val="right"/>
              <w:rPr>
                <w:rFonts w:ascii="Times New Roman;serif" w:hAnsi="Times New Roman;serif"/>
                <w:b/>
                <w:sz w:val="20"/>
              </w:rPr>
            </w:pPr>
            <w:r>
              <w:rPr>
                <w:rFonts w:ascii="Times New Roman;serif" w:hAnsi="Times New Roman;serif"/>
                <w:b/>
                <w:sz w:val="20"/>
              </w:rPr>
              <w:t>45</w:t>
            </w:r>
          </w:p>
        </w:tc>
      </w:tr>
      <w:tr>
        <w:trPr/>
        <w:tc>
          <w:tcPr>
            <w:tcW w:w="7981" w:type="dxa"/>
            <w:tcBorders/>
            <w:vAlign w:val="center"/>
          </w:tcPr>
          <w:p>
            <w:pPr>
              <w:pStyle w:val="TableContents"/>
              <w:bidi w:val="0"/>
              <w:spacing w:before="0" w:after="0"/>
              <w:ind w:left="360" w:right="0" w:hanging="0"/>
              <w:jc w:val="left"/>
              <w:rPr/>
            </w:pPr>
            <w:hyperlink w:anchor="item_6_exhibits">
              <w:r>
                <w:rPr>
                  <w:rStyle w:val="InternetLink"/>
                  <w:rFonts w:ascii="Times New Roman;serif" w:hAnsi="Times New Roman;serif"/>
                  <w:b w:val="false"/>
                  <w:sz w:val="20"/>
                  <w:u w:val="single"/>
                </w:rPr>
                <w:t>Item 6. Exhibits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46</w:t>
            </w:r>
          </w:p>
        </w:tc>
      </w:tr>
      <w:tr>
        <w:trPr/>
        <w:tc>
          <w:tcPr>
            <w:tcW w:w="7981" w:type="dxa"/>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sz w:val="20"/>
                  <w:u w:val="single"/>
                </w:rPr>
                <w:t>SIGNATURES</w:t>
              </w:r>
            </w:hyperlink>
          </w:p>
        </w:tc>
        <w:tc>
          <w:tcPr>
            <w:tcW w:w="1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48</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 for the year ended December 31, 2022.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Factors that could cause actual results to differ materially from those expressed or implied in forward-looking statements include, among other things: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customer concentration in our Commercial Services and Government Solutions segments;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manage our substantial level of indebtedness;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risks and uncertainties related to our government contracts, including legislative changes, termination rights, delays in payments, audits and investigations;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decreases in the prevalence of automated and other similar methods of photo enforcement, parking solutions or the use of tolling;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keep up with technological developments and changing customer preferences;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compete in a highly competitive and rapidly evolving market;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decreased interest in outsourcing from our customers;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success of our new products and changes to existing products and services;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successfully implement our acquisition strategy or integrate acquisitions;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in or breaches of our networks or systems, including as a result of cyber-attacks;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manage the risks, uncertainties and exposures related to our international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acquire necessary intellectual property and adequately protect our existing intellectual property;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risks and uncertainties related to our share repurchase program;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reliance on a limited number of third-party vendors and service providers;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maintain an effective system of internal controls;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risks and uncertainties related to litigation, disputes and regulatory investigations;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properly perform under our contracts and otherwise satisfy our customers;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impact of COVID-19 on our business and results of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You should not rely 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occur. Moreover, we operate in a very competitive and rapidly changing environment and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We undertake no obligation to update any of these forward-looking statements for any reason after the date of this Quarterly Report on Form 10-Q or to conform these statements to actual results or revised expectations.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Annual Report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Unless the context indicates otherwise, the terms “Verra Mobility,” the “Company,” “we,” “us,” and “our” as used in this Quarterly Report on Form 10-Q refer to Verra Mobility Corporation, a Delaware corporation, and its subsidiaries taken as a whole.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caps/>
          <w:sz w:val="20"/>
        </w:rPr>
      </w:pPr>
      <w:bookmarkStart w:id="2" w:name="part_ifinancial_information"/>
      <w:bookmarkEnd w:id="2"/>
      <w:r>
        <w:rPr>
          <w:rFonts w:ascii="Times New Roman;serif" w:hAnsi="Times New Roman;serif"/>
          <w:b/>
          <w:caps/>
          <w:sz w:val="20"/>
        </w:rPr>
        <w:t>Part I—Financial Information</w:t>
      </w:r>
    </w:p>
    <w:p>
      <w:pPr>
        <w:pStyle w:val="TextBody"/>
        <w:bidi w:val="0"/>
        <w:spacing w:before="20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20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left"/>
        <w:rPr/>
      </w:pPr>
      <w:r>
        <w:rPr/>
        <w:t> </w:t>
      </w:r>
    </w:p>
    <w:tbl>
      <w:tblPr>
        <w:tblW w:w="9359" w:type="dxa"/>
        <w:jc w:val="left"/>
        <w:tblInd w:w="0" w:type="dxa"/>
        <w:tblLayout w:type="fixed"/>
        <w:tblCellMar>
          <w:top w:w="28" w:type="dxa"/>
          <w:left w:w="28" w:type="dxa"/>
          <w:bottom w:w="28" w:type="dxa"/>
          <w:right w:w="28" w:type="dxa"/>
        </w:tblCellMar>
      </w:tblPr>
      <w:tblGrid>
        <w:gridCol w:w="6226"/>
        <w:gridCol w:w="146"/>
        <w:gridCol w:w="211"/>
        <w:gridCol w:w="931"/>
        <w:gridCol w:w="166"/>
        <w:gridCol w:w="146"/>
        <w:gridCol w:w="211"/>
        <w:gridCol w:w="931"/>
        <w:gridCol w:w="39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 except per share data)</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firstLine="100"/>
              <w:jc w:val="center"/>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105,204</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credit losses of $20.1</w:t>
            </w:r>
            <w:r>
              <w:rPr>
                <w:rFonts w:ascii="Times New Roman" w:hAnsi="Times New Roman"/>
                <w:sz w:val="20"/>
              </w:rPr>
              <w:t> </w:t>
            </w:r>
            <w:r>
              <w:rPr>
                <w:rFonts w:ascii="Times New Roman;serif" w:hAnsi="Times New Roman;serif"/>
                <w:b w:val="false"/>
                <w:sz w:val="20"/>
              </w:rPr>
              <w:t>million and</w:t>
              <w:br/>
              <w:t>$15.9</w:t>
            </w:r>
            <w:r>
              <w:rPr>
                <w:rFonts w:ascii="Times New Roman" w:hAnsi="Times New Roman"/>
                <w:sz w:val="20"/>
              </w:rPr>
              <w:t> </w:t>
            </w:r>
            <w:r>
              <w:rPr>
                <w:rFonts w:ascii="Times New Roman;serif" w:hAnsi="Times New Roman;serif"/>
                <w:b w:val="false"/>
                <w:sz w:val="20"/>
              </w:rPr>
              <w:t>million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179,944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163,786</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30,782</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19,307</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362,594</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Installation and service parts,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22,923</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109,775</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37,593</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377,420</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835,323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833,480</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1,906,160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1,756,269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79,869</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31,164</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48,847</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 liability,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4,994</w:t>
            </w:r>
          </w:p>
        </w:tc>
        <w:tc>
          <w:tcPr>
            <w:tcW w:w="391" w:type="dxa"/>
            <w:tcBorders/>
            <w:vAlign w:val="center"/>
          </w:tcPr>
          <w:p>
            <w:pPr>
              <w:pStyle w:val="TableContents"/>
              <w:bidi w:val="0"/>
              <w:spacing w:before="0" w:after="0"/>
              <w:ind w:left="0" w:right="0" w:firstLine="200"/>
              <w:jc w:val="left"/>
              <w:rPr/>
            </w:pPr>
            <w:r>
              <w:rPr/>
              <w:t> </w:t>
            </w:r>
          </w:p>
        </w:tc>
      </w:tr>
      <w:tr>
        <w:trPr/>
        <w:tc>
          <w:tcPr>
            <w:tcW w:w="6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180,809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186,809</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1,190,045</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33,362</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Tax receivable agreement liability,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50,900</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Private placement warrant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24,066</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Asset retirement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12,993</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tax liabilities,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21,149</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1,440,860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1,525,199</w:t>
            </w:r>
          </w:p>
        </w:tc>
        <w:tc>
          <w:tcPr>
            <w:tcW w:w="39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13)</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622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Common stock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36,575</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533,626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305,423</w:t>
            </w:r>
          </w:p>
        </w:tc>
        <w:tc>
          <w:tcPr>
            <w:tcW w:w="391" w:type="dxa"/>
            <w:tcBorders/>
            <w:vAlign w:val="center"/>
          </w:tcPr>
          <w:p>
            <w:pPr>
              <w:pStyle w:val="TableContents"/>
              <w:bidi w:val="0"/>
              <w:spacing w:before="0" w:after="0"/>
              <w:ind w:left="0" w:right="0" w:firstLine="100"/>
              <w:jc w:val="left"/>
              <w:rPr/>
            </w:pPr>
            <w:r>
              <w:rPr/>
              <w:t> </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(98,078</w:t>
            </w:r>
          </w:p>
        </w:tc>
        <w:tc>
          <w:tcPr>
            <w:tcW w:w="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1,906,160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1,756,269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See accompanying Notes to the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AND COMPREHENSIVE INCOME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844"/>
        <w:gridCol w:w="146"/>
        <w:gridCol w:w="211"/>
        <w:gridCol w:w="781"/>
        <w:gridCol w:w="166"/>
        <w:gridCol w:w="146"/>
        <w:gridCol w:w="211"/>
        <w:gridCol w:w="781"/>
        <w:gridCol w:w="166"/>
        <w:gridCol w:w="146"/>
        <w:gridCol w:w="211"/>
        <w:gridCol w:w="781"/>
        <w:gridCol w:w="166"/>
        <w:gridCol w:w="146"/>
        <w:gridCol w:w="211"/>
        <w:gridCol w:w="781"/>
        <w:gridCol w:w="31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 except per share data)</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196,050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174,502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380,748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335,636</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8,411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12,985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22,236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sz w:val="19"/>
              </w:rPr>
            </w:pPr>
            <w:r>
              <w:rPr>
                <w:rFonts w:ascii="Times New Roman;serif" w:hAnsi="Times New Roman;serif"/>
                <w:b/>
                <w:sz w:val="19"/>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204,461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187,487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396,364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357,872</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7,492</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Cost of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11,345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14,321</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65,657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127,500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106,259</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81,787</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Depreciation, amortization and (gain) loss on disposal of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29,088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34,939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59,421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70,846</w:t>
            </w:r>
          </w:p>
        </w:tc>
        <w:tc>
          <w:tcPr>
            <w:tcW w:w="311" w:type="dxa"/>
            <w:tcBorders/>
            <w:vAlign w:val="center"/>
          </w:tcPr>
          <w:p>
            <w:pPr>
              <w:pStyle w:val="TableContents"/>
              <w:bidi w:val="0"/>
              <w:spacing w:before="0" w:after="0"/>
              <w:ind w:left="0" w:right="0" w:firstLine="100"/>
              <w:jc w:val="lef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19"/>
              </w:rPr>
            </w:pPr>
            <w:r>
              <w:rPr>
                <w:rFonts w:ascii="Times New Roman;serif" w:hAnsi="Times New Roman;serif"/>
                <w:b w:val="false"/>
                <w:sz w:val="19"/>
              </w:rPr>
              <w:t>Total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148,250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142,326</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290,052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280,705</w:t>
            </w:r>
          </w:p>
        </w:tc>
        <w:tc>
          <w:tcPr>
            <w:tcW w:w="3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sz w:val="19"/>
              </w:rPr>
            </w:pPr>
            <w:r>
              <w:rPr>
                <w:rFonts w:ascii="Times New Roman;serif" w:hAnsi="Times New Roman;serif"/>
                <w:b/>
                <w:sz w:val="19"/>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45,161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106,312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77,167</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22,771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28,764</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(6,600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(2,866</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Tax receivable agreement liability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(965</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(8,268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(6,905</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9"/>
              </w:rPr>
            </w:pPr>
            <w:r>
              <w:rPr>
                <w:rFonts w:ascii="Times New Roman;serif" w:hAnsi="Times New Roman;serif"/>
                <w:b w:val="false"/>
                <w:sz w:val="19"/>
              </w:rPr>
              <w:t>)</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val="false"/>
                <w:sz w:val="19"/>
              </w:rPr>
            </w:pPr>
            <w:r>
              <w:rPr>
                <w:rFonts w:ascii="Times New Roman;serif" w:hAnsi="Times New Roman;serif"/>
                <w:b w:val="false"/>
                <w:sz w:val="19"/>
              </w:rPr>
              <w:t>Total other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24,581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18,028</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31,630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42,280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44,052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59,139</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tax provision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12,639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20,367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19,458</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sz w:val="19"/>
              </w:rPr>
            </w:pPr>
            <w:r>
              <w:rPr>
                <w:rFonts w:ascii="Times New Roman;serif" w:hAnsi="Times New Roman;serif"/>
                <w:b/>
                <w:sz w:val="19"/>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29,641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39,681</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hanging="0"/>
              <w:jc w:val="righ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 in 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(10,381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(7,673</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19"/>
              </w:rPr>
            </w:pPr>
            <w:r>
              <w:rPr>
                <w:rFonts w:ascii="Times New Roman;serif" w:hAnsi="Times New Roman;serif"/>
                <w:b w:val="false"/>
                <w:sz w:val="19"/>
              </w:rPr>
              <w:t>)</w:t>
            </w:r>
          </w:p>
        </w:tc>
      </w:tr>
      <w:tr>
        <w:trPr/>
        <w:tc>
          <w:tcPr>
            <w:tcW w:w="4844" w:type="dxa"/>
            <w:tcBorders/>
            <w:vAlign w:val="center"/>
          </w:tcPr>
          <w:p>
            <w:pPr>
              <w:pStyle w:val="TableContents"/>
              <w:bidi w:val="0"/>
              <w:spacing w:before="0" w:after="0"/>
              <w:ind w:left="100" w:right="0" w:hanging="0"/>
              <w:jc w:val="left"/>
              <w:rPr>
                <w:rFonts w:ascii="Times New Roman;serif" w:hAnsi="Times New Roman;serif"/>
                <w:b/>
                <w:sz w:val="19"/>
              </w:rPr>
            </w:pPr>
            <w:r>
              <w:rPr>
                <w:rFonts w:ascii="Times New Roman;serif" w:hAnsi="Times New Roman;serif"/>
                <w:b/>
                <w:sz w:val="19"/>
              </w:rPr>
              <w:t>Total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19,826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19,260</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24,313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32,008</w:t>
            </w:r>
          </w:p>
        </w:tc>
        <w:tc>
          <w:tcPr>
            <w:tcW w:w="3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Net income per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hanging="0"/>
              <w:jc w:val="righ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0.26</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0.23</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Weighted average shares outstanding:</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hanging="0"/>
              <w:jc w:val="righ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151,132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154,694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150,151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155,408</w:t>
            </w:r>
          </w:p>
        </w:tc>
        <w:tc>
          <w:tcPr>
            <w:tcW w:w="311" w:type="dxa"/>
            <w:tcBorders/>
            <w:vAlign w:val="center"/>
          </w:tcPr>
          <w:p>
            <w:pPr>
              <w:pStyle w:val="TableContents"/>
              <w:bidi w:val="0"/>
              <w:spacing w:before="0" w:after="0"/>
              <w:ind w:left="0" w:right="0" w:hanging="0"/>
              <w:jc w:val="left"/>
              <w:rPr/>
            </w:pPr>
            <w:r>
              <w:rPr/>
              <w:t> </w:t>
            </w:r>
          </w:p>
        </w:tc>
      </w:tr>
      <w:tr>
        <w:trPr/>
        <w:tc>
          <w:tcPr>
            <w:tcW w:w="48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152,590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160,344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151,586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161,507</w:t>
            </w:r>
          </w:p>
        </w:tc>
        <w:tc>
          <w:tcPr>
            <w:tcW w:w="3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See accompanying Notes to the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sz w:val="20"/>
        </w:rPr>
      </w:pPr>
      <w:bookmarkStart w:id="6" w:name="condensed_consolidated_statements_stockh"/>
      <w:bookmarkEnd w:id="6"/>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pPr>
      <w:r>
        <w:rPr/>
        <w:t> </w:t>
      </w:r>
    </w:p>
    <w:tbl>
      <w:tblPr>
        <w:tblW w:w="10244"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49"/>
        <w:gridCol w:w="442"/>
        <w:gridCol w:w="166"/>
        <w:gridCol w:w="146"/>
        <w:gridCol w:w="256"/>
        <w:gridCol w:w="870"/>
        <w:gridCol w:w="166"/>
        <w:gridCol w:w="146"/>
        <w:gridCol w:w="196"/>
        <w:gridCol w:w="691"/>
        <w:gridCol w:w="166"/>
        <w:gridCol w:w="146"/>
        <w:gridCol w:w="240"/>
        <w:gridCol w:w="811"/>
        <w:gridCol w:w="166"/>
        <w:gridCol w:w="146"/>
        <w:gridCol w:w="278"/>
        <w:gridCol w:w="938"/>
        <w:gridCol w:w="166"/>
        <w:gridCol w:w="146"/>
        <w:gridCol w:w="228"/>
        <w:gridCol w:w="808"/>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33" w:type="dxa"/>
            <w:gridSpan w:val="28"/>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For the Three and Six Months Ended June 30, 2023</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Common</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Common</w:t>
              <w:br/>
              <w:t>Stock</w:t>
              <w:br/>
              <w:t>Contingent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(In thousands)</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Consideration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148,962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305,423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(98,078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(12,865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231,070</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4,577</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 w:hAnsi="Times New Roman"/>
                <w:sz w:val="17"/>
              </w:rPr>
            </w:pPr>
            <w:r>
              <w:rPr>
                <w:rFonts w:ascii="Times New Roman;serif" w:hAnsi="Times New Roman;serif"/>
                <w:b w:val="false"/>
                <w:sz w:val="17"/>
              </w:rPr>
              <w:t>Vesting of restricted stock units ("</w:t>
            </w:r>
            <w:r>
              <w:rPr>
                <w:rFonts w:ascii="Times New Roman;serif" w:hAnsi="Times New Roman;serif"/>
                <w:b/>
                <w:i/>
                <w:sz w:val="17"/>
              </w:rPr>
              <w:t>RSU</w:t>
            </w:r>
            <w:r>
              <w:rPr>
                <w:rFonts w:ascii="Times New Roman;serif" w:hAnsi="Times New Roman;serif"/>
                <w:b w:val="false"/>
                <w:sz w:val="17"/>
              </w:rPr>
              <w:t>s") and performance share units ("</w:t>
            </w:r>
            <w:r>
              <w:rPr>
                <w:rFonts w:ascii="Times New Roman;serif" w:hAnsi="Times New Roman;serif"/>
                <w:b/>
                <w:i/>
                <w:sz w:val="17"/>
              </w:rPr>
              <w:t>PSU</w:t>
            </w:r>
            <w:r>
              <w:rPr>
                <w:rFonts w:ascii="Times New Roman;serif" w:hAnsi="Times New Roman;serif"/>
                <w:b w:val="false"/>
                <w:sz w:val="17"/>
              </w:rPr>
              <w: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699</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Payment of employee tax withholding related to RSUs and PSUs vesting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Exercise of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3,378</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comprehensive loss,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149,961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306,974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(93,501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(12,955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237,108</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19,108</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Earn-out shares issued to Platinum Stockholder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(18,288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Vesting of RSUs and PSUs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1,689</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Payment of employee tax withholding related to RSUs and PSUs vesting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Exercise of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202,652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202,654</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4,525</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comprehensive income,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166,917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18,287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533,626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(74,393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(12,237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465,300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10033" w:type="dxa"/>
            <w:gridSpan w:val="28"/>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For the Three and Six Months Ended June 30, 2022</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156,079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309,883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(81,416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259,964</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10,040</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Vesting of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Payment of employee tax withholding related to RSUs vesting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4,446</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comprehensive income,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156,240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312,986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(71,376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275,815</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29,641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29,641</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Share repurchases and retirement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(6,163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(49,117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(55,281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Vesting of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Payment of employee tax withholding related to RSUs vesting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4,566</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comprehensive loss,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(10,381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153,220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36,575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311,252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(90,852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(12,767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244,223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caps/>
          <w:sz w:val="20"/>
        </w:rPr>
      </w:pPr>
      <w:bookmarkStart w:id="7" w:name="condensed_consolidated_statements_cash_f"/>
      <w:bookmarkEnd w:id="7"/>
      <w:r>
        <w:rPr>
          <w:rFonts w:ascii="Times New Roman;serif" w:hAnsi="Times New Roman;serif"/>
          <w:b/>
          <w:caps/>
          <w:sz w:val="20"/>
        </w:rPr>
        <w:t>condensed consolidated Statements of Cash Flows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left"/>
        <w:rPr/>
      </w:pPr>
      <w:r>
        <w:rPr/>
        <w:t> </w:t>
      </w:r>
    </w:p>
    <w:tbl>
      <w:tblPr>
        <w:tblW w:w="9574" w:type="dxa"/>
        <w:jc w:val="left"/>
        <w:tblInd w:w="0" w:type="dxa"/>
        <w:tblLayout w:type="fixed"/>
        <w:tblCellMar>
          <w:top w:w="28" w:type="dxa"/>
          <w:left w:w="28" w:type="dxa"/>
          <w:bottom w:w="28" w:type="dxa"/>
          <w:right w:w="28" w:type="dxa"/>
        </w:tblCellMar>
      </w:tblPr>
      <w:tblGrid>
        <w:gridCol w:w="6721"/>
        <w:gridCol w:w="146"/>
        <w:gridCol w:w="211"/>
        <w:gridCol w:w="781"/>
        <w:gridCol w:w="166"/>
        <w:gridCol w:w="146"/>
        <w:gridCol w:w="211"/>
        <w:gridCol w:w="781"/>
        <w:gridCol w:w="4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39,681</w:t>
            </w:r>
          </w:p>
        </w:tc>
        <w:tc>
          <w:tcPr>
            <w:tcW w:w="4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70,215</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deferred financing costs and discounts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2,693</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 liability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Credit loss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7,036</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9,012</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w:t>
            </w:r>
          </w:p>
        </w:tc>
        <w:tc>
          <w:tcPr>
            <w:tcW w:w="4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8,931</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96,375</w:t>
            </w:r>
          </w:p>
        </w:tc>
        <w:tc>
          <w:tcPr>
            <w:tcW w:w="4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for interest rate swap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installation and service parts and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(22,724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proceeds from the sale of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(23,299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on the revolver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exercise of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 repurchases and retirement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(55,281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exercise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4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employee tax withholding related to RSUs and PSUs vesting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104,432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213,499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90,561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CASH FLOWS (Continued)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600"/>
        <w:gridCol w:w="146"/>
        <w:gridCol w:w="211"/>
        <w:gridCol w:w="676"/>
        <w:gridCol w:w="146"/>
        <w:gridCol w:w="146"/>
        <w:gridCol w:w="211"/>
        <w:gridCol w:w="676"/>
        <w:gridCol w:w="393"/>
      </w:tblGrid>
      <w:tr>
        <w:trPr/>
        <w:tc>
          <w:tcPr>
            <w:tcW w:w="7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60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7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26,036</w:t>
            </w:r>
          </w:p>
        </w:tc>
        <w:tc>
          <w:tcPr>
            <w:tcW w:w="393" w:type="dxa"/>
            <w:tcBorders/>
            <w:vAlign w:val="center"/>
          </w:tcPr>
          <w:p>
            <w:pPr>
              <w:pStyle w:val="TableContents"/>
              <w:bidi w:val="0"/>
              <w:spacing w:before="0" w:after="0"/>
              <w:ind w:left="0" w:right="0" w:firstLine="200"/>
              <w:jc w:val="left"/>
              <w:rPr/>
            </w:pPr>
            <w:r>
              <w:rPr/>
              <w:t> </w:t>
            </w:r>
          </w:p>
        </w:tc>
      </w:tr>
      <w:tr>
        <w:trPr/>
        <w:tc>
          <w:tcPr>
            <w:tcW w:w="7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paid, net of refunds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26,027</w:t>
            </w:r>
          </w:p>
        </w:tc>
        <w:tc>
          <w:tcPr>
            <w:tcW w:w="393" w:type="dxa"/>
            <w:tcBorders/>
            <w:vAlign w:val="center"/>
          </w:tcPr>
          <w:p>
            <w:pPr>
              <w:pStyle w:val="TableContents"/>
              <w:bidi w:val="0"/>
              <w:spacing w:before="0" w:after="0"/>
              <w:ind w:left="0" w:right="0" w:hanging="0"/>
              <w:jc w:val="left"/>
              <w:rPr/>
            </w:pPr>
            <w:r>
              <w:rPr/>
              <w:t> </w:t>
            </w:r>
          </w:p>
        </w:tc>
      </w:tr>
      <w:tr>
        <w:trPr/>
        <w:tc>
          <w:tcPr>
            <w:tcW w:w="7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7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Earn-out shares issued to Platinum Stockholder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firstLine="200"/>
              <w:jc w:val="left"/>
              <w:rPr/>
            </w:pPr>
            <w:r>
              <w:rPr/>
              <w:t> </w:t>
            </w:r>
          </w:p>
        </w:tc>
      </w:tr>
      <w:tr>
        <w:trPr/>
        <w:tc>
          <w:tcPr>
            <w:tcW w:w="7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installation and service parts and property and equipment in accounts payable and accrued liabilities at period-end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4,617</w:t>
            </w:r>
          </w:p>
        </w:tc>
        <w:tc>
          <w:tcPr>
            <w:tcW w:w="393" w:type="dxa"/>
            <w:tcBorders/>
            <w:vAlign w:val="center"/>
          </w:tcPr>
          <w:p>
            <w:pPr>
              <w:pStyle w:val="TableContents"/>
              <w:bidi w:val="0"/>
              <w:spacing w:before="0" w:after="0"/>
              <w:ind w:left="0" w:right="0" w:firstLine="200"/>
              <w:jc w:val="left"/>
              <w:rPr/>
            </w:pPr>
            <w:r>
              <w:rPr/>
              <w:t> </w:t>
            </w:r>
          </w:p>
        </w:tc>
      </w:tr>
      <w:tr>
        <w:trPr/>
        <w:tc>
          <w:tcPr>
            <w:tcW w:w="7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receivable from the exercise of warrants at period-end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firstLine="200"/>
              <w:jc w:val="left"/>
              <w:rPr/>
            </w:pPr>
            <w:r>
              <w:rPr/>
              <w:t> </w:t>
            </w:r>
          </w:p>
        </w:tc>
      </w:tr>
      <w:tr>
        <w:trPr/>
        <w:tc>
          <w:tcPr>
            <w:tcW w:w="7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of private placement warrant liabilities to additional paid-in capital upon exercise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caps/>
          <w:sz w:val="20"/>
        </w:rPr>
      </w:pPr>
      <w:r>
        <w:rPr>
          <w:rFonts w:ascii="Times New Roman;serif" w:hAnsi="Times New Roman;serif"/>
          <w:b/>
          <w:caps/>
          <w:sz w:val="20"/>
        </w:rPr>
        <w:t>VERRA MOBILITY CORPORATION</w:t>
      </w:r>
    </w:p>
    <w:p>
      <w:pPr>
        <w:pStyle w:val="TextBody"/>
        <w:bidi w:val="0"/>
        <w:spacing w:before="0" w:after="0"/>
        <w:jc w:val="center"/>
        <w:rPr>
          <w:rFonts w:ascii="Times New Roman;serif" w:hAnsi="Times New Roman;serif"/>
          <w:b/>
          <w:caps/>
          <w:sz w:val="20"/>
        </w:rPr>
      </w:pPr>
      <w:bookmarkStart w:id="8" w:name="notes_to_condensed_consolidated_financia"/>
      <w:bookmarkEnd w:id="8"/>
      <w:r>
        <w:rPr>
          <w:rFonts w:ascii="Times New Roman;serif" w:hAnsi="Times New Roman;serif"/>
          <w:b/>
          <w:caps/>
          <w:sz w:val="20"/>
        </w:rPr>
        <w:t>Notes to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1. Description of Business</w:t>
      </w:r>
    </w:p>
    <w:p>
      <w:pPr>
        <w:pStyle w:val="TextBody"/>
        <w:bidi w:val="0"/>
        <w:spacing w:before="120" w:after="0"/>
        <w:jc w:val="both"/>
        <w:rPr>
          <w:rFonts w:ascii="Times New Roman" w:hAnsi="Times New Roman"/>
          <w:sz w:val="20"/>
        </w:rPr>
      </w:pPr>
      <w:r>
        <w:rPr>
          <w:rFonts w:ascii="Times New Roman;serif" w:hAnsi="Times New Roman;serif"/>
          <w:b w:val="false"/>
          <w:sz w:val="20"/>
        </w:rPr>
        <w:t>Verra Mobility Corporation (collectively with its subsidiaries, the “</w:t>
      </w:r>
      <w:r>
        <w:rPr>
          <w:rFonts w:ascii="Times New Roman;serif" w:hAnsi="Times New Roman;serif"/>
          <w:b/>
          <w:i/>
          <w:sz w:val="20"/>
        </w:rPr>
        <w:t>Company</w:t>
      </w:r>
      <w:r>
        <w:rPr>
          <w:rFonts w:ascii="Times New Roman" w:hAnsi="Times New Roman"/>
          <w:sz w:val="20"/>
        </w:rPr>
        <w:t xml:space="preserve">” </w:t>
      </w:r>
      <w:r>
        <w:rPr>
          <w:rFonts w:ascii="Times New Roman;serif" w:hAnsi="Times New Roman;serif"/>
          <w:b w:val="false"/>
          <w:sz w:val="20"/>
        </w:rPr>
        <w:t>or “</w:t>
      </w:r>
      <w:r>
        <w:rPr>
          <w:rFonts w:ascii="Times New Roman;serif" w:hAnsi="Times New Roman;serif"/>
          <w:b/>
          <w:i/>
          <w:sz w:val="20"/>
        </w:rPr>
        <w:t>Verra Mobility</w:t>
      </w:r>
      <w:r>
        <w:rPr>
          <w:rFonts w:ascii="Times New Roman" w:hAnsi="Times New Roman"/>
          <w:sz w:val="20"/>
        </w:rPr>
        <w:t>”</w:t>
      </w:r>
      <w:r>
        <w:rPr>
          <w:rFonts w:ascii="Times New Roman;serif" w:hAnsi="Times New Roman;serif"/>
          <w:b w:val="false"/>
          <w:sz w:val="20"/>
        </w:rPr>
        <w:t>) offers integrated technology solutions and services to its customers who are located throughout the world, primarily within the United States, Australia, Canada and Europe. The Company is organized into three</w:t>
      </w:r>
      <w:r>
        <w:rPr>
          <w:rFonts w:ascii="Times New Roman" w:hAnsi="Times New Roman"/>
          <w:sz w:val="20"/>
        </w:rPr>
        <w:t xml:space="preserve"> </w:t>
      </w:r>
      <w:r>
        <w:rPr>
          <w:rFonts w:ascii="Times New Roman;serif" w:hAnsi="Times New Roman;serif"/>
          <w:b w:val="false"/>
          <w:sz w:val="20"/>
        </w:rPr>
        <w:t xml:space="preserve">operating segments: Commercial Services, Government Solutions and Parking Solutions (see Note 14. </w:t>
      </w:r>
      <w:r>
        <w:rPr>
          <w:rFonts w:ascii="Times New Roman;serif" w:hAnsi="Times New Roman;serif"/>
          <w:b w:val="false"/>
          <w:i/>
          <w:sz w:val="20"/>
        </w:rPr>
        <w:t>Segment Reporting</w:t>
      </w:r>
      <w:r>
        <w:rPr>
          <w:rFonts w:ascii="Times New Roman;serif" w:hAnsi="Times New Roman;serif"/>
          <w:b w:val="false"/>
          <w:sz w:val="20"/>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Company’s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and consumer tolling services through Pagatelia S.L.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Company’s Government Solutions segment offers photo enforcement solutions and services to its customers.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related maintenance services.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Company’s Parking Solutions segment offers an integrated suite of parking software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was originally incorporated in Delaware on August 15, 2016, under the name “Gores Holdings II, Inc.” (“</w:t>
      </w:r>
      <w:r>
        <w:rPr>
          <w:rFonts w:ascii="Times New Roman;serif" w:hAnsi="Times New Roman;serif"/>
          <w:b/>
          <w:i/>
          <w:sz w:val="20"/>
        </w:rPr>
        <w:t>Gores</w:t>
      </w:r>
      <w:r>
        <w:rPr>
          <w:rFonts w:ascii="Times New Roman" w:hAnsi="Times New Roman"/>
          <w:sz w:val="20"/>
        </w:rPr>
        <w:t>”</w:t>
      </w:r>
      <w:r>
        <w:rPr>
          <w:rFonts w:ascii="Times New Roman;serif" w:hAnsi="Times New Roman;serif"/>
          <w:b w:val="false"/>
          <w:sz w:val="20"/>
        </w:rPr>
        <w:t>) as a special purpose acquisition company. On January 19, 2017, Gores consummated its initial public offering (the “</w:t>
      </w:r>
      <w:r>
        <w:rPr>
          <w:rFonts w:ascii="Times New Roman;serif" w:hAnsi="Times New Roman;serif"/>
          <w:b/>
          <w:i/>
          <w:sz w:val="20"/>
        </w:rPr>
        <w:t>IPO</w:t>
      </w:r>
      <w:r>
        <w:rPr>
          <w:rFonts w:ascii="Times New Roman" w:hAnsi="Times New Roman"/>
          <w:sz w:val="20"/>
        </w:rPr>
        <w:t>”</w:t>
      </w:r>
      <w:r>
        <w:rPr>
          <w:rFonts w:ascii="Times New Roman;serif" w:hAnsi="Times New Roman;serif"/>
          <w:b w:val="false"/>
          <w:sz w:val="20"/>
        </w:rPr>
        <w:t>), following which its shares began trading on Nasdaq. On June 21, 2018, Gores entered into an Agreement and Plan of Merger (as amended, the “</w:t>
      </w:r>
      <w:r>
        <w:rPr>
          <w:rFonts w:ascii="Times New Roman;serif" w:hAnsi="Times New Roman;serif"/>
          <w:b/>
          <w:i/>
          <w:sz w:val="20"/>
        </w:rPr>
        <w:t>Merger Agreement</w:t>
      </w:r>
      <w:r>
        <w:rPr>
          <w:rFonts w:ascii="Times New Roman" w:hAnsi="Times New Roman"/>
          <w:sz w:val="20"/>
        </w:rPr>
        <w:t>”</w:t>
      </w:r>
      <w:r>
        <w:rPr>
          <w:rFonts w:ascii="Times New Roman;serif" w:hAnsi="Times New Roman;serif"/>
          <w:b w:val="false"/>
          <w:sz w:val="20"/>
        </w:rPr>
        <w:t>) with Greenlight Holding II Corporation, PE Greenlight Holdings, LLC (the “</w:t>
      </w:r>
      <w:r>
        <w:rPr>
          <w:rFonts w:ascii="Times New Roman;serif" w:hAnsi="Times New Roman;serif"/>
          <w:b/>
          <w:i/>
          <w:sz w:val="20"/>
        </w:rPr>
        <w:t>Platinum Stockholder</w:t>
      </w:r>
      <w:r>
        <w:rPr>
          <w:rFonts w:ascii="Times New Roman" w:hAnsi="Times New Roman"/>
          <w:sz w:val="20"/>
        </w:rPr>
        <w:t>”</w:t>
      </w:r>
      <w:r>
        <w:rPr>
          <w:rFonts w:ascii="Times New Roman;serif" w:hAnsi="Times New Roman;serif"/>
          <w:b w:val="false"/>
          <w:sz w:val="20"/>
        </w:rPr>
        <w:t>), AM Merger Sub I, Inc., a direct, wholly owned subsidiary of Gores, and AM Merger Sub II, LLC, a direct, wholly owned subsidiary of Gores. On October 17, 2018, the Company consummated the transactions contemplated by the Merger Agreement (the “</w:t>
      </w:r>
      <w:r>
        <w:rPr>
          <w:rFonts w:ascii="Times New Roman;serif" w:hAnsi="Times New Roman;serif"/>
          <w:b/>
          <w:i/>
          <w:sz w:val="20"/>
        </w:rPr>
        <w:t>Business Combination</w:t>
      </w:r>
      <w:r>
        <w:rPr>
          <w:rFonts w:ascii="Times New Roman" w:hAnsi="Times New Roman"/>
          <w:sz w:val="20"/>
        </w:rPr>
        <w:t>”</w:t>
      </w:r>
      <w:r>
        <w:rPr>
          <w:rFonts w:ascii="Times New Roman;serif" w:hAnsi="Times New Roman;serif"/>
          <w:b w:val="false"/>
          <w:sz w:val="20"/>
        </w:rPr>
        <w:t>) and changed its name to “Verra Mobility Corporation.” As a result of the Business Combination, Verra Mobility Corporation became the owner, directly or indirectly, of all of the equity interests of Verra Mobility Holdings, LLC and its subsidiaries.</w:t>
      </w:r>
    </w:p>
    <w:p>
      <w:pPr>
        <w:pStyle w:val="TextBody"/>
        <w:bidi w:val="0"/>
        <w:spacing w:before="360" w:after="0"/>
        <w:jc w:val="both"/>
        <w:rPr>
          <w:rFonts w:ascii="Times New Roman" w:hAnsi="Times New Roman"/>
          <w:sz w:val="20"/>
        </w:rPr>
      </w:pPr>
      <w:r>
        <w:rPr>
          <w:rFonts w:ascii="Times New Roman;serif" w:hAnsi="Times New Roman;serif"/>
          <w:b/>
          <w:sz w:val="20"/>
        </w:rPr>
        <w:t>2. Significant Accounting Policies</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both"/>
        <w:rPr>
          <w:rFonts w:ascii="Times New Roman" w:hAnsi="Times New Roman"/>
          <w:sz w:val="20"/>
        </w:rPr>
      </w:pPr>
      <w:r>
        <w:rPr>
          <w:rFonts w:ascii="Times New Roman;serif" w:hAnsi="Times New Roman;serif"/>
          <w:b w:val="false"/>
          <w:sz w:val="20"/>
        </w:rPr>
        <w:t>The accompanying unaudited condensed consolidated financial statements include the accounts of the Company prepared in accordance with generally accepted accounting principles in the United States of America (“</w:t>
      </w:r>
      <w:r>
        <w:rPr>
          <w:rFonts w:ascii="Times New Roman;serif" w:hAnsi="Times New Roman;serif"/>
          <w:b/>
          <w:i/>
          <w:sz w:val="20"/>
        </w:rPr>
        <w:t>GAAP</w:t>
      </w:r>
      <w:r>
        <w:rPr>
          <w:rFonts w:ascii="Times New Roman" w:hAnsi="Times New Roman"/>
          <w:sz w:val="20"/>
        </w:rPr>
        <w:t>”</w:t>
      </w:r>
      <w:r>
        <w:rPr>
          <w:rFonts w:ascii="Times New Roman;serif" w:hAnsi="Times New Roman;serif"/>
          <w:b w:val="false"/>
          <w:sz w:val="20"/>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preparation of these financial statements in conformity with GAAP requires management to make estimates and assumptions that affect the amounts reported in the unaudited condensed consolidated financial statements and accompanying notes. Significant estimates and assumptions include those related to allocating the transaction price for revenue recognition, inventory valuation, allowance for credit losses, fair value of the private placement warrant liabilities, fair value of the interest rate swap, self-insurance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Management believes that its estimates and assumptions are reasonable in the circumstances; however, actual results could differ materially from those estimates.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Concentration of Credit Risk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Significant customers are those which represent more than 10% of the Company’s total revenue or accounts receivable, net. Revenue from the single Government Solutions customer exceeding 10% of total revenue is presented below:</w:t>
      </w:r>
    </w:p>
    <w:p>
      <w:pPr>
        <w:pStyle w:val="TextBody"/>
        <w:bidi w:val="0"/>
        <w:spacing w:before="120" w:after="0"/>
        <w:jc w:val="both"/>
        <w:rPr/>
      </w:pPr>
      <w:r>
        <w:rPr/>
        <w:t> </w:t>
      </w:r>
    </w:p>
    <w:tbl>
      <w:tblPr>
        <w:tblW w:w="9203" w:type="dxa"/>
        <w:jc w:val="left"/>
        <w:tblInd w:w="0" w:type="dxa"/>
        <w:tblLayout w:type="fixed"/>
        <w:tblCellMar>
          <w:top w:w="28" w:type="dxa"/>
          <w:left w:w="28" w:type="dxa"/>
          <w:bottom w:w="28" w:type="dxa"/>
          <w:right w:w="28" w:type="dxa"/>
        </w:tblCellMar>
      </w:tblPr>
      <w:tblGrid>
        <w:gridCol w:w="3991"/>
        <w:gridCol w:w="146"/>
        <w:gridCol w:w="201"/>
        <w:gridCol w:w="643"/>
        <w:gridCol w:w="374"/>
        <w:gridCol w:w="201"/>
        <w:gridCol w:w="201"/>
        <w:gridCol w:w="643"/>
        <w:gridCol w:w="271"/>
        <w:gridCol w:w="146"/>
        <w:gridCol w:w="184"/>
        <w:gridCol w:w="588"/>
        <w:gridCol w:w="342"/>
        <w:gridCol w:w="184"/>
        <w:gridCol w:w="184"/>
        <w:gridCol w:w="588"/>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center"/>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center"/>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City of New York Department of Transportation</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sz w:val="20"/>
        </w:rPr>
        <w:t>The City of New York Department of Transportation (“</w:t>
      </w:r>
      <w:r>
        <w:rPr>
          <w:rFonts w:ascii="Times New Roman;serif" w:hAnsi="Times New Roman;serif"/>
          <w:b/>
          <w:i/>
          <w:sz w:val="20"/>
        </w:rPr>
        <w:t>NYCDOT</w:t>
      </w:r>
      <w:r>
        <w:rPr>
          <w:rFonts w:ascii="Times New Roman" w:hAnsi="Times New Roman"/>
          <w:sz w:val="20"/>
        </w:rPr>
        <w:t>”</w:t>
      </w:r>
      <w:r>
        <w:rPr>
          <w:rFonts w:ascii="Times New Roman;serif" w:hAnsi="Times New Roman;serif"/>
          <w:b w:val="false"/>
          <w:sz w:val="20"/>
        </w:rPr>
        <w:t>) represented 17% and</w:t>
      </w:r>
      <w:r>
        <w:rPr>
          <w:rFonts w:ascii="Times New Roman" w:hAnsi="Times New Roman"/>
          <w:sz w:val="20"/>
        </w:rPr>
        <w:t xml:space="preserve"> </w:t>
      </w:r>
      <w:r>
        <w:rPr>
          <w:rFonts w:ascii="Times New Roman;serif" w:hAnsi="Times New Roman;serif"/>
          <w:b w:val="false"/>
          <w:sz w:val="20"/>
        </w:rPr>
        <w:t>22% of total accounts receivable, net as of June 30, 2023 and December 31, 2022,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pStyle w:val="TextBody"/>
        <w:bidi w:val="0"/>
        <w:spacing w:before="240" w:after="240"/>
        <w:jc w:val="both"/>
        <w:rPr>
          <w:rFonts w:ascii="Times New Roman" w:hAnsi="Times New Roman"/>
          <w:sz w:val="20"/>
        </w:rPr>
      </w:pPr>
      <w:r>
        <w:rPr>
          <w:rFonts w:ascii="Times New Roman;serif" w:hAnsi="Times New Roman;serif"/>
          <w:b w:val="false"/>
          <w:sz w:val="20"/>
        </w:rPr>
        <w:t>Significant customer revenues generated through the Company’s Commercial Services partners as a percent of total revenue are presented</w:t>
      </w:r>
      <w:r>
        <w:rPr>
          <w:rFonts w:ascii="Times New Roman" w:hAnsi="Times New Roman"/>
          <w:sz w:val="20"/>
        </w:rPr>
        <w:t xml:space="preserve"> </w:t>
      </w:r>
      <w:r>
        <w:rPr>
          <w:rFonts w:ascii="Times New Roman;serif" w:hAnsi="Times New Roman;serif"/>
          <w:b w:val="false"/>
          <w:sz w:val="20"/>
        </w:rPr>
        <w:t>below:</w:t>
      </w:r>
    </w:p>
    <w:tbl>
      <w:tblPr>
        <w:tblW w:w="7343" w:type="dxa"/>
        <w:jc w:val="left"/>
        <w:tblInd w:w="0" w:type="dxa"/>
        <w:tblLayout w:type="fixed"/>
        <w:tblCellMar>
          <w:top w:w="28" w:type="dxa"/>
          <w:left w:w="28" w:type="dxa"/>
          <w:bottom w:w="28" w:type="dxa"/>
          <w:right w:w="28" w:type="dxa"/>
        </w:tblCellMar>
      </w:tblPr>
      <w:tblGrid>
        <w:gridCol w:w="2131"/>
        <w:gridCol w:w="146"/>
        <w:gridCol w:w="201"/>
        <w:gridCol w:w="643"/>
        <w:gridCol w:w="374"/>
        <w:gridCol w:w="201"/>
        <w:gridCol w:w="201"/>
        <w:gridCol w:w="643"/>
        <w:gridCol w:w="271"/>
        <w:gridCol w:w="146"/>
        <w:gridCol w:w="184"/>
        <w:gridCol w:w="588"/>
        <w:gridCol w:w="342"/>
        <w:gridCol w:w="184"/>
        <w:gridCol w:w="184"/>
        <w:gridCol w:w="58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center"/>
              <w:rPr/>
            </w:pPr>
            <w:r>
              <w:rPr/>
              <w:t> </w:t>
            </w:r>
          </w:p>
        </w:tc>
        <w:tc>
          <w:tcPr>
            <w:tcW w:w="8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vAlign w:val="center"/>
          </w:tcPr>
          <w:p>
            <w:pPr>
              <w:pStyle w:val="TableContents"/>
              <w:bidi w:val="0"/>
              <w:spacing w:before="0" w:after="0"/>
              <w:ind w:left="0" w:right="0" w:hanging="0"/>
              <w:jc w:val="center"/>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Hertz Corporation</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Avis Budget Group, Inc.</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Enterprise Holdings, Inc.</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vAlign w:val="center"/>
          </w:tcPr>
          <w:p>
            <w:pPr>
              <w:pStyle w:val="TableContents"/>
              <w:bidi w:val="0"/>
              <w:spacing w:before="0" w:after="0"/>
              <w:ind w:left="0" w:right="0" w:hanging="0"/>
              <w:jc w:val="right"/>
              <w:rPr/>
            </w:pPr>
            <w:r>
              <w:rPr/>
              <w:t> </w:t>
            </w:r>
          </w:p>
        </w:tc>
        <w:tc>
          <w:tcPr>
            <w:tcW w:w="184"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Commercial Services customer exceeded 10% of total accounts receivable, net as of any period presented.</w:t>
      </w:r>
    </w:p>
    <w:p>
      <w:pPr>
        <w:pStyle w:val="TextBody"/>
        <w:bidi w:val="0"/>
        <w:spacing w:before="24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significant customer concentrations that exceeded 10% of total revenue or accounts receivables, net for the Parking Solutions segment as of or for any period presented.</w:t>
      </w:r>
    </w:p>
    <w:p>
      <w:pPr>
        <w:pStyle w:val="TextBody"/>
        <w:bidi w:val="0"/>
        <w:spacing w:before="360" w:after="0"/>
        <w:jc w:val="both"/>
        <w:rPr>
          <w:rFonts w:ascii="Times New Roman;serif" w:hAnsi="Times New Roman;serif"/>
          <w:b/>
          <w:i/>
          <w:sz w:val="20"/>
        </w:rPr>
      </w:pPr>
      <w:r>
        <w:rPr>
          <w:rFonts w:ascii="Times New Roman;serif" w:hAnsi="Times New Roman;serif"/>
          <w:b/>
          <w:i/>
          <w:sz w:val="20"/>
        </w:rPr>
        <w:t>Allowance for Credit Losses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identified portfolio segments based on the type of business, industry in which the customer operates and historical credit loss patterns. The following presents the activity in the allowance for credit losses for the six months ended June 30, 2023 and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099"/>
        <w:gridCol w:w="146"/>
        <w:gridCol w:w="363"/>
        <w:gridCol w:w="1170"/>
        <w:gridCol w:w="166"/>
        <w:gridCol w:w="146"/>
        <w:gridCol w:w="276"/>
        <w:gridCol w:w="750"/>
        <w:gridCol w:w="166"/>
        <w:gridCol w:w="146"/>
        <w:gridCol w:w="428"/>
        <w:gridCol w:w="1165"/>
        <w:gridCol w:w="166"/>
        <w:gridCol w:w="146"/>
        <w:gridCol w:w="388"/>
        <w:gridCol w:w="889"/>
        <w:gridCol w:w="166"/>
        <w:gridCol w:w="146"/>
        <w:gridCol w:w="211"/>
        <w:gridCol w:w="676"/>
        <w:gridCol w:w="396"/>
      </w:tblGrid>
      <w:tr>
        <w:trPr/>
        <w:tc>
          <w:tcPr>
            <w:tcW w:w="2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099"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15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Commercial Services</w:t>
              <w:br/>
              <w:t xml:space="preserve">(Driver-billed) </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Commercial </w:t>
              <w:br/>
              <w:t xml:space="preserve">Services </w:t>
              <w:br/>
              <w:t>(All 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 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 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209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15,907</w:t>
            </w:r>
          </w:p>
        </w:tc>
        <w:tc>
          <w:tcPr>
            <w:tcW w:w="396" w:type="dxa"/>
            <w:tcBorders/>
            <w:vAlign w:val="center"/>
          </w:tcPr>
          <w:p>
            <w:pPr>
              <w:pStyle w:val="TableContents"/>
              <w:bidi w:val="0"/>
              <w:spacing w:before="0" w:after="0"/>
              <w:ind w:left="0" w:right="0" w:firstLine="200"/>
              <w:jc w:val="left"/>
              <w:rPr/>
            </w:pPr>
            <w:r>
              <w:rPr/>
              <w:t> </w:t>
            </w:r>
          </w:p>
        </w:tc>
      </w:tr>
      <w:tr>
        <w:trPr/>
        <w:tc>
          <w:tcPr>
            <w:tcW w:w="20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Credit loss expense</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11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pPr>
            <w:r>
              <w:rPr/>
              <w:t> </w:t>
            </w:r>
          </w:p>
        </w:tc>
        <w:tc>
          <w:tcPr>
            <w:tcW w:w="11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4,956</w:t>
            </w:r>
          </w:p>
        </w:tc>
        <w:tc>
          <w:tcPr>
            <w:tcW w:w="396" w:type="dxa"/>
            <w:tcBorders/>
            <w:vAlign w:val="center"/>
          </w:tcPr>
          <w:p>
            <w:pPr>
              <w:pStyle w:val="TableContents"/>
              <w:bidi w:val="0"/>
              <w:spacing w:before="0" w:after="0"/>
              <w:ind w:left="0" w:right="0" w:firstLine="200"/>
              <w:jc w:val="left"/>
              <w:rPr/>
            </w:pPr>
            <w:r>
              <w:rPr/>
              <w:t> </w:t>
            </w:r>
          </w:p>
        </w:tc>
      </w:tr>
      <w:tr>
        <w:trPr/>
        <w:tc>
          <w:tcPr>
            <w:tcW w:w="20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Write-offs, net of recoveries</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09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20,137</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3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2099"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15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Commercial Services</w:t>
              <w:br/>
              <w:t xml:space="preserve">(Driver-billed) </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Commercial </w:t>
              <w:br/>
              <w:t xml:space="preserve">Services </w:t>
              <w:br/>
              <w:t>(All 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 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 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209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12,138</w:t>
            </w:r>
          </w:p>
        </w:tc>
        <w:tc>
          <w:tcPr>
            <w:tcW w:w="396" w:type="dxa"/>
            <w:tcBorders/>
            <w:vAlign w:val="center"/>
          </w:tcPr>
          <w:p>
            <w:pPr>
              <w:pStyle w:val="TableContents"/>
              <w:bidi w:val="0"/>
              <w:spacing w:before="0" w:after="0"/>
              <w:ind w:left="0" w:right="0" w:firstLine="200"/>
              <w:jc w:val="left"/>
              <w:rPr/>
            </w:pPr>
            <w:r>
              <w:rPr/>
              <w:t> </w:t>
            </w:r>
          </w:p>
        </w:tc>
      </w:tr>
      <w:tr>
        <w:trPr/>
        <w:tc>
          <w:tcPr>
            <w:tcW w:w="20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Credit loss expense</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11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vAlign w:val="center"/>
          </w:tcPr>
          <w:p>
            <w:pPr>
              <w:pStyle w:val="TableContents"/>
              <w:bidi w:val="0"/>
              <w:spacing w:before="0" w:after="0"/>
              <w:ind w:left="0" w:right="0" w:hanging="0"/>
              <w:jc w:val="left"/>
              <w:rPr/>
            </w:pPr>
            <w:r>
              <w:rPr/>
              <w:t> </w:t>
            </w:r>
          </w:p>
        </w:tc>
        <w:tc>
          <w:tcPr>
            <w:tcW w:w="11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7,036</w:t>
            </w:r>
          </w:p>
        </w:tc>
        <w:tc>
          <w:tcPr>
            <w:tcW w:w="396" w:type="dxa"/>
            <w:tcBorders/>
            <w:vAlign w:val="center"/>
          </w:tcPr>
          <w:p>
            <w:pPr>
              <w:pStyle w:val="TableContents"/>
              <w:bidi w:val="0"/>
              <w:spacing w:before="0" w:after="0"/>
              <w:ind w:left="0" w:right="0" w:firstLine="200"/>
              <w:jc w:val="left"/>
              <w:rPr/>
            </w:pPr>
            <w:r>
              <w:rPr/>
              <w:t> </w:t>
            </w:r>
          </w:p>
        </w:tc>
      </w:tr>
      <w:tr>
        <w:trPr/>
        <w:tc>
          <w:tcPr>
            <w:tcW w:w="20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Write-offs, net of recoveries</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09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June 30, 2022</w:t>
            </w:r>
          </w:p>
        </w:tc>
        <w:tc>
          <w:tcPr>
            <w:tcW w:w="146" w:type="dxa"/>
            <w:tcBorders/>
            <w:vAlign w:val="center"/>
          </w:tcPr>
          <w:p>
            <w:pPr>
              <w:pStyle w:val="TableContents"/>
              <w:bidi w:val="0"/>
              <w:spacing w:before="0" w:after="0"/>
              <w:ind w:left="0" w:right="0" w:hanging="0"/>
              <w:jc w:val="left"/>
              <w:rPr/>
            </w:pPr>
            <w:r>
              <w:rPr/>
              <w:t> </w:t>
            </w:r>
          </w:p>
        </w:tc>
        <w:tc>
          <w:tcPr>
            <w:tcW w:w="3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17,092</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pStyle w:val="TextBody"/>
        <w:bidi w:val="0"/>
        <w:spacing w:before="240" w:after="0"/>
        <w:jc w:val="both"/>
        <w:rPr>
          <w:rFonts w:ascii="Times New Roman" w:hAnsi="Times New Roman"/>
          <w:sz w:val="20"/>
        </w:rPr>
      </w:pPr>
      <w:r>
        <w:rPr>
          <w:rFonts w:ascii="Times New Roman;serif" w:hAnsi="Times New Roman;serif"/>
          <w:b w:val="false"/>
          <w:sz w:val="20"/>
        </w:rPr>
        <w:t>The Commercial Services (Driver-billed) portfolio segment’s credit loss estimate as of June 30, 2023 increased compared to the prior year due to increased revenue that impacted the volume of transactions year over year.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Deferred Revenue</w:t>
      </w:r>
    </w:p>
    <w:p>
      <w:pPr>
        <w:pStyle w:val="TextBody"/>
        <w:bidi w:val="0"/>
        <w:spacing w:before="120" w:after="0"/>
        <w:jc w:val="both"/>
        <w:rPr>
          <w:rFonts w:ascii="Times New Roman" w:hAnsi="Times New Roman"/>
          <w:sz w:val="20"/>
        </w:rPr>
      </w:pPr>
      <w:r>
        <w:rPr>
          <w:rFonts w:ascii="Times New Roman;serif" w:hAnsi="Times New Roman;serif"/>
          <w:b w:val="false"/>
          <w:sz w:val="20"/>
        </w:rPr>
        <w:t>Deferred revenue represents amounts that have been invoiced in advance and are expected to be recognized as revenue in future periods, and it primarily relates to Government Solutions and Parking Solutions customers. The Company had approximately $17.2</w:t>
      </w:r>
      <w:r>
        <w:rPr>
          <w:rFonts w:ascii="Times New Roman" w:hAnsi="Times New Roman"/>
          <w:sz w:val="20"/>
        </w:rPr>
        <w:t xml:space="preserve"> </w:t>
      </w:r>
      <w:r>
        <w:rPr>
          <w:rFonts w:ascii="Times New Roman;serif" w:hAnsi="Times New Roman;serif"/>
          <w:b w:val="false"/>
          <w:sz w:val="20"/>
        </w:rPr>
        <w:t>million and $12.2</w:t>
      </w:r>
      <w:r>
        <w:rPr>
          <w:rFonts w:ascii="Times New Roman" w:hAnsi="Times New Roman"/>
          <w:sz w:val="20"/>
        </w:rPr>
        <w:t xml:space="preserve"> </w:t>
      </w:r>
      <w:r>
        <w:rPr>
          <w:rFonts w:ascii="Times New Roman;serif" w:hAnsi="Times New Roman;serif"/>
          <w:b w:val="false"/>
          <w:sz w:val="20"/>
        </w:rPr>
        <w:t>million of deferred revenue in the Government Solutions segment as of June 30, 2023 and December 31, 2022, respectively. The majority of the remaining performance obligations as of June 30, 2023 are expected to be completed and recognized as revenue in the next 12 months</w:t>
      </w:r>
      <w:r>
        <w:rPr>
          <w:rFonts w:ascii="Times New Roman" w:hAnsi="Times New Roman"/>
          <w:sz w:val="20"/>
        </w:rPr>
        <w:t xml:space="preserve"> </w:t>
      </w:r>
      <w:r>
        <w:rPr>
          <w:rFonts w:ascii="Times New Roman;serif" w:hAnsi="Times New Roman;serif"/>
          <w:b w:val="false"/>
          <w:sz w:val="20"/>
        </w:rPr>
        <w:t>and $4.2</w:t>
      </w:r>
      <w:r>
        <w:rPr>
          <w:rFonts w:ascii="Times New Roman" w:hAnsi="Times New Roman"/>
          <w:sz w:val="20"/>
        </w:rPr>
        <w:t xml:space="preserve"> </w:t>
      </w:r>
      <w:r>
        <w:rPr>
          <w:rFonts w:ascii="Times New Roman;serif" w:hAnsi="Times New Roman;serif"/>
          <w:b w:val="false"/>
          <w:sz w:val="20"/>
        </w:rPr>
        <w:t>million is expected to be recognized from 2024 through 2027. The Company had approximately $22.4</w:t>
      </w:r>
      <w:r>
        <w:rPr>
          <w:rFonts w:ascii="Times New Roman" w:hAnsi="Times New Roman"/>
          <w:sz w:val="20"/>
        </w:rPr>
        <w:t xml:space="preserve"> </w:t>
      </w:r>
      <w:r>
        <w:rPr>
          <w:rFonts w:ascii="Times New Roman;serif" w:hAnsi="Times New Roman;serif"/>
          <w:b w:val="false"/>
          <w:sz w:val="20"/>
        </w:rPr>
        <w:t>million and $21.2</w:t>
      </w:r>
      <w:r>
        <w:rPr>
          <w:rFonts w:ascii="Times New Roman" w:hAnsi="Times New Roman"/>
          <w:sz w:val="20"/>
        </w:rPr>
        <w:t xml:space="preserve"> </w:t>
      </w:r>
      <w:r>
        <w:rPr>
          <w:rFonts w:ascii="Times New Roman;serif" w:hAnsi="Times New Roman;serif"/>
          <w:b w:val="false"/>
          <w:sz w:val="20"/>
        </w:rPr>
        <w:t>million of deferred revenue in the Parking Solutions segment as of June 30, 2023 and December 31, 2022, respectively. The majority of the remaining performance obligations as of June 30, 2023 are expected to be completed and recognized as revenue in the next 12 months</w:t>
      </w:r>
      <w:r>
        <w:rPr>
          <w:rFonts w:ascii="Times New Roman" w:hAnsi="Times New Roman"/>
          <w:sz w:val="20"/>
        </w:rPr>
        <w:t xml:space="preserve"> </w:t>
      </w:r>
      <w:r>
        <w:rPr>
          <w:rFonts w:ascii="Times New Roman;serif" w:hAnsi="Times New Roman;serif"/>
          <w:b w:val="false"/>
          <w:sz w:val="20"/>
        </w:rPr>
        <w:t>and $1.0</w:t>
      </w:r>
      <w:r>
        <w:rPr>
          <w:rFonts w:ascii="Times New Roman" w:hAnsi="Times New Roman"/>
          <w:sz w:val="20"/>
        </w:rPr>
        <w:t xml:space="preserve"> </w:t>
      </w:r>
      <w:r>
        <w:rPr>
          <w:rFonts w:ascii="Times New Roman;serif" w:hAnsi="Times New Roman;serif"/>
          <w:b w:val="false"/>
          <w:sz w:val="20"/>
        </w:rPr>
        <w:t>million is</w:t>
      </w:r>
      <w:r>
        <w:rPr>
          <w:rFonts w:ascii="Times New Roman" w:hAnsi="Times New Roman"/>
          <w:sz w:val="20"/>
        </w:rPr>
        <w:t xml:space="preserve"> </w:t>
      </w:r>
      <w:r>
        <w:rPr>
          <w:rFonts w:ascii="Times New Roman;serif" w:hAnsi="Times New Roman;serif"/>
          <w:b w:val="false"/>
          <w:sz w:val="20"/>
        </w:rPr>
        <w:t>expected to be recognized after June 30, 2024.</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Interest Rate Swap</w:t>
      </w:r>
    </w:p>
    <w:p>
      <w:pPr>
        <w:pStyle w:val="TextBody"/>
        <w:bidi w:val="0"/>
        <w:spacing w:before="120" w:after="0"/>
        <w:jc w:val="both"/>
        <w:rPr>
          <w:rFonts w:ascii="Times New Roman" w:hAnsi="Times New Roman"/>
          <w:sz w:val="20"/>
        </w:rPr>
      </w:pPr>
      <w:r>
        <w:rPr>
          <w:rFonts w:ascii="Times New Roman;serif" w:hAnsi="Times New Roman;serif"/>
          <w:b w:val="false"/>
          <w:sz w:val="20"/>
        </w:rPr>
        <w:t>In December 2022, the Company entered into a cancellable interest rate swap agreement to hedge its exposure to interest rate fluctuations associated with the LIBOR (now transitioned to Term Secured Overnight Financing Rate “</w:t>
      </w:r>
      <w:r>
        <w:rPr>
          <w:rFonts w:ascii="Times New Roman;serif" w:hAnsi="Times New Roman;serif"/>
          <w:b/>
          <w:i/>
          <w:sz w:val="20"/>
        </w:rPr>
        <w:t>SOFR</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sz w:val="20"/>
        </w:rPr>
        <w:t>as discussed below) portion of the variable interest rate on its 2021 Term Loan. Under the interest rate swap agreement, the Company pays a fixed rate of 5.17%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$675.0</w:t>
      </w:r>
      <w:r>
        <w:rPr>
          <w:rFonts w:ascii="Times New Roman" w:hAnsi="Times New Roman"/>
          <w:sz w:val="20"/>
        </w:rPr>
        <w:t xml:space="preserve"> </w:t>
      </w:r>
      <w:r>
        <w:rPr>
          <w:rFonts w:ascii="Times New Roman;serif" w:hAnsi="Times New Roman;serif"/>
          <w:b w:val="false"/>
          <w:sz w:val="20"/>
        </w:rPr>
        <w:t>million. The Company has the option to effectively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and related cash payments are recorded in the condensed consolidated statements of operations within the gain on interest rate swap line item.</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recorded a $4.8</w:t>
      </w:r>
      <w:r>
        <w:rPr>
          <w:rFonts w:ascii="Times New Roman" w:hAnsi="Times New Roman"/>
          <w:sz w:val="20"/>
        </w:rPr>
        <w:t xml:space="preserve"> </w:t>
      </w:r>
      <w:r>
        <w:rPr>
          <w:rFonts w:ascii="Times New Roman;serif" w:hAnsi="Times New Roman;serif"/>
          <w:b w:val="false"/>
          <w:sz w:val="20"/>
        </w:rPr>
        <w:t>million gain during the three months ended June 30, 2023, of which $5.1</w:t>
      </w:r>
      <w:r>
        <w:rPr>
          <w:rFonts w:ascii="Times New Roman" w:hAnsi="Times New Roman"/>
          <w:sz w:val="20"/>
        </w:rPr>
        <w:t xml:space="preserve"> </w:t>
      </w:r>
      <w:r>
        <w:rPr>
          <w:rFonts w:ascii="Times New Roman;serif" w:hAnsi="Times New Roman;serif"/>
          <w:b w:val="false"/>
          <w:sz w:val="20"/>
        </w:rPr>
        <w:t>million is associated with the derivative instrument re-measured to fair value at the end of the reporting period, netted by $0.3</w:t>
      </w:r>
      <w:r>
        <w:rPr>
          <w:rFonts w:ascii="Times New Roman" w:hAnsi="Times New Roman"/>
          <w:sz w:val="20"/>
        </w:rPr>
        <w:t xml:space="preserve"> </w:t>
      </w:r>
      <w:r>
        <w:rPr>
          <w:rFonts w:ascii="Times New Roman;serif" w:hAnsi="Times New Roman;serif"/>
          <w:b w:val="false"/>
          <w:sz w:val="20"/>
        </w:rPr>
        <w:t>million related to the monthly cash payments. The Company recorded a $2.0</w:t>
      </w:r>
      <w:r>
        <w:rPr>
          <w:rFonts w:ascii="Times New Roman" w:hAnsi="Times New Roman"/>
          <w:sz w:val="20"/>
        </w:rPr>
        <w:t xml:space="preserve"> </w:t>
      </w:r>
      <w:r>
        <w:rPr>
          <w:rFonts w:ascii="Times New Roman;serif" w:hAnsi="Times New Roman;serif"/>
          <w:b w:val="false"/>
          <w:sz w:val="20"/>
        </w:rPr>
        <w:t>million gain during the six months ended June 30, 2023, of which approximately $3.6</w:t>
      </w:r>
      <w:r>
        <w:rPr>
          <w:rFonts w:ascii="Times New Roman" w:hAnsi="Times New Roman"/>
          <w:sz w:val="20"/>
        </w:rPr>
        <w:t xml:space="preserve"> </w:t>
      </w:r>
      <w:r>
        <w:rPr>
          <w:rFonts w:ascii="Times New Roman;serif" w:hAnsi="Times New Roman;serif"/>
          <w:b w:val="false"/>
          <w:sz w:val="20"/>
        </w:rPr>
        <w:t>million is associated with the derivative instrument re-measured to fair value at the end of the reporting period, netted by $1.6</w:t>
      </w:r>
      <w:r>
        <w:rPr>
          <w:rFonts w:ascii="Times New Roman" w:hAnsi="Times New Roman"/>
          <w:sz w:val="20"/>
        </w:rPr>
        <w:t xml:space="preserve"> </w:t>
      </w:r>
      <w:r>
        <w:rPr>
          <w:rFonts w:ascii="Times New Roman;serif" w:hAnsi="Times New Roman;serif"/>
          <w:b w:val="false"/>
          <w:sz w:val="20"/>
        </w:rPr>
        <w:t xml:space="preserve">million related to the monthly cash payments. The effect of remeasurement to fair value is recorded within the operating activities section and the monthly cash payments are recorded within the investing activities section in the condensed consolidated statements of cash flows. See below for further discussion on the fair value measurement of the interest rate swap, and Note 6, </w:t>
      </w:r>
      <w:r>
        <w:rPr>
          <w:rFonts w:ascii="Times New Roman;serif" w:hAnsi="Times New Roman;serif"/>
          <w:b w:val="false"/>
          <w:i/>
          <w:sz w:val="20"/>
        </w:rPr>
        <w:t>Long-term Debt</w:t>
      </w:r>
      <w:r>
        <w:rPr>
          <w:rFonts w:ascii="Times New Roman;serif" w:hAnsi="Times New Roman;serif"/>
          <w:b w:val="false"/>
          <w:sz w:val="20"/>
        </w:rPr>
        <w:t>, for additional information on the Company's mix of fixed and variable debt.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r>
        <w:rPr>
          <w:rFonts w:ascii="Times New Roman;serif" w:hAnsi="Times New Roman;serif"/>
          <w:b/>
          <w:i/>
          <w:sz w:val="20"/>
        </w:rPr>
        <w:t>Recent Accounting Pronouncements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u w:val="single"/>
        </w:rPr>
      </w:pPr>
      <w:r>
        <w:rPr>
          <w:rFonts w:ascii="Times New Roman;serif" w:hAnsi="Times New Roman;serif"/>
          <w:b w:val="false"/>
          <w:i/>
          <w:sz w:val="20"/>
          <w:u w:val="single"/>
        </w:rPr>
        <w:t>Accounting Standards Adopted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March 2020, the Financial Accounting Standards Board (“</w:t>
      </w:r>
      <w:r>
        <w:rPr>
          <w:rFonts w:ascii="Times New Roman;serif" w:hAnsi="Times New Roman;serif"/>
          <w:b/>
          <w:i/>
          <w:sz w:val="20"/>
        </w:rPr>
        <w:t>FASB</w:t>
      </w:r>
      <w:r>
        <w:rPr>
          <w:rFonts w:ascii="Times New Roman" w:hAnsi="Times New Roman"/>
          <w:sz w:val="20"/>
        </w:rPr>
        <w:t>”</w:t>
      </w:r>
      <w:r>
        <w:rPr>
          <w:rFonts w:ascii="Times New Roman;serif" w:hAnsi="Times New Roman;serif"/>
          <w:b w:val="false"/>
          <w:sz w:val="20"/>
        </w:rPr>
        <w:t>) issued Accounting Standards Update (“</w:t>
      </w:r>
      <w:r>
        <w:rPr>
          <w:rFonts w:ascii="Times New Roman;serif" w:hAnsi="Times New Roman;serif"/>
          <w:b/>
          <w:i/>
          <w:sz w:val="20"/>
        </w:rPr>
        <w:t>ASU</w:t>
      </w:r>
      <w:r>
        <w:rPr>
          <w:rFonts w:ascii="Times New Roman" w:hAnsi="Times New Roman"/>
          <w:sz w:val="20"/>
        </w:rPr>
        <w:t>”</w:t>
      </w:r>
      <w:r>
        <w:rPr>
          <w:rFonts w:ascii="Times New Roman;serif" w:hAnsi="Times New Roman;serif"/>
          <w:b w:val="false"/>
          <w:sz w:val="20"/>
        </w:rPr>
        <w:t xml:space="preserve">) 2020-04, </w:t>
      </w:r>
      <w:r>
        <w:rPr>
          <w:rFonts w:ascii="Times New Roman;serif" w:hAnsi="Times New Roman;serif"/>
          <w:b w:val="false"/>
          <w:i/>
          <w:sz w:val="20"/>
        </w:rPr>
        <w:t>Reference Rate Reform (Topic 848): Facilitation of the Effects of Reference Rate Reform on Financial Reporting</w:t>
      </w:r>
      <w:r>
        <w:rPr>
          <w:rFonts w:ascii="Times New Roman;serif" w:hAnsi="Times New Roman;serif"/>
          <w:b w:val="false"/>
          <w:sz w:val="20"/>
        </w:rPr>
        <w:t xml:space="preserve">. The ASU provides temporary optional guidance to ease the potential burden in accounting for reference rate reform. It provides optional expedients and exceptions for applying GAAP to contract modifications, subject to meeting certain criteria, that reference LIBOR or another reference rate that will be discontinued. In January 2021, the FASB issued ASU 2021-01, </w:t>
      </w:r>
      <w:r>
        <w:rPr>
          <w:rFonts w:ascii="Times New Roman;serif" w:hAnsi="Times New Roman;serif"/>
          <w:b w:val="false"/>
          <w:i/>
          <w:sz w:val="20"/>
        </w:rPr>
        <w:t>Reference Rate Reform (Topic 848): Scope</w:t>
      </w:r>
      <w:r>
        <w:rPr>
          <w:rFonts w:ascii="Times New Roman;serif" w:hAnsi="Times New Roman;serif"/>
          <w:b w:val="false"/>
          <w:sz w:val="20"/>
        </w:rPr>
        <w:t>, which clarifies that certain optional expedients and exceptions in Topic 848 for contract modifications and hedge accounting apply to derivatives that are affected by the discounting transition.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March 2023, the Company amended its 2021 Term Loan agreement to transition away from LIBOR to Term SOFR with the cessation of LIBOR in June 2023. As a result, the Company adopted the standard and elected to apply the optional expedients which enable it to consider the change in the benchmark interest rate as a continuation of the existing loan agreement and account for it prospectively. The adoption of this standard did not have a material impact to the condensed consolidated financial statements.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u w:val="single"/>
        </w:rPr>
        <w:t>Accounting Standards Not Yet Adopted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On June 30, 2022, the FASB issued ASU 2022-03, </w:t>
      </w:r>
      <w:r>
        <w:rPr>
          <w:rFonts w:ascii="Times New Roman;serif" w:hAnsi="Times New Roman;serif"/>
          <w:b w:val="false"/>
          <w:i/>
          <w:sz w:val="20"/>
        </w:rPr>
        <w:t>Fair Value Measurement (Topic 820): Fair Value Measurement of Equity Securities Subject to Contractual Sale Restrictions</w:t>
      </w:r>
      <w:r>
        <w:rPr>
          <w:rFonts w:ascii="Times New Roman;serif" w:hAnsi="Times New Roman;serif"/>
          <w:b w:val="false"/>
          <w:sz w:val="20"/>
        </w:rPr>
        <w:t>. The ASU clarifies that a contractual 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Early adoption is permitted. The Company is currently evaluating the impact of this standard on its financial statements.</w:t>
      </w:r>
    </w:p>
    <w:p>
      <w:pPr>
        <w:pStyle w:val="TextBody"/>
        <w:bidi w:val="0"/>
        <w:spacing w:before="360" w:after="0"/>
        <w:jc w:val="both"/>
        <w:rPr>
          <w:rFonts w:ascii="Times New Roman;serif" w:hAnsi="Times New Roman;serif"/>
          <w:b/>
          <w:sz w:val="20"/>
        </w:rPr>
      </w:pPr>
      <w:r>
        <w:rPr>
          <w:rFonts w:ascii="Times New Roman;serif" w:hAnsi="Times New Roman;serif"/>
          <w:b/>
          <w:sz w:val="20"/>
        </w:rPr>
        <w:t>3. Prepaid Expenses and Other Current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Prepaid expenses and other current assets consist of the following at:</w:t>
      </w:r>
    </w:p>
    <w:p>
      <w:pPr>
        <w:pStyle w:val="TextBody"/>
        <w:bidi w:val="0"/>
        <w:spacing w:before="0" w:after="0"/>
        <w:jc w:val="left"/>
        <w:rPr/>
      </w:pPr>
      <w:r>
        <w:rPr/>
        <w:t> </w:t>
      </w:r>
    </w:p>
    <w:tbl>
      <w:tblPr>
        <w:tblW w:w="6792" w:type="dxa"/>
        <w:jc w:val="left"/>
        <w:tblInd w:w="0" w:type="dxa"/>
        <w:tblLayout w:type="fixed"/>
        <w:tblCellMar>
          <w:top w:w="28" w:type="dxa"/>
          <w:left w:w="28" w:type="dxa"/>
          <w:bottom w:w="28" w:type="dxa"/>
          <w:right w:w="28" w:type="dxa"/>
        </w:tblCellMar>
      </w:tblPr>
      <w:tblGrid>
        <w:gridCol w:w="4081"/>
        <w:gridCol w:w="146"/>
        <w:gridCol w:w="211"/>
        <w:gridCol w:w="676"/>
        <w:gridCol w:w="146"/>
        <w:gridCol w:w="146"/>
        <w:gridCol w:w="260"/>
        <w:gridCol w:w="835"/>
        <w:gridCol w:w="2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receivable from the exercise of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9,171</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tolls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9,978</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to fulfill a customer contract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3,193</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computer maintenance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5,492</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4,629</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2,057</w:t>
            </w:r>
          </w:p>
        </w:tc>
        <w:tc>
          <w:tcPr>
            <w:tcW w:w="2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39,604</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both"/>
        <w:rPr>
          <w:rFonts w:ascii="Times New Roman;serif" w:hAnsi="Times New Roman;serif"/>
          <w:b/>
          <w:sz w:val="20"/>
        </w:rPr>
      </w:pPr>
      <w:r>
        <w:rPr>
          <w:rFonts w:ascii="Times New Roman;serif" w:hAnsi="Times New Roman;serif"/>
          <w:b/>
          <w:sz w:val="20"/>
        </w:rPr>
        <w:t>4. Goodwill and Intangible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presents the changes in the carrying amount of goodwill by reportable segment:</w:t>
      </w:r>
    </w:p>
    <w:p>
      <w:pPr>
        <w:pStyle w:val="TextBody"/>
        <w:bidi w:val="0"/>
        <w:spacing w:before="0" w:after="0"/>
        <w:jc w:val="both"/>
        <w:rPr/>
      </w:pPr>
      <w:r>
        <w:rPr/>
        <w:t> </w:t>
      </w:r>
    </w:p>
    <w:tbl>
      <w:tblPr>
        <w:tblW w:w="8591" w:type="dxa"/>
        <w:jc w:val="left"/>
        <w:tblInd w:w="0" w:type="dxa"/>
        <w:tblLayout w:type="fixed"/>
        <w:tblCellMar>
          <w:top w:w="28" w:type="dxa"/>
          <w:left w:w="28" w:type="dxa"/>
          <w:bottom w:w="28" w:type="dxa"/>
          <w:right w:w="28" w:type="dxa"/>
        </w:tblCellMar>
      </w:tblPr>
      <w:tblGrid>
        <w:gridCol w:w="3361"/>
        <w:gridCol w:w="146"/>
        <w:gridCol w:w="211"/>
        <w:gridCol w:w="781"/>
        <w:gridCol w:w="146"/>
        <w:gridCol w:w="146"/>
        <w:gridCol w:w="217"/>
        <w:gridCol w:w="804"/>
        <w:gridCol w:w="166"/>
        <w:gridCol w:w="146"/>
        <w:gridCol w:w="211"/>
        <w:gridCol w:w="781"/>
        <w:gridCol w:w="146"/>
        <w:gridCol w:w="146"/>
        <w:gridCol w:w="211"/>
        <w:gridCol w:w="78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833,480</w:t>
            </w:r>
          </w:p>
        </w:tc>
        <w:tc>
          <w:tcPr>
            <w:tcW w:w="191"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421,861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199,142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835,323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Intangible assets consist of the following as of the respective period-ends: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522"/>
        <w:gridCol w:w="146"/>
        <w:gridCol w:w="886"/>
        <w:gridCol w:w="146"/>
        <w:gridCol w:w="211"/>
        <w:gridCol w:w="841"/>
        <w:gridCol w:w="166"/>
        <w:gridCol w:w="146"/>
        <w:gridCol w:w="229"/>
        <w:gridCol w:w="852"/>
        <w:gridCol w:w="146"/>
        <w:gridCol w:w="146"/>
        <w:gridCol w:w="886"/>
        <w:gridCol w:w="146"/>
        <w:gridCol w:w="211"/>
        <w:gridCol w:w="841"/>
        <w:gridCol w:w="166"/>
        <w:gridCol w:w="146"/>
        <w:gridCol w:w="229"/>
        <w:gridCol w:w="852"/>
        <w:gridCol w:w="291"/>
      </w:tblGrid>
      <w:tr>
        <w:trPr/>
        <w:tc>
          <w:tcPr>
            <w:tcW w:w="2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77"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25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25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291" w:type="dxa"/>
            <w:tcBorders/>
            <w:vAlign w:val="center"/>
          </w:tcPr>
          <w:p>
            <w:pPr>
              <w:pStyle w:val="TableContents"/>
              <w:bidi w:val="0"/>
              <w:spacing w:before="0" w:after="0"/>
              <w:ind w:left="0" w:right="0" w:hanging="0"/>
              <w:jc w:val="center"/>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Amortization</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0.4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0.4</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32,233</w:t>
            </w:r>
          </w:p>
        </w:tc>
        <w:tc>
          <w:tcPr>
            <w:tcW w:w="291" w:type="dxa"/>
            <w:tcBorders/>
            <w:vAlign w:val="center"/>
          </w:tcPr>
          <w:p>
            <w:pPr>
              <w:pStyle w:val="TableContents"/>
              <w:bidi w:val="0"/>
              <w:spacing w:before="0" w:after="0"/>
              <w:ind w:left="0" w:right="0" w:hanging="0"/>
              <w:jc w:val="left"/>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Non-compete agreements</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zero</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0.1</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60,926</w:t>
            </w:r>
          </w:p>
        </w:tc>
        <w:tc>
          <w:tcPr>
            <w:tcW w:w="291" w:type="dxa"/>
            <w:tcBorders/>
            <w:vAlign w:val="center"/>
          </w:tcPr>
          <w:p>
            <w:pPr>
              <w:pStyle w:val="TableContents"/>
              <w:bidi w:val="0"/>
              <w:spacing w:before="0" w:after="0"/>
              <w:ind w:left="0" w:right="0" w:hanging="0"/>
              <w:jc w:val="left"/>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5.0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558,538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5.5</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227,102</w:t>
            </w:r>
          </w:p>
        </w:tc>
        <w:tc>
          <w:tcPr>
            <w:tcW w:w="291" w:type="dxa"/>
            <w:tcBorders/>
            <w:vAlign w:val="center"/>
          </w:tcPr>
          <w:p>
            <w:pPr>
              <w:pStyle w:val="TableContents"/>
              <w:bidi w:val="0"/>
              <w:spacing w:before="0" w:after="0"/>
              <w:ind w:left="0" w:right="0" w:hanging="0"/>
              <w:jc w:val="left"/>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1.2</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160,117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carrying value of intangible assets</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480,378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amortization</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(480,378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52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377,420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both"/>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Amortization expense was $20.0</w:t>
      </w:r>
      <w:r>
        <w:rPr>
          <w:rFonts w:ascii="Times New Roman" w:hAnsi="Times New Roman"/>
          <w:sz w:val="20"/>
        </w:rPr>
        <w:t xml:space="preserve"> </w:t>
      </w:r>
      <w:r>
        <w:rPr>
          <w:rFonts w:ascii="Times New Roman;serif" w:hAnsi="Times New Roman;serif"/>
          <w:b w:val="false"/>
          <w:sz w:val="20"/>
        </w:rPr>
        <w:t>million and $27.1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w:t>
      </w:r>
      <w:r>
        <w:rPr>
          <w:rFonts w:ascii="Times New Roman" w:hAnsi="Times New Roman"/>
          <w:sz w:val="20"/>
        </w:rPr>
        <w:t xml:space="preserve"> </w:t>
      </w:r>
      <w:r>
        <w:rPr>
          <w:rFonts w:ascii="Times New Roman;serif" w:hAnsi="Times New Roman;serif"/>
          <w:b w:val="false"/>
          <w:sz w:val="20"/>
        </w:rPr>
        <w:t>was $42.0</w:t>
      </w:r>
      <w:r>
        <w:rPr>
          <w:rFonts w:ascii="Times New Roman" w:hAnsi="Times New Roman"/>
          <w:sz w:val="20"/>
        </w:rPr>
        <w:t xml:space="preserve"> </w:t>
      </w:r>
      <w:r>
        <w:rPr>
          <w:rFonts w:ascii="Times New Roman;serif" w:hAnsi="Times New Roman;serif"/>
          <w:b w:val="false"/>
          <w:sz w:val="20"/>
        </w:rPr>
        <w:t>million and $54.4</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Estimated amortization expense in future years is expected to be:</w:t>
      </w:r>
    </w:p>
    <w:p>
      <w:pPr>
        <w:pStyle w:val="TextBody"/>
        <w:bidi w:val="0"/>
        <w:spacing w:before="0" w:after="0"/>
        <w:jc w:val="both"/>
        <w:rPr/>
      </w:pPr>
      <w:r>
        <w:rPr/>
        <w:t> </w:t>
      </w:r>
    </w:p>
    <w:tbl>
      <w:tblPr>
        <w:tblW w:w="3110" w:type="dxa"/>
        <w:jc w:val="left"/>
        <w:tblInd w:w="0" w:type="dxa"/>
        <w:tblLayout w:type="fixed"/>
        <w:tblCellMar>
          <w:top w:w="28" w:type="dxa"/>
          <w:left w:w="28" w:type="dxa"/>
          <w:bottom w:w="28" w:type="dxa"/>
          <w:right w:w="28" w:type="dxa"/>
        </w:tblCellMar>
      </w:tblPr>
      <w:tblGrid>
        <w:gridCol w:w="1681"/>
        <w:gridCol w:w="146"/>
        <w:gridCol w:w="211"/>
        <w:gridCol w:w="781"/>
        <w:gridCol w:w="2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35,715</w:t>
            </w:r>
          </w:p>
        </w:tc>
        <w:tc>
          <w:tcPr>
            <w:tcW w:w="2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67,017</w:t>
            </w:r>
          </w:p>
        </w:tc>
        <w:tc>
          <w:tcPr>
            <w:tcW w:w="2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64,319</w:t>
            </w:r>
          </w:p>
        </w:tc>
        <w:tc>
          <w:tcPr>
            <w:tcW w:w="2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57,332</w:t>
            </w:r>
          </w:p>
        </w:tc>
        <w:tc>
          <w:tcPr>
            <w:tcW w:w="2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28,325</w:t>
            </w:r>
          </w:p>
        </w:tc>
        <w:tc>
          <w:tcPr>
            <w:tcW w:w="2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83,073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6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335,781</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60" w:after="0"/>
        <w:jc w:val="both"/>
        <w:rPr>
          <w:rFonts w:ascii="Times New Roman;serif" w:hAnsi="Times New Roman;serif"/>
          <w:b/>
          <w:sz w:val="20"/>
        </w:rPr>
      </w:pPr>
      <w:r>
        <w:rPr>
          <w:rFonts w:ascii="Times New Roman;serif" w:hAnsi="Times New Roman;serif"/>
          <w:b/>
          <w:sz w:val="20"/>
        </w:rPr>
        <w:t>5. Accrued Liabilities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Accrued liabilities consist of the following at:</w:t>
      </w:r>
    </w:p>
    <w:p>
      <w:pPr>
        <w:pStyle w:val="TextBody"/>
        <w:bidi w:val="0"/>
        <w:spacing w:before="0" w:after="0"/>
        <w:jc w:val="both"/>
        <w:rPr/>
      </w:pPr>
      <w:r>
        <w:rPr/>
        <w:t> </w:t>
      </w:r>
    </w:p>
    <w:tbl>
      <w:tblPr>
        <w:tblW w:w="6402"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60"/>
        <w:gridCol w:w="835"/>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salaries and wages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19,109</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deferred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7,559</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6,355</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4,459</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due to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Advance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self-insurance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2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6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48,847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6. Long-term Debt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provides a summary of the Company’s long-term debt at:</w:t>
      </w:r>
    </w:p>
    <w:p>
      <w:pPr>
        <w:pStyle w:val="TextBody"/>
        <w:bidi w:val="0"/>
        <w:spacing w:before="0" w:after="0"/>
        <w:jc w:val="left"/>
        <w:rPr/>
      </w:pPr>
      <w:r>
        <w:rPr/>
        <w:t> </w:t>
      </w:r>
    </w:p>
    <w:tbl>
      <w:tblPr>
        <w:tblW w:w="6769" w:type="dxa"/>
        <w:jc w:val="left"/>
        <w:tblInd w:w="0" w:type="dxa"/>
        <w:tblLayout w:type="fixed"/>
        <w:tblCellMar>
          <w:top w:w="28" w:type="dxa"/>
          <w:left w:w="28" w:type="dxa"/>
          <w:bottom w:w="28" w:type="dxa"/>
          <w:right w:w="28" w:type="dxa"/>
        </w:tblCellMar>
      </w:tblPr>
      <w:tblGrid>
        <w:gridCol w:w="3616"/>
        <w:gridCol w:w="146"/>
        <w:gridCol w:w="211"/>
        <w:gridCol w:w="931"/>
        <w:gridCol w:w="166"/>
        <w:gridCol w:w="146"/>
        <w:gridCol w:w="211"/>
        <w:gridCol w:w="931"/>
        <w:gridCol w:w="4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2021 Term Loan, due 2028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886,106</w:t>
            </w:r>
          </w:p>
        </w:tc>
        <w:tc>
          <w:tcPr>
            <w:tcW w:w="411" w:type="dxa"/>
            <w:tcBorders/>
            <w:vAlign w:val="center"/>
          </w:tcPr>
          <w:p>
            <w:pPr>
              <w:pStyle w:val="TableContents"/>
              <w:bidi w:val="0"/>
              <w:spacing w:before="0" w:after="0"/>
              <w:ind w:left="0" w:right="0" w:hanging="0"/>
              <w:jc w:val="left"/>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Notes, due 2029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350,000</w:t>
            </w:r>
          </w:p>
        </w:tc>
        <w:tc>
          <w:tcPr>
            <w:tcW w:w="411" w:type="dxa"/>
            <w:tcBorders/>
            <w:vAlign w:val="center"/>
          </w:tcPr>
          <w:p>
            <w:pPr>
              <w:pStyle w:val="TableContents"/>
              <w:bidi w:val="0"/>
              <w:spacing w:before="0" w:after="0"/>
              <w:ind w:left="0" w:right="0" w:hanging="0"/>
              <w:jc w:val="left"/>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original issue discounts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1,138,711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1,211,980</w:t>
            </w:r>
          </w:p>
        </w:tc>
        <w:tc>
          <w:tcPr>
            <w:tcW w:w="411" w:type="dxa"/>
            <w:tcBorders/>
            <w:vAlign w:val="center"/>
          </w:tcPr>
          <w:p>
            <w:pPr>
              <w:pStyle w:val="TableContents"/>
              <w:bidi w:val="0"/>
              <w:spacing w:before="0" w:after="0"/>
              <w:ind w:left="0" w:right="0" w:hanging="0"/>
              <w:jc w:val="left"/>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long-term debt,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1,129,692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1,190,045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both"/>
        <w:rPr>
          <w:rFonts w:ascii="Times New Roman;serif" w:hAnsi="Times New Roman;serif"/>
          <w:b w:val="false"/>
          <w:i/>
          <w:sz w:val="20"/>
        </w:rPr>
      </w:pPr>
      <w:r>
        <w:rPr>
          <w:rFonts w:ascii="Times New Roman;serif" w:hAnsi="Times New Roman;serif"/>
          <w:b w:val="false"/>
          <w:i/>
          <w:sz w:val="20"/>
        </w:rPr>
        <w:t xml:space="preserve">2021 Term Loan </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2021, VM Consolidated, Inc. (“</w:t>
      </w:r>
      <w:r>
        <w:rPr>
          <w:rFonts w:ascii="Times New Roman;serif" w:hAnsi="Times New Roman;serif"/>
          <w:b/>
          <w:i/>
          <w:sz w:val="20"/>
        </w:rPr>
        <w:t>VM Consolidated</w:t>
      </w:r>
      <w:r>
        <w:rPr>
          <w:rFonts w:ascii="Times New Roman" w:hAnsi="Times New Roman"/>
          <w:sz w:val="20"/>
        </w:rPr>
        <w:t>”</w:t>
      </w:r>
      <w:r>
        <w:rPr>
          <w:rFonts w:ascii="Times New Roman;serif" w:hAnsi="Times New Roman;serif"/>
          <w:b w:val="false"/>
          <w:sz w:val="20"/>
        </w:rPr>
        <w:t>), the Company’s wholly owned subsidiary, entered into an Amendment and Restatement Agreement No.1 to the First Lien Term Loan Credit Agreement (the “</w:t>
      </w:r>
      <w:r>
        <w:rPr>
          <w:rFonts w:ascii="Times New Roman;serif" w:hAnsi="Times New Roman;serif"/>
          <w:b/>
          <w:i/>
          <w:sz w:val="20"/>
        </w:rPr>
        <w:t>2021</w:t>
      </w:r>
      <w:r>
        <w:rPr>
          <w:rFonts w:ascii="Times New Roman" w:hAnsi="Times New Roman"/>
          <w:sz w:val="20"/>
        </w:rPr>
        <w:t xml:space="preserve"> </w:t>
      </w:r>
      <w:r>
        <w:rPr>
          <w:rFonts w:ascii="Times New Roman;serif" w:hAnsi="Times New Roman;serif"/>
          <w:b/>
          <w:i/>
          <w:sz w:val="20"/>
        </w:rPr>
        <w:t>Term Loan</w:t>
      </w:r>
      <w:r>
        <w:rPr>
          <w:rFonts w:ascii="Times New Roman" w:hAnsi="Times New Roman"/>
          <w:sz w:val="20"/>
        </w:rPr>
        <w:t>”</w:t>
      </w:r>
      <w:r>
        <w:rPr>
          <w:rFonts w:ascii="Times New Roman;serif" w:hAnsi="Times New Roman;serif"/>
          <w:b w:val="false"/>
          <w:sz w:val="20"/>
        </w:rPr>
        <w:t>) with a syndicate of lenders. The 2021 Term Loan has an aggregate borrowing of $900.0</w:t>
      </w:r>
      <w:r>
        <w:rPr>
          <w:rFonts w:ascii="Times New Roman" w:hAnsi="Times New Roman"/>
          <w:sz w:val="20"/>
        </w:rPr>
        <w:t xml:space="preserve"> </w:t>
      </w:r>
      <w:r>
        <w:rPr>
          <w:rFonts w:ascii="Times New Roman;serif" w:hAnsi="Times New Roman;serif"/>
          <w:b w:val="false"/>
          <w:sz w:val="20"/>
        </w:rPr>
        <w:t>million, maturing on March 26, 2028, which includes the incremental borrowing of $250.0</w:t>
      </w:r>
      <w:r>
        <w:rPr>
          <w:rFonts w:ascii="Times New Roman" w:hAnsi="Times New Roman"/>
          <w:sz w:val="20"/>
        </w:rPr>
        <w:t xml:space="preserve"> </w:t>
      </w:r>
      <w:r>
        <w:rPr>
          <w:rFonts w:ascii="Times New Roman;serif" w:hAnsi="Times New Roman;serif"/>
          <w:b w:val="false"/>
          <w:sz w:val="20"/>
        </w:rPr>
        <w:t>million in December 2021 as a result of exercising the accordion feature available under the agreement. In connection with the 2021 Term Loan borrowings, the Company had $4.6</w:t>
      </w:r>
      <w:r>
        <w:rPr>
          <w:rFonts w:ascii="Times New Roman" w:hAnsi="Times New Roman"/>
          <w:sz w:val="20"/>
        </w:rPr>
        <w:t xml:space="preserve"> </w:t>
      </w:r>
      <w:r>
        <w:rPr>
          <w:rFonts w:ascii="Times New Roman;serif" w:hAnsi="Times New Roman;serif"/>
          <w:b w:val="false"/>
          <w:sz w:val="20"/>
        </w:rPr>
        <w:t>million of offering discount costs and $4.5</w:t>
      </w:r>
      <w:r>
        <w:rPr>
          <w:rFonts w:ascii="Times New Roman" w:hAnsi="Times New Roman"/>
          <w:sz w:val="20"/>
        </w:rPr>
        <w:t xml:space="preserve"> </w:t>
      </w:r>
      <w:r>
        <w:rPr>
          <w:rFonts w:ascii="Times New Roman;serif" w:hAnsi="Times New Roman;serif"/>
          <w:b w:val="false"/>
          <w:sz w:val="20"/>
        </w:rPr>
        <w:t>million in deferred financing costs, both of which were capitalized and are being amortized over the remaining life of the 2021 Term Loan.</w:t>
      </w:r>
    </w:p>
    <w:p>
      <w:pPr>
        <w:pStyle w:val="TextBody"/>
        <w:bidi w:val="0"/>
        <w:spacing w:before="240" w:after="0"/>
        <w:jc w:val="both"/>
        <w:rPr>
          <w:rFonts w:ascii="Times New Roman" w:hAnsi="Times New Roman"/>
          <w:sz w:val="20"/>
        </w:rPr>
      </w:pPr>
      <w:r>
        <w:rPr>
          <w:rFonts w:ascii="Times New Roman;serif" w:hAnsi="Times New Roman;serif"/>
          <w:b w:val="false"/>
          <w:sz w:val="20"/>
        </w:rPr>
        <w:t>During the six months ended June 30, 2023, the Company made early repayments of $72.5</w:t>
      </w:r>
      <w:r>
        <w:rPr>
          <w:rFonts w:ascii="Times New Roman" w:hAnsi="Times New Roman"/>
          <w:sz w:val="20"/>
        </w:rPr>
        <w:t xml:space="preserve"> </w:t>
      </w:r>
      <w:r>
        <w:rPr>
          <w:rFonts w:ascii="Times New Roman;serif" w:hAnsi="Times New Roman;serif"/>
          <w:b w:val="false"/>
          <w:sz w:val="20"/>
        </w:rPr>
        <w:t>million on the 2021 Term Loan and as a result, the total principal outstanding was $809.1</w:t>
      </w:r>
      <w:r>
        <w:rPr>
          <w:rFonts w:ascii="Times New Roman" w:hAnsi="Times New Roman"/>
          <w:sz w:val="20"/>
        </w:rPr>
        <w:t xml:space="preserve"> </w:t>
      </w:r>
      <w:r>
        <w:rPr>
          <w:rFonts w:ascii="Times New Roman;serif" w:hAnsi="Times New Roman;serif"/>
          <w:b w:val="false"/>
          <w:sz w:val="20"/>
        </w:rPr>
        <w:t>million as of June 30, 2023. The Company recognized a loss on extinguishment of debt of $0.2</w:t>
      </w:r>
      <w:r>
        <w:rPr>
          <w:rFonts w:ascii="Times New Roman" w:hAnsi="Times New Roman"/>
          <w:sz w:val="20"/>
        </w:rPr>
        <w:t xml:space="preserve"> </w:t>
      </w:r>
      <w:r>
        <w:rPr>
          <w:rFonts w:ascii="Times New Roman;serif" w:hAnsi="Times New Roman;serif"/>
          <w:b w:val="false"/>
          <w:sz w:val="20"/>
        </w:rPr>
        <w:t>million and $1.6</w:t>
      </w:r>
      <w:r>
        <w:rPr>
          <w:rFonts w:ascii="Times New Roman" w:hAnsi="Times New Roman"/>
          <w:sz w:val="20"/>
        </w:rPr>
        <w:t xml:space="preserve"> </w:t>
      </w:r>
      <w:r>
        <w:rPr>
          <w:rFonts w:ascii="Times New Roman;serif" w:hAnsi="Times New Roman;serif"/>
          <w:b w:val="false"/>
          <w:sz w:val="20"/>
        </w:rPr>
        <w:t>million for the three and six months ended June 30, 2023, respectively, related to the write-off of pre-existing deferred financing costs and discounts.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In March 2023, the Company amended its 2021 Term Loan agreement to transition 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The Company has applied the optional expedients in ASC 848, </w:t>
      </w:r>
      <w:r>
        <w:rPr>
          <w:rFonts w:ascii="Times New Roman;serif" w:hAnsi="Times New Roman;serif"/>
          <w:b w:val="false"/>
          <w:i/>
          <w:sz w:val="20"/>
        </w:rPr>
        <w:t>Reference Rate Reform</w:t>
      </w:r>
      <w:r>
        <w:rPr>
          <w:rFonts w:ascii="Times New Roman;serif" w:hAnsi="Times New Roman;serif"/>
          <w:b w:val="false"/>
          <w:sz w:val="20"/>
        </w:rPr>
        <w:t>, and elected to treat the change in the benchmark interest rate to Term SOFR as a continuation of the existing loan agreement and account for it prospectively. As of June 30, 2023, the new all-in interest rate on the 2021 Term Loan was 8.5%.</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spacing w:before="0" w:after="0"/>
        <w:jc w:val="left"/>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 First Lien Net Leverage Ratio (As Defined by the 2021 Term Loan Agreement)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Applicable</w:t>
              <w:br/>
              <w:t>Prepayment</w:t>
              <w:br/>
              <w:t>Percentage</w:t>
            </w:r>
          </w:p>
        </w:tc>
      </w:tr>
      <w:tr>
        <w:trPr/>
        <w:tc>
          <w:tcPr>
            <w:tcW w:w="6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&gt; 3.70:1.00</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682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u w:val="single"/>
              </w:rPr>
              <w:t>&lt;</w:t>
            </w:r>
            <w:r>
              <w:rPr>
                <w:rFonts w:ascii="Times New Roman" w:hAnsi="Times New Roman"/>
                <w:sz w:val="20"/>
              </w:rPr>
              <w:t> </w:t>
            </w:r>
            <w:r>
              <w:rPr>
                <w:rFonts w:ascii="Times New Roman;serif" w:hAnsi="Times New Roman;serif"/>
                <w:b w:val="false"/>
                <w:sz w:val="20"/>
              </w:rPr>
              <w:t>3.70:1.00 and &gt; 3.20:1.00</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tc>
      </w:tr>
      <w:tr>
        <w:trPr/>
        <w:tc>
          <w:tcPr>
            <w:tcW w:w="682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u w:val="single"/>
              </w:rPr>
              <w:t>&lt;</w:t>
            </w:r>
            <w:r>
              <w:rPr>
                <w:rFonts w:ascii="Times New Roman" w:hAnsi="Times New Roman"/>
                <w:sz w:val="20"/>
              </w:rPr>
              <w:t> </w:t>
            </w:r>
            <w:r>
              <w:rPr>
                <w:rFonts w:ascii="Times New Roman;serif" w:hAnsi="Times New Roman;serif"/>
                <w:b w:val="false"/>
                <w:sz w:val="20"/>
              </w:rPr>
              <w:t>3.20:1.00</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Senior Notes</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2021, VM Consolidated issued an aggregate principal amount of $350.0</w:t>
      </w:r>
      <w:r>
        <w:rPr>
          <w:rFonts w:ascii="Times New Roman" w:hAnsi="Times New Roman"/>
          <w:sz w:val="20"/>
        </w:rPr>
        <w:t xml:space="preserve"> </w:t>
      </w:r>
      <w:r>
        <w:rPr>
          <w:rFonts w:ascii="Times New Roman;serif" w:hAnsi="Times New Roman;serif"/>
          <w:b w:val="false"/>
          <w:sz w:val="20"/>
        </w:rPr>
        <w:t>million in Senior Unsecured Notes (the “</w:t>
      </w:r>
      <w:r>
        <w:rPr>
          <w:rFonts w:ascii="Times New Roman;serif" w:hAnsi="Times New Roman;serif"/>
          <w:b/>
          <w:i/>
          <w:sz w:val="20"/>
        </w:rPr>
        <w:t>Senior Notes</w:t>
      </w:r>
      <w:r>
        <w:rPr>
          <w:rFonts w:ascii="Times New Roman" w:hAnsi="Times New Roman"/>
          <w:sz w:val="20"/>
        </w:rPr>
        <w:t>”</w:t>
      </w:r>
      <w:r>
        <w:rPr>
          <w:rFonts w:ascii="Times New Roman;serif" w:hAnsi="Times New Roman;serif"/>
          <w:b w:val="false"/>
          <w:sz w:val="20"/>
        </w:rPr>
        <w:t>), due on April 15, 2029. In connection with the issuance of the Senior Notes, the Company incurred $5.7</w:t>
      </w:r>
      <w:r>
        <w:rPr>
          <w:rFonts w:ascii="Times New Roman" w:hAnsi="Times New Roman"/>
          <w:sz w:val="20"/>
        </w:rPr>
        <w:t xml:space="preserve"> </w:t>
      </w:r>
      <w:r>
        <w:rPr>
          <w:rFonts w:ascii="Times New Roman;serif" w:hAnsi="Times New Roman;serif"/>
          <w:b w:val="false"/>
          <w:sz w:val="20"/>
        </w:rPr>
        <w:t>million in lender and third-party costs, which were capitalized as deferred financing costs and are being amortized over the remaining life of the Senior Notes.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Interest on the Senior Notes is fixed at 5.50% per annum and is</w:t>
      </w:r>
      <w:r>
        <w:rPr>
          <w:rFonts w:ascii="Times New Roman" w:hAnsi="Times New Roman"/>
          <w:sz w:val="20"/>
        </w:rPr>
        <w:t xml:space="preserve"> </w:t>
      </w:r>
      <w:r>
        <w:rPr>
          <w:rFonts w:ascii="Times New Roman;serif" w:hAnsi="Times New Roman;serif"/>
          <w:b w:val="false"/>
          <w:sz w:val="20"/>
        </w:rPr>
        <w:t>payable on April 15 and October 15 of each year. On or after April 15, 2024, the Company may redeem all or a portion of the Senior Notes at the redemption prices set forth below in percentages by year, plus accrued and unpaid interest:</w:t>
      </w:r>
    </w:p>
    <w:p>
      <w:pPr>
        <w:pStyle w:val="TextBody"/>
        <w:bidi w:val="0"/>
        <w:spacing w:before="0" w:after="0"/>
        <w:jc w:val="both"/>
        <w:rPr/>
      </w:pPr>
      <w:r>
        <w:rPr/>
        <w:t> </w:t>
      </w:r>
    </w:p>
    <w:tbl>
      <w:tblPr>
        <w:tblW w:w="2833" w:type="dxa"/>
        <w:jc w:val="left"/>
        <w:tblInd w:w="0" w:type="dxa"/>
        <w:tblLayout w:type="fixed"/>
        <w:tblCellMar>
          <w:top w:w="28" w:type="dxa"/>
          <w:left w:w="28" w:type="dxa"/>
          <w:bottom w:w="28" w:type="dxa"/>
          <w:right w:w="28" w:type="dxa"/>
        </w:tblCellMar>
      </w:tblPr>
      <w:tblGrid>
        <w:gridCol w:w="1696"/>
        <w:gridCol w:w="146"/>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r>
      <w:tr>
        <w:trPr/>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102.750%</w:t>
            </w:r>
          </w:p>
        </w:tc>
      </w:tr>
      <w:tr>
        <w:trPr/>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101.375%</w:t>
            </w:r>
          </w:p>
        </w:tc>
      </w:tr>
      <w:tr>
        <w:trPr/>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2026 and thereafter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100.000%</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addition, the Company may redeem up to 40% of the Senior Notes before April 15, 2024, with the net cash proceeds from certain equity offerings.</w:t>
      </w:r>
      <w:r>
        <w:rPr>
          <w:rFonts w:ascii="Times New Roman" w:hAnsi="Times New Roman"/>
          <w:sz w:val="20"/>
        </w:rPr>
        <w:t xml:space="preserve"> </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The Revolver</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a Revolving Credit Agreement (the “</w:t>
      </w:r>
      <w:r>
        <w:rPr>
          <w:rFonts w:ascii="Times New Roman;serif" w:hAnsi="Times New Roman;serif"/>
          <w:b/>
          <w:i/>
          <w:sz w:val="20"/>
        </w:rPr>
        <w:t>Revolver</w:t>
      </w:r>
      <w:r>
        <w:rPr>
          <w:rFonts w:ascii="Times New Roman" w:hAnsi="Times New Roman"/>
          <w:sz w:val="20"/>
        </w:rPr>
        <w:t>”</w:t>
      </w:r>
      <w:r>
        <w:rPr>
          <w:rFonts w:ascii="Times New Roman;serif" w:hAnsi="Times New Roman;serif"/>
          <w:b w:val="false"/>
          <w:sz w:val="20"/>
        </w:rPr>
        <w:t>) with a commitment of up to $75.0</w:t>
      </w:r>
      <w:r>
        <w:rPr>
          <w:rFonts w:ascii="Times New Roman" w:hAnsi="Times New Roman"/>
          <w:sz w:val="20"/>
        </w:rPr>
        <w:t xml:space="preserve"> </w:t>
      </w:r>
      <w:r>
        <w:rPr>
          <w:rFonts w:ascii="Times New Roman;serif" w:hAnsi="Times New Roman;serif"/>
          <w:b w:val="false"/>
          <w:sz w:val="20"/>
        </w:rPr>
        <w:t>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w:t>
      </w:r>
      <w:r>
        <w:rPr>
          <w:rFonts w:ascii="Times New Roman" w:hAnsi="Times New Roman"/>
          <w:sz w:val="20"/>
        </w:rPr>
        <w:t xml:space="preserve"> </w:t>
      </w:r>
      <w:r>
        <w:rPr>
          <w:rFonts w:ascii="Times New Roman;serif" w:hAnsi="Times New Roman;serif"/>
          <w:b w:val="false"/>
          <w:sz w:val="20"/>
        </w:rPr>
        <w:t>outstanding borrowings on the Revolver as of June 30, 2023 or December 31, 2022. The availability to borrow was $74.8</w:t>
      </w:r>
      <w:r>
        <w:rPr>
          <w:rFonts w:ascii="Times New Roman" w:hAnsi="Times New Roman"/>
          <w:sz w:val="20"/>
        </w:rPr>
        <w:t xml:space="preserve"> </w:t>
      </w:r>
      <w:r>
        <w:rPr>
          <w:rFonts w:ascii="Times New Roman;serif" w:hAnsi="Times New Roman;serif"/>
          <w:b w:val="false"/>
          <w:sz w:val="20"/>
        </w:rPr>
        <w:t>million, net of $0.2</w:t>
      </w:r>
      <w:r>
        <w:rPr>
          <w:rFonts w:ascii="Times New Roman" w:hAnsi="Times New Roman"/>
          <w:sz w:val="20"/>
        </w:rPr>
        <w:t xml:space="preserve"> </w:t>
      </w:r>
      <w:r>
        <w:rPr>
          <w:rFonts w:ascii="Times New Roman;serif" w:hAnsi="Times New Roman;serif"/>
          <w:b w:val="false"/>
          <w:sz w:val="20"/>
        </w:rPr>
        <w:t>million of outstanding letters of credit at June 30, 2023.</w:t>
      </w:r>
    </w:p>
    <w:p>
      <w:pPr>
        <w:pStyle w:val="TextBody"/>
        <w:bidi w:val="0"/>
        <w:spacing w:before="240" w:after="0"/>
        <w:jc w:val="both"/>
        <w:rPr>
          <w:rFonts w:ascii="Times New Roman" w:hAnsi="Times New Roman"/>
          <w:sz w:val="20"/>
        </w:rPr>
      </w:pPr>
      <w:r>
        <w:rPr>
          <w:rFonts w:ascii="Times New Roman;serif" w:hAnsi="Times New Roman;serif"/>
          <w:b w:val="false"/>
          <w:sz w:val="20"/>
        </w:rPr>
        <w:t>Interest on the unused portion of the Revolver is payable quarterly at 0.375% and the Company is also required to pay participation and fronting fees at 1.38% on</w:t>
      </w:r>
      <w:r>
        <w:rPr>
          <w:rFonts w:ascii="Times New Roman" w:hAnsi="Times New Roman"/>
          <w:sz w:val="20"/>
        </w:rPr>
        <w:t xml:space="preserve"> </w:t>
      </w:r>
      <w:r>
        <w:rPr>
          <w:rFonts w:ascii="Times New Roman;serif" w:hAnsi="Times New Roman;serif"/>
          <w:b w:val="false"/>
          <w:sz w:val="20"/>
        </w:rPr>
        <w:t>$0.2</w:t>
      </w:r>
      <w:r>
        <w:rPr>
          <w:rFonts w:ascii="Times New Roman" w:hAnsi="Times New Roman"/>
          <w:sz w:val="20"/>
        </w:rPr>
        <w:t xml:space="preserve"> </w:t>
      </w:r>
      <w:r>
        <w:rPr>
          <w:rFonts w:ascii="Times New Roman;serif" w:hAnsi="Times New Roman;serif"/>
          <w:b w:val="false"/>
          <w:sz w:val="20"/>
        </w:rPr>
        <w:t>million of outstanding letters of credit as of June 30, 2023.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June 30, 2023, the Company was compliant with all debt covenants.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Interest Expense</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recorded interest expense, including amortization of deferred financing costs and discounts, of $22.8</w:t>
      </w:r>
      <w:r>
        <w:rPr>
          <w:rFonts w:ascii="Times New Roman" w:hAnsi="Times New Roman"/>
          <w:sz w:val="20"/>
        </w:rPr>
        <w:t xml:space="preserve"> </w:t>
      </w:r>
      <w:r>
        <w:rPr>
          <w:rFonts w:ascii="Times New Roman;serif" w:hAnsi="Times New Roman;serif"/>
          <w:b w:val="false"/>
          <w:sz w:val="20"/>
        </w:rPr>
        <w:t>million and $14.5</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$45.5</w:t>
      </w:r>
      <w:r>
        <w:rPr>
          <w:rFonts w:ascii="Times New Roman" w:hAnsi="Times New Roman"/>
          <w:sz w:val="20"/>
        </w:rPr>
        <w:t xml:space="preserve"> </w:t>
      </w:r>
      <w:r>
        <w:rPr>
          <w:rFonts w:ascii="Times New Roman;serif" w:hAnsi="Times New Roman;serif"/>
          <w:b w:val="false"/>
          <w:sz w:val="20"/>
        </w:rPr>
        <w:t>million and $28.8</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weighted average effective interest rates on the Company’s outstanding borrowings were 7.6% and 7.0% at June 30, 2023 and December 31, 2022, respectively.</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See Note 2, </w:t>
      </w:r>
      <w:r>
        <w:rPr>
          <w:rFonts w:ascii="Times New Roman;serif" w:hAnsi="Times New Roman;serif"/>
          <w:b w:val="false"/>
          <w:i/>
          <w:sz w:val="20"/>
        </w:rPr>
        <w:t>Significant Accounting Policies</w:t>
      </w:r>
      <w:r>
        <w:rPr>
          <w:rFonts w:ascii="Times New Roman;serif" w:hAnsi="Times New Roman;serif"/>
          <w:b w:val="false"/>
          <w:sz w:val="20"/>
        </w:rPr>
        <w:t>, for additional information on the interest rate swap entered into in December 2022 to hedge the Company's exposure against rising interest rates.</w:t>
        <w:br/>
      </w:r>
      <w:r>
        <w:rPr>
          <w:rFonts w:ascii="Times New Roman" w:hAnsi="Times New Roman"/>
          <w:sz w:val="20"/>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7. Fair Value of Financial Instruments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ASC Topic 820, </w:t>
      </w:r>
      <w:r>
        <w:rPr>
          <w:rFonts w:ascii="Times New Roman;serif" w:hAnsi="Times New Roman;serif"/>
          <w:b w:val="false"/>
          <w:i/>
          <w:sz w:val="20"/>
        </w:rPr>
        <w:t>Fair Value Measurement,</w:t>
      </w:r>
      <w:r>
        <w:rPr>
          <w:rFonts w:ascii="Times New Roman" w:hAnsi="Times New Roman"/>
          <w:sz w:val="20"/>
        </w:rPr>
        <w:t xml:space="preserve"> </w:t>
      </w:r>
      <w:r>
        <w:rPr>
          <w:rFonts w:ascii="Times New Roman;serif" w:hAnsi="Times New Roman;serif"/>
          <w:b w:val="false"/>
          <w:sz w:val="20"/>
        </w:rPr>
        <w:t>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200" w:after="0"/>
        <w:jc w:val="both"/>
        <w:rPr>
          <w:rFonts w:ascii="Times New Roman" w:hAnsi="Times New Roman"/>
          <w:sz w:val="20"/>
        </w:rPr>
      </w:pPr>
      <w:r>
        <w:rPr>
          <w:rFonts w:ascii="Times New Roman;serif" w:hAnsi="Times New Roman;serif"/>
          <w:b w:val="false"/>
          <w:i/>
          <w:sz w:val="20"/>
        </w:rPr>
        <w:t xml:space="preserve">Level 1 – </w:t>
      </w:r>
      <w:r>
        <w:rPr>
          <w:rFonts w:ascii="Times New Roman;serif" w:hAnsi="Times New Roman;serif"/>
          <w:b w:val="false"/>
          <w:sz w:val="20"/>
        </w:rPr>
        <w:t>Fair value is based on observable inputs such as quoted prices for identical assets or liabilities in active markets.</w:t>
      </w:r>
    </w:p>
    <w:p>
      <w:pPr>
        <w:pStyle w:val="TextBody"/>
        <w:bidi w:val="0"/>
        <w:spacing w:before="200" w:after="0"/>
        <w:jc w:val="both"/>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Fair value is determined using one or more significant inputs that are unobservable in active markets at the measurement date, such as a pricing model, discounted cash flow, or similar technique.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pStyle w:val="TextBody"/>
        <w:bidi w:val="0"/>
        <w:spacing w:before="0" w:after="0"/>
        <w:jc w:val="both"/>
        <w:rPr/>
      </w:pPr>
      <w:r>
        <w:rPr/>
        <w:t> </w:t>
      </w:r>
    </w:p>
    <w:tbl>
      <w:tblPr>
        <w:tblW w:w="8268" w:type="dxa"/>
        <w:jc w:val="left"/>
        <w:tblInd w:w="0" w:type="dxa"/>
        <w:tblLayout w:type="fixed"/>
        <w:tblCellMar>
          <w:top w:w="28" w:type="dxa"/>
          <w:left w:w="28" w:type="dxa"/>
          <w:bottom w:w="28" w:type="dxa"/>
          <w:right w:w="28" w:type="dxa"/>
        </w:tblCellMar>
      </w:tblPr>
      <w:tblGrid>
        <w:gridCol w:w="1471"/>
        <w:gridCol w:w="146"/>
        <w:gridCol w:w="886"/>
        <w:gridCol w:w="146"/>
        <w:gridCol w:w="211"/>
        <w:gridCol w:w="146"/>
        <w:gridCol w:w="781"/>
        <w:gridCol w:w="146"/>
        <w:gridCol w:w="146"/>
        <w:gridCol w:w="211"/>
        <w:gridCol w:w="146"/>
        <w:gridCol w:w="781"/>
        <w:gridCol w:w="146"/>
        <w:gridCol w:w="146"/>
        <w:gridCol w:w="211"/>
        <w:gridCol w:w="146"/>
        <w:gridCol w:w="781"/>
        <w:gridCol w:w="146"/>
        <w:gridCol w:w="146"/>
        <w:gridCol w:w="211"/>
        <w:gridCol w:w="146"/>
        <w:gridCol w:w="78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in</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56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568"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91" w:type="dxa"/>
            <w:tcBorders/>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3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2021 Term Loan</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883,891</w:t>
            </w:r>
          </w:p>
        </w:tc>
        <w:tc>
          <w:tcPr>
            <w:tcW w:w="191" w:type="dxa"/>
            <w:tcBorders/>
            <w:vAlign w:val="center"/>
          </w:tcPr>
          <w:p>
            <w:pPr>
              <w:pStyle w:val="TableContents"/>
              <w:bidi w:val="0"/>
              <w:spacing w:before="0" w:after="0"/>
              <w:ind w:left="0" w:right="0" w:hanging="0"/>
              <w:jc w:val="left"/>
              <w:rPr/>
            </w:pPr>
            <w:r>
              <w:rPr/>
              <w:t> </w:t>
            </w:r>
          </w:p>
        </w:tc>
      </w:tr>
      <w:tr>
        <w:trPr/>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Notes</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313,250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pStyle w:val="TextBody"/>
        <w:bidi w:val="0"/>
        <w:spacing w:before="0" w:after="0"/>
        <w:jc w:val="both"/>
        <w:rPr/>
      </w:pPr>
      <w:r>
        <w:rPr/>
        <w:t> </w:t>
      </w:r>
    </w:p>
    <w:tbl>
      <w:tblPr>
        <w:tblW w:w="6310" w:type="dxa"/>
        <w:jc w:val="left"/>
        <w:tblInd w:w="0" w:type="dxa"/>
        <w:tblLayout w:type="fixed"/>
        <w:tblCellMar>
          <w:top w:w="28" w:type="dxa"/>
          <w:left w:w="28" w:type="dxa"/>
          <w:bottom w:w="28" w:type="dxa"/>
          <w:right w:w="28" w:type="dxa"/>
        </w:tblCellMar>
      </w:tblPr>
      <w:tblGrid>
        <w:gridCol w:w="2806"/>
        <w:gridCol w:w="146"/>
        <w:gridCol w:w="303"/>
        <w:gridCol w:w="822"/>
        <w:gridCol w:w="271"/>
        <w:gridCol w:w="146"/>
        <w:gridCol w:w="403"/>
        <w:gridCol w:w="1097"/>
        <w:gridCol w:w="31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price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w:t>
            </w:r>
          </w:p>
        </w:tc>
        <w:tc>
          <w:tcPr>
            <w:tcW w:w="316"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Strike price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316"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Volatility</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life (in years)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16"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Estimated fair value (per warrant)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The following summarizes the changes in fair value of private placement warrant liabilities included in net income and the impact of exercises for the respective periods:</w:t>
      </w:r>
    </w:p>
    <w:p>
      <w:pPr>
        <w:pStyle w:val="TextBody"/>
        <w:bidi w:val="0"/>
        <w:spacing w:before="0" w:after="0"/>
        <w:jc w:val="both"/>
        <w:rPr/>
      </w:pPr>
      <w:r>
        <w:rPr/>
        <w:t> </w:t>
      </w:r>
    </w:p>
    <w:tbl>
      <w:tblPr>
        <w:tblW w:w="9359" w:type="dxa"/>
        <w:jc w:val="left"/>
        <w:tblInd w:w="0" w:type="dxa"/>
        <w:tblLayout w:type="fixed"/>
        <w:tblCellMar>
          <w:top w:w="28" w:type="dxa"/>
          <w:left w:w="28" w:type="dxa"/>
          <w:bottom w:w="28" w:type="dxa"/>
          <w:right w:w="28" w:type="dxa"/>
        </w:tblCellMar>
      </w:tblPr>
      <w:tblGrid>
        <w:gridCol w:w="4201"/>
        <w:gridCol w:w="146"/>
        <w:gridCol w:w="222"/>
        <w:gridCol w:w="777"/>
        <w:gridCol w:w="175"/>
        <w:gridCol w:w="154"/>
        <w:gridCol w:w="222"/>
        <w:gridCol w:w="713"/>
        <w:gridCol w:w="166"/>
        <w:gridCol w:w="146"/>
        <w:gridCol w:w="211"/>
        <w:gridCol w:w="736"/>
        <w:gridCol w:w="166"/>
        <w:gridCol w:w="146"/>
        <w:gridCol w:w="211"/>
        <w:gridCol w:w="676"/>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38,667</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38,466</w:t>
            </w:r>
          </w:p>
        </w:tc>
        <w:tc>
          <w:tcPr>
            <w:tcW w:w="29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10,918</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warrants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(44,155</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2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5,430</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35,600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Change in fair value of private placement warrants consists of adjustments related to the unexercised Private Placement Warrants re-measured to fair value at the end of each reporting period and the final mark-to-market adjustments for exercised warrants. During the six months ended June 30, 2023, there were approximately 6.0</w:t>
      </w:r>
      <w:r>
        <w:rPr>
          <w:rFonts w:ascii="Times New Roman" w:hAnsi="Times New Roman"/>
          <w:sz w:val="20"/>
        </w:rPr>
        <w:t xml:space="preserve"> </w:t>
      </w:r>
      <w:r>
        <w:rPr>
          <w:rFonts w:ascii="Times New Roman;serif" w:hAnsi="Times New Roman;serif"/>
          <w:b w:val="false"/>
          <w:sz w:val="20"/>
        </w:rPr>
        <w:t>million exercises of Private Placement Warrants which reduced our private placement warrant liabilities by $44.2</w:t>
      </w:r>
      <w:r>
        <w:rPr>
          <w:rFonts w:ascii="Times New Roman" w:hAnsi="Times New Roman"/>
          <w:sz w:val="20"/>
        </w:rPr>
        <w:t xml:space="preserve"> </w:t>
      </w:r>
      <w:r>
        <w:rPr>
          <w:rFonts w:ascii="Times New Roman;serif" w:hAnsi="Times New Roman;serif"/>
          <w:b w:val="false"/>
          <w:sz w:val="20"/>
        </w:rPr>
        <w:t>million with an offset to common stock at par value and the remaining to additional paid in capital.</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has an equity investment measured at cost</w:t>
      </w:r>
      <w:r>
        <w:rPr>
          <w:rFonts w:ascii="Times New Roman" w:hAnsi="Times New Roman"/>
          <w:sz w:val="20"/>
        </w:rPr>
        <w:t xml:space="preserve"> </w:t>
      </w:r>
      <w:r>
        <w:rPr>
          <w:rFonts w:ascii="Times New Roman;serif" w:hAnsi="Times New Roman;serif"/>
          <w:b w:val="false"/>
          <w:sz w:val="20"/>
        </w:rPr>
        <w:t>with a carrying value of $2.0</w:t>
      </w:r>
      <w:r>
        <w:rPr>
          <w:rFonts w:ascii="Times New Roman" w:hAnsi="Times New Roman"/>
          <w:sz w:val="20"/>
        </w:rPr>
        <w:t xml:space="preserve"> </w:t>
      </w:r>
      <w:r>
        <w:rPr>
          <w:rFonts w:ascii="Times New Roman;serif" w:hAnsi="Times New Roman;serif"/>
          <w:b w:val="false"/>
          <w:sz w:val="20"/>
        </w:rPr>
        <w:t>million as of June 30, 2023,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six months ended June 30, 2023.</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xml:space="preserve">The recurring fair value measurement of the interest rate swap was valued based on observable inputs for similar assets and liabilities including swaption values and other observable inputs for interest rates and yield curves and is classified within level 2 of the fair value hierarchy. The following presents the changes in the fair value of the interest rate swap in the gross balances within the below line items for the respective periods: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250" w:type="dxa"/>
        <w:jc w:val="left"/>
        <w:tblInd w:w="0" w:type="dxa"/>
        <w:tblLayout w:type="fixed"/>
        <w:tblCellMar>
          <w:top w:w="28" w:type="dxa"/>
          <w:left w:w="28" w:type="dxa"/>
          <w:bottom w:w="28" w:type="dxa"/>
          <w:right w:w="28" w:type="dxa"/>
        </w:tblCellMar>
      </w:tblPr>
      <w:tblGrid>
        <w:gridCol w:w="3421"/>
        <w:gridCol w:w="146"/>
        <w:gridCol w:w="413"/>
        <w:gridCol w:w="1237"/>
        <w:gridCol w:w="166"/>
        <w:gridCol w:w="146"/>
        <w:gridCol w:w="380"/>
        <w:gridCol w:w="1030"/>
        <w:gridCol w:w="3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 June 30, 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interest rate swap</w:t>
            </w:r>
          </w:p>
        </w:tc>
        <w:tc>
          <w:tcPr>
            <w:tcW w:w="146" w:type="dxa"/>
            <w:tcBorders/>
            <w:vAlign w:val="center"/>
          </w:tcPr>
          <w:p>
            <w:pPr>
              <w:pStyle w:val="TableContents"/>
              <w:bidi w:val="0"/>
              <w:spacing w:before="0" w:after="0"/>
              <w:ind w:left="0" w:right="0" w:hanging="0"/>
              <w:jc w:val="lef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3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interest rate swap</w:t>
            </w:r>
          </w:p>
        </w:tc>
        <w:tc>
          <w:tcPr>
            <w:tcW w:w="146" w:type="dxa"/>
            <w:tcBorders/>
            <w:vAlign w:val="center"/>
          </w:tcPr>
          <w:p>
            <w:pPr>
              <w:pStyle w:val="TableContents"/>
              <w:bidi w:val="0"/>
              <w:spacing w:before="0" w:after="0"/>
              <w:ind w:left="0" w:right="0" w:hanging="0"/>
              <w:jc w:val="lef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2,296</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Accrued liabilities</w:t>
            </w:r>
          </w:p>
        </w:tc>
        <w:tc>
          <w:tcPr>
            <w:tcW w:w="146" w:type="dxa"/>
            <w:tcBorders/>
            <w:vAlign w:val="center"/>
          </w:tcPr>
          <w:p>
            <w:pPr>
              <w:pStyle w:val="TableContents"/>
              <w:bidi w:val="0"/>
              <w:spacing w:before="0" w:after="0"/>
              <w:ind w:left="0" w:right="0" w:hanging="0"/>
              <w:jc w:val="left"/>
              <w:rPr/>
            </w:pPr>
            <w:r>
              <w:rPr/>
              <w:t> </w:t>
            </w:r>
          </w:p>
        </w:tc>
        <w:tc>
          <w:tcPr>
            <w:tcW w:w="1650"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w:t>
            </w:r>
          </w:p>
        </w:tc>
        <w:tc>
          <w:tcPr>
            <w:tcW w:w="3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interest rate swap</w:t>
            </w:r>
          </w:p>
        </w:tc>
        <w:tc>
          <w:tcPr>
            <w:tcW w:w="146" w:type="dxa"/>
            <w:tcBorders/>
            <w:vAlign w:val="center"/>
          </w:tcPr>
          <w:p>
            <w:pPr>
              <w:pStyle w:val="TableContents"/>
              <w:bidi w:val="0"/>
              <w:spacing w:before="0" w:after="0"/>
              <w:ind w:left="0" w:right="0" w:hanging="0"/>
              <w:jc w:val="lef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The Company separately classifies the current and non-current components based on the value of settlements due within 12 months (current) and greater than 12 months (non-current). For additional information on the interest rate swap, refer to Note 2. </w:t>
      </w:r>
      <w:r>
        <w:rPr>
          <w:rFonts w:ascii="Times New Roman;serif" w:hAnsi="Times New Roman;serif"/>
          <w:b w:val="false"/>
          <w:i/>
          <w:sz w:val="20"/>
        </w:rPr>
        <w:t>Significant Accounting Policies</w:t>
      </w:r>
      <w:r>
        <w:rPr>
          <w:rFonts w:ascii="Times New Roman;serif" w:hAnsi="Times New Roman;serif"/>
          <w:b w:val="false"/>
          <w:sz w:val="20"/>
        </w:rPr>
        <w:t>.</w:t>
      </w:r>
    </w:p>
    <w:p>
      <w:pPr>
        <w:pStyle w:val="TextBody"/>
        <w:bidi w:val="0"/>
        <w:spacing w:before="160" w:after="0"/>
        <w:jc w:val="both"/>
        <w:rPr>
          <w:rFonts w:ascii="Times New Roman;serif" w:hAnsi="Times New Roman;serif"/>
          <w:b/>
          <w:sz w:val="20"/>
        </w:rPr>
      </w:pPr>
      <w:r>
        <w:rPr>
          <w:rFonts w:ascii="Times New Roman;serif" w:hAnsi="Times New Roman;serif"/>
          <w:b/>
          <w:sz w:val="20"/>
        </w:rPr>
        <w:t>8. Net Income Per Share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components of basic and diluted net income per share are as follows: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781"/>
        <w:gridCol w:w="146"/>
        <w:gridCol w:w="146"/>
        <w:gridCol w:w="211"/>
        <w:gridCol w:w="781"/>
        <w:gridCol w:w="146"/>
        <w:gridCol w:w="146"/>
        <w:gridCol w:w="211"/>
        <w:gridCol w:w="781"/>
        <w:gridCol w:w="146"/>
        <w:gridCol w:w="146"/>
        <w:gridCol w:w="211"/>
        <w:gridCol w:w="781"/>
        <w:gridCol w:w="39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(In thousands, except per share data)</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39,681</w:t>
            </w:r>
          </w:p>
        </w:tc>
        <w:tc>
          <w:tcPr>
            <w:tcW w:w="391" w:type="dxa"/>
            <w:tcBorders/>
            <w:vAlign w:val="center"/>
          </w:tcPr>
          <w:p>
            <w:pPr>
              <w:pStyle w:val="TableContents"/>
              <w:bidi w:val="0"/>
              <w:spacing w:before="0" w:after="0"/>
              <w:ind w:left="0" w:right="0" w:hanging="0"/>
              <w:jc w:val="left"/>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155,408</w:t>
            </w:r>
          </w:p>
        </w:tc>
        <w:tc>
          <w:tcPr>
            <w:tcW w:w="391" w:type="dxa"/>
            <w:tcBorders/>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161,507</w:t>
            </w:r>
          </w:p>
        </w:tc>
        <w:tc>
          <w:tcPr>
            <w:tcW w:w="391" w:type="dxa"/>
            <w:tcBorders/>
            <w:vAlign w:val="center"/>
          </w:tcPr>
          <w:p>
            <w:pPr>
              <w:pStyle w:val="TableContents"/>
              <w:bidi w:val="0"/>
              <w:spacing w:before="0" w:after="0"/>
              <w:ind w:left="0" w:right="0" w:hanging="0"/>
              <w:jc w:val="left"/>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per share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391" w:type="dxa"/>
            <w:tcBorders/>
            <w:vAlign w:val="center"/>
          </w:tcPr>
          <w:p>
            <w:pPr>
              <w:pStyle w:val="TableContents"/>
              <w:bidi w:val="0"/>
              <w:spacing w:before="0" w:after="0"/>
              <w:ind w:left="0" w:right="0" w:hanging="0"/>
              <w:jc w:val="left"/>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per share -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391" w:type="dxa"/>
            <w:tcBorders/>
            <w:vAlign w:val="center"/>
          </w:tcPr>
          <w:p>
            <w:pPr>
              <w:pStyle w:val="TableContents"/>
              <w:bidi w:val="0"/>
              <w:spacing w:before="0" w:after="0"/>
              <w:ind w:left="0" w:right="0" w:hanging="0"/>
              <w:jc w:val="left"/>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shares excluded from diluted net income per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82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Contingently issuable shares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391" w:type="dxa"/>
            <w:tcBorders/>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Non-qualified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1,502</w:t>
            </w:r>
          </w:p>
        </w:tc>
        <w:tc>
          <w:tcPr>
            <w:tcW w:w="391" w:type="dxa"/>
            <w:tcBorders/>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Performance share units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91" w:type="dxa"/>
            <w:tcBorders/>
            <w:vAlign w:val="center"/>
          </w:tcPr>
          <w:p>
            <w:pPr>
              <w:pStyle w:val="TableContents"/>
              <w:bidi w:val="0"/>
              <w:spacing w:before="0" w:after="0"/>
              <w:ind w:left="0" w:right="0" w:firstLine="200"/>
              <w:jc w:val="left"/>
              <w:rPr/>
            </w:pPr>
            <w:r>
              <w:rPr/>
              <w:t> </w:t>
            </w:r>
          </w:p>
        </w:tc>
      </w:tr>
      <w:tr>
        <w:trPr/>
        <w:tc>
          <w:tcPr>
            <w:tcW w:w="48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antidilutive shares excluded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(1) Contingently issuable shares relate to the earn-out agreement as discussed in Note 12, </w:t>
      </w:r>
      <w:r>
        <w:rPr>
          <w:rFonts w:ascii="Times New Roman;serif" w:hAnsi="Times New Roman;serif"/>
          <w:b w:val="false"/>
          <w:i/>
          <w:sz w:val="20"/>
        </w:rPr>
        <w:t>Other Significant Transactions</w:t>
      </w:r>
      <w:r>
        <w:rPr>
          <w:rFonts w:ascii="Times New Roman;serif" w:hAnsi="Times New Roman;serif"/>
          <w:b w:val="false"/>
          <w:sz w:val="20"/>
        </w:rPr>
        <w:t>.</w:t>
      </w:r>
    </w:p>
    <w:p>
      <w:pPr>
        <w:pStyle w:val="TextBody"/>
        <w:bidi w:val="0"/>
        <w:spacing w:before="360" w:after="0"/>
        <w:jc w:val="both"/>
        <w:rPr>
          <w:rFonts w:ascii="Times New Roman;serif" w:hAnsi="Times New Roman;serif"/>
          <w:b/>
          <w:sz w:val="20"/>
        </w:rPr>
      </w:pPr>
      <w:r>
        <w:rPr>
          <w:rFonts w:ascii="Times New Roman;serif" w:hAnsi="Times New Roman;serif"/>
          <w:b/>
          <w:sz w:val="20"/>
        </w:rPr>
        <w:t>9. Income Taxes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Company’s effective income tax rate was 39.6% and 29.9% for the three months ended June 30, 2023 and 2022, respectively, and 46.2% and 32.9% for the six months ended June 30, 2023 and 2022, respectively. The primary driver for the effective tax rate variance is due to the permanent differences related to the mark-to-market adjustment on the Private Placement Warrants.</w:t>
      </w:r>
    </w:p>
    <w:p>
      <w:pPr>
        <w:pStyle w:val="TextBody"/>
        <w:bidi w:val="0"/>
        <w:spacing w:before="240" w:after="0"/>
        <w:jc w:val="both"/>
        <w:rPr>
          <w:rFonts w:ascii="Times New Roman" w:hAnsi="Times New Roman"/>
          <w:sz w:val="20"/>
        </w:rPr>
      </w:pPr>
      <w:r>
        <w:rPr>
          <w:rFonts w:ascii="Times New Roman;serif" w:hAnsi="Times New Roman;serif"/>
          <w:b w:val="false"/>
          <w:sz w:val="20"/>
        </w:rPr>
        <w:t>The total amount of unrecognized tax benefits increased by $0.9</w:t>
      </w:r>
      <w:r>
        <w:rPr>
          <w:rFonts w:ascii="Times New Roman" w:hAnsi="Times New Roman"/>
          <w:sz w:val="20"/>
        </w:rPr>
        <w:t xml:space="preserve"> </w:t>
      </w:r>
      <w:r>
        <w:rPr>
          <w:rFonts w:ascii="Times New Roman;serif" w:hAnsi="Times New Roman;serif"/>
          <w:b w:val="false"/>
          <w:sz w:val="20"/>
        </w:rPr>
        <w:t>million during the six months ended June 30, 2023 primarily due to prior year tax positions. As of June 30, 2023, the total amount of unrecognized tax benefits was $12.1</w:t>
      </w:r>
      <w:r>
        <w:rPr>
          <w:rFonts w:ascii="Times New Roman" w:hAnsi="Times New Roman"/>
          <w:sz w:val="20"/>
        </w:rPr>
        <w:t xml:space="preserve"> </w:t>
      </w:r>
      <w:r>
        <w:rPr>
          <w:rFonts w:ascii="Times New Roman;serif" w:hAnsi="Times New Roman;serif"/>
          <w:b w:val="false"/>
          <w:sz w:val="20"/>
        </w:rPr>
        <w:t>million, of which $3.6</w:t>
      </w:r>
      <w:r>
        <w:rPr>
          <w:rFonts w:ascii="Times New Roman" w:hAnsi="Times New Roman"/>
          <w:sz w:val="20"/>
        </w:rPr>
        <w:t xml:space="preserve"> </w:t>
      </w:r>
      <w:r>
        <w:rPr>
          <w:rFonts w:ascii="Times New Roman;serif" w:hAnsi="Times New Roman;serif"/>
          <w:b w:val="false"/>
          <w:sz w:val="20"/>
        </w:rPr>
        <w:t>million would affect our effective tax rate if recognized. The Company recognizes interest and penalties related to unrecognized tax benefits through income tax expense. As of June 30, 2023, the Company had $0.8</w:t>
      </w:r>
      <w:r>
        <w:rPr>
          <w:rFonts w:ascii="Times New Roman" w:hAnsi="Times New Roman"/>
          <w:sz w:val="20"/>
        </w:rPr>
        <w:t xml:space="preserve"> </w:t>
      </w:r>
      <w:r>
        <w:rPr>
          <w:rFonts w:ascii="Times New Roman;serif" w:hAnsi="Times New Roman;serif"/>
          <w:b w:val="false"/>
          <w:sz w:val="20"/>
        </w:rPr>
        <w:t>million accrued for the payment of interest and penalties.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2018;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pStyle w:val="TextBody"/>
        <w:bidi w:val="0"/>
        <w:spacing w:before="360" w:after="0"/>
        <w:jc w:val="left"/>
        <w:rPr>
          <w:rFonts w:ascii="Times New Roman;serif" w:hAnsi="Times New Roman;serif"/>
          <w:b/>
          <w:sz w:val="20"/>
        </w:rPr>
      </w:pPr>
      <w:r>
        <w:rPr>
          <w:rFonts w:ascii="Times New Roman;serif" w:hAnsi="Times New Roman;serif"/>
          <w:b/>
          <w:sz w:val="20"/>
        </w:rPr>
        <w:t>10. Stockholders’ Equity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Warrants</w:t>
      </w:r>
    </w:p>
    <w:p>
      <w:pPr>
        <w:pStyle w:val="TextBody"/>
        <w:bidi w:val="0"/>
        <w:spacing w:before="120" w:after="0"/>
        <w:jc w:val="both"/>
        <w:rPr>
          <w:rFonts w:ascii="Times New Roman" w:hAnsi="Times New Roman"/>
          <w:sz w:val="20"/>
        </w:rPr>
      </w:pPr>
      <w:r>
        <w:rPr>
          <w:rFonts w:ascii="Times New Roman;serif" w:hAnsi="Times New Roman;serif"/>
          <w:b w:val="false"/>
          <w:sz w:val="20"/>
        </w:rPr>
        <w:t>As of December 31, 2022, there were 19,999,967</w:t>
      </w:r>
      <w:r>
        <w:rPr>
          <w:rFonts w:ascii="Times New Roman" w:hAnsi="Times New Roman"/>
          <w:sz w:val="20"/>
        </w:rPr>
        <w:t xml:space="preserve"> </w:t>
      </w:r>
      <w:r>
        <w:rPr>
          <w:rFonts w:ascii="Times New Roman;serif" w:hAnsi="Times New Roman;serif"/>
          <w:b w:val="false"/>
          <w:sz w:val="20"/>
        </w:rPr>
        <w:t>warrants outstanding to acquire shares of the Company’s Class A Common Stock, including (i) 6,666,666</w:t>
      </w:r>
      <w:r>
        <w:rPr>
          <w:rFonts w:ascii="Times New Roman" w:hAnsi="Times New Roman"/>
          <w:sz w:val="20"/>
        </w:rPr>
        <w:t xml:space="preserve"> </w:t>
      </w:r>
      <w:r>
        <w:rPr>
          <w:rFonts w:ascii="Times New Roman;serif" w:hAnsi="Times New Roman;serif"/>
          <w:b w:val="false"/>
          <w:sz w:val="20"/>
        </w:rPr>
        <w:t>warrants originally issued to Gores Sponsor II, LLC in a private placement in connection with the IPO (the “</w:t>
      </w:r>
      <w:r>
        <w:rPr>
          <w:rFonts w:ascii="Times New Roman;serif" w:hAnsi="Times New Roman;serif"/>
          <w:b/>
          <w:i/>
          <w:sz w:val="20"/>
        </w:rPr>
        <w:t>Private Placement Warrants</w:t>
      </w:r>
      <w:r>
        <w:rPr>
          <w:rFonts w:ascii="Times New Roman" w:hAnsi="Times New Roman"/>
          <w:sz w:val="20"/>
        </w:rPr>
        <w:t>”</w:t>
      </w:r>
      <w:r>
        <w:rPr>
          <w:rFonts w:ascii="Times New Roman;serif" w:hAnsi="Times New Roman;serif"/>
          <w:b w:val="false"/>
          <w:sz w:val="20"/>
        </w:rPr>
        <w:t>) and (ii) the remaining warrants issued in connection with the IPO (the “</w:t>
      </w:r>
      <w:r>
        <w:rPr>
          <w:rFonts w:ascii="Times New Roman;serif" w:hAnsi="Times New Roman;serif"/>
          <w:b/>
          <w:i/>
          <w:sz w:val="20"/>
        </w:rPr>
        <w:t>Public Warrants</w:t>
      </w:r>
      <w:r>
        <w:rPr>
          <w:rFonts w:ascii="Times New Roman" w:hAnsi="Times New Roman"/>
          <w:sz w:val="20"/>
        </w:rPr>
        <w:t xml:space="preserve">” </w:t>
      </w:r>
      <w:r>
        <w:rPr>
          <w:rFonts w:ascii="Times New Roman;serif" w:hAnsi="Times New Roman;serif"/>
          <w:b w:val="false"/>
          <w:sz w:val="20"/>
        </w:rPr>
        <w:t>and, together with the Private Placement Warrants, the “</w:t>
      </w:r>
      <w:r>
        <w:rPr>
          <w:rFonts w:ascii="Times New Roman;serif" w:hAnsi="Times New Roman;serif"/>
          <w:b/>
          <w:i/>
          <w:sz w:val="20"/>
        </w:rPr>
        <w:t>Warrants</w:t>
      </w:r>
      <w:r>
        <w:rPr>
          <w:rFonts w:ascii="Times New Roman" w:hAnsi="Times New Roman"/>
          <w:sz w:val="20"/>
        </w:rPr>
        <w:t>”</w:t>
      </w:r>
      <w:r>
        <w:rPr>
          <w:rFonts w:ascii="Times New Roman;serif" w:hAnsi="Times New Roman;serif"/>
          <w:b w:val="false"/>
          <w:sz w:val="20"/>
        </w:rPr>
        <w:t>). The Warrants have a five-year term and will expire in October 2023. As of June 30, 2023, 2,959,609</w:t>
      </w:r>
      <w:r>
        <w:rPr>
          <w:rFonts w:ascii="Times New Roman" w:hAnsi="Times New Roman"/>
          <w:sz w:val="20"/>
        </w:rPr>
        <w:t xml:space="preserve"> </w:t>
      </w:r>
      <w:r>
        <w:rPr>
          <w:rFonts w:ascii="Times New Roman;serif" w:hAnsi="Times New Roman;serif"/>
          <w:b w:val="false"/>
          <w:sz w:val="20"/>
        </w:rPr>
        <w:t>total Warrants remain outstanding, of which 645,711</w:t>
      </w:r>
      <w:r>
        <w:rPr>
          <w:rFonts w:ascii="Times New Roman" w:hAnsi="Times New Roman"/>
          <w:sz w:val="20"/>
        </w:rPr>
        <w:t xml:space="preserve"> </w:t>
      </w:r>
      <w:r>
        <w:rPr>
          <w:rFonts w:ascii="Times New Roman;serif" w:hAnsi="Times New Roman;serif"/>
          <w:b w:val="false"/>
          <w:sz w:val="20"/>
        </w:rPr>
        <w:t>were determined to be Private Placement Warrants.</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six months ended June 30, 2023, the Company processed the exercise of 17.0</w:t>
      </w:r>
      <w:r>
        <w:rPr>
          <w:rFonts w:ascii="Times New Roman" w:hAnsi="Times New Roman"/>
          <w:sz w:val="20"/>
        </w:rPr>
        <w:t xml:space="preserve"> </w:t>
      </w:r>
      <w:r>
        <w:rPr>
          <w:rFonts w:ascii="Times New Roman;serif" w:hAnsi="Times New Roman;serif"/>
          <w:b w:val="false"/>
          <w:sz w:val="20"/>
        </w:rPr>
        <w:t>million Warrants in exchange for the issuance of 14,840,070</w:t>
      </w:r>
      <w:r>
        <w:rPr>
          <w:rFonts w:ascii="Times New Roman" w:hAnsi="Times New Roman"/>
          <w:sz w:val="20"/>
        </w:rPr>
        <w:t xml:space="preserve"> </w:t>
      </w:r>
      <w:r>
        <w:rPr>
          <w:rFonts w:ascii="Times New Roman;serif" w:hAnsi="Times New Roman;serif"/>
          <w:b w:val="false"/>
          <w:sz w:val="20"/>
        </w:rPr>
        <w:t>shares of Class A Common Stock. There were 13,782,411</w:t>
      </w:r>
      <w:r>
        <w:rPr>
          <w:rFonts w:ascii="Times New Roman" w:hAnsi="Times New Roman"/>
          <w:sz w:val="20"/>
        </w:rPr>
        <w:t xml:space="preserve"> </w:t>
      </w:r>
      <w:r>
        <w:rPr>
          <w:rFonts w:ascii="Times New Roman;serif" w:hAnsi="Times New Roman;serif"/>
          <w:b w:val="false"/>
          <w:sz w:val="20"/>
        </w:rPr>
        <w:t>shares issued in exchange for cash-basis warrant exercises resulting in the receipt of $105.8</w:t>
      </w:r>
      <w:r>
        <w:rPr>
          <w:rFonts w:ascii="Times New Roman" w:hAnsi="Times New Roman"/>
          <w:sz w:val="20"/>
        </w:rPr>
        <w:t xml:space="preserve"> </w:t>
      </w:r>
      <w:r>
        <w:rPr>
          <w:rFonts w:ascii="Times New Roman;serif" w:hAnsi="Times New Roman;serif"/>
          <w:b w:val="false"/>
          <w:sz w:val="20"/>
        </w:rPr>
        <w:t>million in cash proceeds as of June 30, 2023, and $52.7</w:t>
      </w:r>
      <w:r>
        <w:rPr>
          <w:rFonts w:ascii="Times New Roman" w:hAnsi="Times New Roman"/>
          <w:sz w:val="20"/>
        </w:rPr>
        <w:t xml:space="preserve"> </w:t>
      </w:r>
      <w:r>
        <w:rPr>
          <w:rFonts w:ascii="Times New Roman;serif" w:hAnsi="Times New Roman;serif"/>
          <w:b w:val="false"/>
          <w:sz w:val="20"/>
        </w:rPr>
        <w:t xml:space="preserve">million of cash proceeds received in July 2023 which was recorded within prepaid expenses and other current assets. The remaining Warrant exercises were completed on a cashless basis. For details on the Private Placement Warrants liabilities as a result of the Warrant exercises and the changes in fair value of the liabilities recorded in the condensed consolidated statement of operations, refer to Note 7. </w:t>
      </w:r>
      <w:r>
        <w:rPr>
          <w:rFonts w:ascii="Times New Roman;serif" w:hAnsi="Times New Roman;serif"/>
          <w:b w:val="false"/>
          <w:i/>
          <w:sz w:val="20"/>
        </w:rPr>
        <w:t>Fair Value of Financial Instruments.</w:t>
      </w:r>
    </w:p>
    <w:p>
      <w:pPr>
        <w:pStyle w:val="TextBody"/>
        <w:bidi w:val="0"/>
        <w:spacing w:before="120" w:after="0"/>
        <w:jc w:val="both"/>
        <w:rPr>
          <w:rFonts w:ascii="Times New Roman" w:hAnsi="Times New Roman"/>
          <w:sz w:val="20"/>
        </w:rPr>
      </w:pPr>
      <w:r>
        <w:rPr>
          <w:rFonts w:ascii="Times New Roman;serif" w:hAnsi="Times New Roman;serif"/>
          <w:b w:val="false"/>
          <w:sz w:val="20"/>
        </w:rPr>
        <w:t>Subsequent to June 30, 2023, there were an additional 254,038</w:t>
      </w:r>
      <w:r>
        <w:rPr>
          <w:rFonts w:ascii="Times New Roman" w:hAnsi="Times New Roman"/>
          <w:sz w:val="20"/>
        </w:rPr>
        <w:t xml:space="preserve"> </w:t>
      </w:r>
      <w:r>
        <w:rPr>
          <w:rFonts w:ascii="Times New Roman;serif" w:hAnsi="Times New Roman;serif"/>
          <w:b w:val="false"/>
          <w:sz w:val="20"/>
        </w:rPr>
        <w:t>Warrants exercised in exchange for 253,478</w:t>
      </w:r>
      <w:r>
        <w:rPr>
          <w:rFonts w:ascii="Times New Roman" w:hAnsi="Times New Roman"/>
          <w:sz w:val="20"/>
        </w:rPr>
        <w:t xml:space="preserve"> </w:t>
      </w:r>
      <w:r>
        <w:rPr>
          <w:rFonts w:ascii="Times New Roman;serif" w:hAnsi="Times New Roman;serif"/>
          <w:b w:val="false"/>
          <w:sz w:val="20"/>
        </w:rPr>
        <w:t>shares of Class A Common Stock resulting in $2.9</w:t>
      </w:r>
      <w:r>
        <w:rPr>
          <w:rFonts w:ascii="Times New Roman" w:hAnsi="Times New Roman"/>
          <w:sz w:val="20"/>
        </w:rPr>
        <w:t xml:space="preserve"> </w:t>
      </w:r>
      <w:r>
        <w:rPr>
          <w:rFonts w:ascii="Times New Roman;serif" w:hAnsi="Times New Roman;serif"/>
          <w:b w:val="false"/>
          <w:sz w:val="20"/>
        </w:rPr>
        <w:t>million in cash proceeds.</w:t>
      </w:r>
    </w:p>
    <w:p>
      <w:pPr>
        <w:pStyle w:val="TextBody"/>
        <w:bidi w:val="0"/>
        <w:spacing w:before="240" w:after="240"/>
        <w:jc w:val="left"/>
        <w:rPr>
          <w:rFonts w:ascii="Times New Roman;serif" w:hAnsi="Times New Roman;serif"/>
          <w:b w:val="false"/>
          <w:i/>
          <w:sz w:val="20"/>
        </w:rPr>
      </w:pPr>
      <w:r>
        <w:rPr>
          <w:rFonts w:ascii="Times New Roman;serif" w:hAnsi="Times New Roman;serif"/>
          <w:b w:val="false"/>
          <w:i/>
          <w:sz w:val="20"/>
        </w:rPr>
        <w:t>Share Repurchase Programs</w:t>
      </w:r>
    </w:p>
    <w:p>
      <w:pPr>
        <w:pStyle w:val="TextBody"/>
        <w:bidi w:val="0"/>
        <w:spacing w:before="120" w:after="0"/>
        <w:jc w:val="both"/>
        <w:rPr>
          <w:rFonts w:ascii="Times New Roman" w:hAnsi="Times New Roman"/>
          <w:sz w:val="20"/>
        </w:rPr>
      </w:pPr>
      <w:r>
        <w:rPr>
          <w:rFonts w:ascii="Times New Roman;serif" w:hAnsi="Times New Roman;serif"/>
          <w:b w:val="false"/>
          <w:sz w:val="20"/>
        </w:rPr>
        <w:t>In November 2022, the Company's Board of Directors authorized a share repurchase program for up to an aggregate amount of $100.0</w:t>
      </w:r>
      <w:r>
        <w:rPr>
          <w:rFonts w:ascii="Times New Roman" w:hAnsi="Times New Roman"/>
          <w:sz w:val="20"/>
        </w:rPr>
        <w:t xml:space="preserve"> </w:t>
      </w:r>
      <w:r>
        <w:rPr>
          <w:rFonts w:ascii="Times New Roman;serif" w:hAnsi="Times New Roman;serif"/>
          <w:b w:val="false"/>
          <w:sz w:val="20"/>
        </w:rPr>
        <w:t>million of the Company's outstanding shares of Class A Common Stock over an 18-month period in open market, accelerated share repurchase (“</w:t>
      </w:r>
      <w:r>
        <w:rPr>
          <w:rFonts w:ascii="Times New Roman;serif" w:hAnsi="Times New Roman;serif"/>
          <w:b/>
          <w:i/>
          <w:sz w:val="20"/>
        </w:rPr>
        <w:t>ASR</w:t>
      </w:r>
      <w:r>
        <w:rPr>
          <w:rFonts w:ascii="Times New Roman" w:hAnsi="Times New Roman"/>
          <w:sz w:val="20"/>
        </w:rPr>
        <w:t>”</w:t>
      </w:r>
      <w:r>
        <w:rPr>
          <w:rFonts w:ascii="Times New Roman;serif" w:hAnsi="Times New Roman;serif"/>
          <w:b w:val="false"/>
          <w:sz w:val="20"/>
        </w:rPr>
        <w:t>) or privately negotiated transactions, each as permitted under applicable rules and regulations, any of which may use pre-arranged trading plans that are designed to meet the requirements of Rule 10b5-1 of the Exchange Act. The Company has not yet repurchased shares under this program.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In May 2022, the Company’s Board of Directors authorized a share repurchase program for up to an aggregate amount of $125.0</w:t>
      </w:r>
      <w:r>
        <w:rPr>
          <w:rFonts w:ascii="Times New Roman" w:hAnsi="Times New Roman"/>
          <w:sz w:val="20"/>
        </w:rPr>
        <w:t xml:space="preserve"> </w:t>
      </w:r>
      <w:r>
        <w:rPr>
          <w:rFonts w:ascii="Times New Roman;serif" w:hAnsi="Times New Roman;serif"/>
          <w:b w:val="false"/>
          <w:sz w:val="20"/>
        </w:rPr>
        <w:t>million of its outstanding shares of Class A Common Stock over a twelve-month period. On May 12, 2022, the Company paid $50.0</w:t>
      </w:r>
      <w:r>
        <w:rPr>
          <w:rFonts w:ascii="Times New Roman" w:hAnsi="Times New Roman"/>
          <w:sz w:val="20"/>
        </w:rPr>
        <w:t xml:space="preserve"> </w:t>
      </w:r>
      <w:r>
        <w:rPr>
          <w:rFonts w:ascii="Times New Roman;serif" w:hAnsi="Times New Roman;serif"/>
          <w:b w:val="false"/>
          <w:sz w:val="20"/>
        </w:rPr>
        <w:t>million and received an initial delivery of 2,739,726</w:t>
      </w:r>
      <w:r>
        <w:rPr>
          <w:rFonts w:ascii="Times New Roman" w:hAnsi="Times New Roman"/>
          <w:sz w:val="20"/>
        </w:rPr>
        <w:t xml:space="preserve"> </w:t>
      </w:r>
      <w:r>
        <w:rPr>
          <w:rFonts w:ascii="Times New Roman;serif" w:hAnsi="Times New Roman;serif"/>
          <w:b w:val="false"/>
          <w:sz w:val="20"/>
        </w:rPr>
        <w:t>shares of its Class A Common Stock in accordance with an ASR agreement with a third-party financial institution. The final settlement occurred during the third quarter of fiscal year 2022. The Company accounted for the ASR as a common stock repurchase and a forward contract indexed to its own common stock. The Company determined that the equity classification criteria was met for the forward contract, therefore, it did not account for it as a derivative instrument. In addition, the Company paid $5.2</w:t>
      </w:r>
      <w:r>
        <w:rPr>
          <w:rFonts w:ascii="Times New Roman" w:hAnsi="Times New Roman"/>
          <w:sz w:val="20"/>
        </w:rPr>
        <w:t xml:space="preserve"> </w:t>
      </w:r>
      <w:r>
        <w:rPr>
          <w:rFonts w:ascii="Times New Roman;serif" w:hAnsi="Times New Roman;serif"/>
          <w:b w:val="false"/>
          <w:sz w:val="20"/>
        </w:rPr>
        <w:t>million to repurchase 336,153</w:t>
      </w:r>
      <w:r>
        <w:rPr>
          <w:rFonts w:ascii="Times New Roman" w:hAnsi="Times New Roman"/>
          <w:sz w:val="20"/>
        </w:rPr>
        <w:t xml:space="preserve"> </w:t>
      </w:r>
      <w:r>
        <w:rPr>
          <w:rFonts w:ascii="Times New Roman;serif" w:hAnsi="Times New Roman;serif"/>
          <w:b w:val="false"/>
          <w:sz w:val="20"/>
        </w:rPr>
        <w:t>shares of its Class A Common Stock through open market transactions during the second quarter of fiscal year 2022, which it subsequently retired.</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paid a total of $55.3</w:t>
      </w:r>
      <w:r>
        <w:rPr>
          <w:rFonts w:ascii="Times New Roman" w:hAnsi="Times New Roman"/>
          <w:sz w:val="20"/>
        </w:rPr>
        <w:t xml:space="preserve"> </w:t>
      </w:r>
      <w:r>
        <w:rPr>
          <w:rFonts w:ascii="Times New Roman;serif" w:hAnsi="Times New Roman;serif"/>
          <w:b w:val="false"/>
          <w:sz w:val="20"/>
        </w:rPr>
        <w:t>million for share repurchases, including $0.1</w:t>
      </w:r>
      <w:r>
        <w:rPr>
          <w:rFonts w:ascii="Times New Roman" w:hAnsi="Times New Roman"/>
          <w:sz w:val="20"/>
        </w:rPr>
        <w:t xml:space="preserve"> </w:t>
      </w:r>
      <w:r>
        <w:rPr>
          <w:rFonts w:ascii="Times New Roman;serif" w:hAnsi="Times New Roman;serif"/>
          <w:b w:val="false"/>
          <w:sz w:val="20"/>
        </w:rPr>
        <w:t>million of direct costs, during the second quarter of fiscal year 2022 which was accounted by deducting the par value from the common stock account, reducing $6.2</w:t>
      </w:r>
      <w:r>
        <w:rPr>
          <w:rFonts w:ascii="Times New Roman" w:hAnsi="Times New Roman"/>
          <w:sz w:val="20"/>
        </w:rPr>
        <w:t xml:space="preserve"> </w:t>
      </w:r>
      <w:r>
        <w:rPr>
          <w:rFonts w:ascii="Times New Roman;serif" w:hAnsi="Times New Roman;serif"/>
          <w:b w:val="false"/>
          <w:sz w:val="20"/>
        </w:rPr>
        <w:t>million from additional paid-in capital calculated using an average share price, and by increasing accumulated deficit for the remaining cost of $49.1</w:t>
      </w:r>
      <w:r>
        <w:rPr>
          <w:rFonts w:ascii="Times New Roman" w:hAnsi="Times New Roman"/>
          <w:sz w:val="20"/>
        </w:rPr>
        <w:t xml:space="preserve"> </w:t>
      </w:r>
      <w:r>
        <w:rPr>
          <w:rFonts w:ascii="Times New Roman;serif" w:hAnsi="Times New Roman;serif"/>
          <w:b w:val="false"/>
          <w:sz w:val="20"/>
        </w:rPr>
        <w:t>million. The repurchases under the May 2022 share repurchase program were completed prior to the authorization of the November 2022 share repurchase program discussed above.</w:t>
      </w:r>
    </w:p>
    <w:p>
      <w:pPr>
        <w:pStyle w:val="TextBody"/>
        <w:bidi w:val="0"/>
        <w:spacing w:before="360" w:after="0"/>
        <w:jc w:val="both"/>
        <w:rPr>
          <w:rFonts w:ascii="Times New Roman;serif" w:hAnsi="Times New Roman;serif"/>
          <w:b/>
          <w:sz w:val="20"/>
        </w:rPr>
      </w:pPr>
      <w:r>
        <w:rPr>
          <w:rFonts w:ascii="Times New Roman;serif" w:hAnsi="Times New Roman;serif"/>
          <w:b/>
          <w:sz w:val="20"/>
        </w:rPr>
        <w:t>11. Stock-Based Compensation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details the components of stock-based compensation for the respective periods:</w:t>
      </w:r>
    </w:p>
    <w:p>
      <w:pPr>
        <w:pStyle w:val="TextBody"/>
        <w:bidi w:val="0"/>
        <w:spacing w:before="0" w:after="0"/>
        <w:jc w:val="both"/>
        <w:rPr/>
      </w:pPr>
      <w:r>
        <w:rPr/>
        <w:t> </w:t>
      </w:r>
    </w:p>
    <w:tbl>
      <w:tblPr>
        <w:tblW w:w="8797" w:type="dxa"/>
        <w:jc w:val="left"/>
        <w:tblInd w:w="0" w:type="dxa"/>
        <w:tblLayout w:type="fixed"/>
        <w:tblCellMar>
          <w:top w:w="28" w:type="dxa"/>
          <w:left w:w="28" w:type="dxa"/>
          <w:bottom w:w="28" w:type="dxa"/>
          <w:right w:w="28" w:type="dxa"/>
        </w:tblCellMar>
      </w:tblPr>
      <w:tblGrid>
        <w:gridCol w:w="3736"/>
        <w:gridCol w:w="146"/>
        <w:gridCol w:w="257"/>
        <w:gridCol w:w="697"/>
        <w:gridCol w:w="178"/>
        <w:gridCol w:w="178"/>
        <w:gridCol w:w="257"/>
        <w:gridCol w:w="697"/>
        <w:gridCol w:w="146"/>
        <w:gridCol w:w="146"/>
        <w:gridCol w:w="235"/>
        <w:gridCol w:w="637"/>
        <w:gridCol w:w="162"/>
        <w:gridCol w:w="162"/>
        <w:gridCol w:w="235"/>
        <w:gridCol w:w="637"/>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2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3,978</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7,024</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7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4,525</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7,903</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sz w:val="20"/>
        </w:rPr>
      </w:pPr>
      <w:r>
        <w:rPr>
          <w:rFonts w:ascii="Times New Roman;serif" w:hAnsi="Times New Roman;serif"/>
          <w:b w:val="false"/>
          <w:sz w:val="20"/>
        </w:rPr>
        <w:t>The decrease in stock-based compensation expense of $1.1</w:t>
      </w:r>
      <w:r>
        <w:rPr>
          <w:rFonts w:ascii="Times New Roman;serif" w:hAnsi="Times New Roman;serif"/>
          <w:sz w:val="20"/>
        </w:rPr>
        <w:t xml:space="preserve"> </w:t>
      </w:r>
      <w:r>
        <w:rPr>
          <w:rFonts w:ascii="Times New Roman;serif" w:hAnsi="Times New Roman;serif"/>
          <w:b w:val="false"/>
          <w:sz w:val="20"/>
        </w:rPr>
        <w:t>million during the six months ended June 30, 2023 as compared to the 2022 period is primarily due to the accelerated vesting of RSUs granted in 2022 to an executive officer as part of a separation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both"/>
        <w:rPr>
          <w:rFonts w:ascii="Times New Roman" w:hAnsi="Times New Roman"/>
          <w:sz w:val="20"/>
        </w:rPr>
      </w:pPr>
      <w:r>
        <w:rPr>
          <w:rFonts w:ascii="Times New Roman;serif" w:hAnsi="Times New Roman;serif"/>
          <w:b/>
          <w:sz w:val="20"/>
        </w:rPr>
        <w:t>12.</w:t>
      </w:r>
      <w:r>
        <w:rPr>
          <w:rFonts w:ascii="Times New Roman" w:hAnsi="Times New Roman"/>
          <w:sz w:val="20"/>
        </w:rPr>
        <w:t xml:space="preserve"> </w:t>
      </w:r>
      <w:r>
        <w:rPr>
          <w:rFonts w:ascii="Times New Roman;serif" w:hAnsi="Times New Roman;serif"/>
          <w:b/>
          <w:sz w:val="20"/>
        </w:rPr>
        <w:t>Other Significant Transactions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Tax Receivable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At the closing of the Business Combination, the Company entered into a Tax Receivable Agreement (“</w:t>
      </w:r>
      <w:r>
        <w:rPr>
          <w:rFonts w:ascii="Times New Roman;serif" w:hAnsi="Times New Roman;serif"/>
          <w:b/>
          <w:i/>
          <w:sz w:val="20"/>
        </w:rPr>
        <w:t>TRA</w:t>
      </w:r>
      <w:r>
        <w:rPr>
          <w:rFonts w:ascii="Times New Roman" w:hAnsi="Times New Roman"/>
          <w:sz w:val="20"/>
        </w:rPr>
        <w:t>”</w:t>
      </w:r>
      <w:r>
        <w:rPr>
          <w:rFonts w:ascii="Times New Roman;serif" w:hAnsi="Times New Roman;serif"/>
          <w:b w:val="false"/>
          <w:sz w:val="20"/>
        </w:rPr>
        <w:t>) with the Platinum Stockholder. On August 3, 2022, the Platinum Stockholder sold and transferred to Lakeside Smart Holdco L.P (“</w:t>
      </w:r>
      <w:r>
        <w:rPr>
          <w:rFonts w:ascii="Times New Roman;serif" w:hAnsi="Times New Roman;serif"/>
          <w:b/>
          <w:i/>
          <w:sz w:val="20"/>
        </w:rPr>
        <w:t>Lakeside</w:t>
      </w:r>
      <w:r>
        <w:rPr>
          <w:rFonts w:ascii="Times New Roman" w:hAnsi="Times New Roman"/>
          <w:sz w:val="20"/>
        </w:rPr>
        <w:t>”</w:t>
      </w:r>
      <w:r>
        <w:rPr>
          <w:rFonts w:ascii="Times New Roman;serif" w:hAnsi="Times New Roman;serif"/>
          <w:b w:val="false"/>
          <w:sz w:val="20"/>
        </w:rPr>
        <w:t>), all of its rights, remaining interests and obligations as of that date under the TRA.</w:t>
      </w:r>
      <w:r>
        <w:rPr>
          <w:rFonts w:ascii="Times New Roman" w:hAnsi="Times New Roman"/>
          <w:sz w:val="20"/>
        </w:rPr>
        <w:t xml:space="preserve"> </w:t>
      </w:r>
      <w:r>
        <w:rPr>
          <w:rFonts w:ascii="Times New Roman;serif" w:hAnsi="Times New Roman;serif"/>
          <w:b w:val="false"/>
          <w:sz w:val="20"/>
        </w:rPr>
        <w:t>The TRA provides for the payment to Lakeside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w:t>
      </w:r>
      <w:r>
        <w:rPr>
          <w:rFonts w:ascii="Times New Roman" w:hAnsi="Times New Roman"/>
          <w:sz w:val="20"/>
        </w:rPr>
        <w:t xml:space="preserve"> </w:t>
      </w:r>
      <w:r>
        <w:rPr>
          <w:rFonts w:ascii="Times New Roman;serif" w:hAnsi="Times New Roman;serif"/>
          <w:b w:val="false"/>
          <w:sz w:val="20"/>
        </w:rPr>
        <w:t>million, and recorded an initial liability and corresponding charge to equity at the closing of the Business Combination.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At June 30, 2023, the TRA liability was approximately $55.9</w:t>
      </w:r>
      <w:r>
        <w:rPr>
          <w:rFonts w:ascii="Times New Roman" w:hAnsi="Times New Roman"/>
          <w:sz w:val="20"/>
        </w:rPr>
        <w:t xml:space="preserve"> </w:t>
      </w:r>
      <w:r>
        <w:rPr>
          <w:rFonts w:ascii="Times New Roman;serif" w:hAnsi="Times New Roman;serif"/>
          <w:b w:val="false"/>
          <w:sz w:val="20"/>
        </w:rPr>
        <w:t>million of which $5.0</w:t>
      </w:r>
      <w:r>
        <w:rPr>
          <w:rFonts w:ascii="Times New Roman" w:hAnsi="Times New Roman"/>
          <w:sz w:val="20"/>
        </w:rPr>
        <w:t xml:space="preserve"> </w:t>
      </w:r>
      <w:r>
        <w:rPr>
          <w:rFonts w:ascii="Times New Roman;serif" w:hAnsi="Times New Roman;serif"/>
          <w:b w:val="false"/>
          <w:sz w:val="20"/>
        </w:rPr>
        <w:t>million was the current portion and $50.9</w:t>
      </w:r>
      <w:r>
        <w:rPr>
          <w:rFonts w:ascii="Times New Roman" w:hAnsi="Times New Roman"/>
          <w:sz w:val="20"/>
        </w:rPr>
        <w:t xml:space="preserve"> </w:t>
      </w:r>
      <w:r>
        <w:rPr>
          <w:rFonts w:ascii="Times New Roman;serif" w:hAnsi="Times New Roman;serif"/>
          <w:b w:val="false"/>
          <w:sz w:val="20"/>
        </w:rPr>
        <w:t>million was the non-current portion, both of which are included in the respective tax receivable agreement liability line items on the condensed consolidated balance sheet.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recorded a $1.0</w:t>
      </w:r>
      <w:r>
        <w:rPr>
          <w:rFonts w:ascii="Times New Roman" w:hAnsi="Times New Roman"/>
          <w:sz w:val="20"/>
        </w:rPr>
        <w:t xml:space="preserve"> </w:t>
      </w:r>
      <w:r>
        <w:rPr>
          <w:rFonts w:ascii="Times New Roman;serif" w:hAnsi="Times New Roman;serif"/>
          <w:b w:val="false"/>
          <w:sz w:val="20"/>
        </w:rPr>
        <w:t>million benefit for the three and six months ended June 30, 2022 which resulted from lower estimated state tax rates due to changes in apportionment.</w:t>
      </w:r>
    </w:p>
    <w:p>
      <w:pPr>
        <w:pStyle w:val="TextBody"/>
        <w:bidi w:val="0"/>
        <w:spacing w:before="360" w:after="0"/>
        <w:jc w:val="both"/>
        <w:rPr>
          <w:rFonts w:ascii="Times New Roman;serif" w:hAnsi="Times New Roman;serif"/>
          <w:b/>
          <w:i/>
          <w:sz w:val="20"/>
        </w:rPr>
      </w:pPr>
      <w:r>
        <w:rPr>
          <w:rFonts w:ascii="Times New Roman;serif" w:hAnsi="Times New Roman;serif"/>
          <w:b/>
          <w:i/>
          <w:sz w:val="20"/>
        </w:rPr>
        <w:t>Earn-Out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Merger Agreement, the Platinum Stockholder is entitled to receive additional shares of Class A Common Stock (the “</w:t>
      </w:r>
      <w:r>
        <w:rPr>
          <w:rFonts w:ascii="Times New Roman;serif" w:hAnsi="Times New Roman;serif"/>
          <w:b/>
          <w:i/>
          <w:sz w:val="20"/>
        </w:rPr>
        <w:t>Earn-Out Shares</w:t>
      </w:r>
      <w:r>
        <w:rPr>
          <w:rFonts w:ascii="Times New Roman" w:hAnsi="Times New Roman"/>
          <w:sz w:val="20"/>
        </w:rPr>
        <w:t>”</w:t>
      </w:r>
      <w:r>
        <w:rPr>
          <w:rFonts w:ascii="Times New Roman;serif" w:hAnsi="Times New Roman;serif"/>
          <w:b w:val="false"/>
          <w:sz w:val="20"/>
        </w:rPr>
        <w:t>) if the volume weighted average closing sale price of one share of Class A Common Stock on the Nasdaq exceeds certain thresholds for a period of at least 10 days</w:t>
      </w:r>
      <w:r>
        <w:rPr>
          <w:rFonts w:ascii="Times New Roman" w:hAnsi="Times New Roman"/>
          <w:sz w:val="20"/>
        </w:rPr>
        <w:t xml:space="preserve"> </w:t>
      </w:r>
      <w:r>
        <w:rPr>
          <w:rFonts w:ascii="Times New Roman;serif" w:hAnsi="Times New Roman;serif"/>
          <w:b w:val="false"/>
          <w:sz w:val="20"/>
        </w:rPr>
        <w:t>out of 20</w:t>
      </w:r>
      <w:r>
        <w:rPr>
          <w:rFonts w:ascii="Times New Roman" w:hAnsi="Times New Roman"/>
          <w:sz w:val="20"/>
        </w:rPr>
        <w:t xml:space="preserve"> </w:t>
      </w:r>
      <w:r>
        <w:rPr>
          <w:rFonts w:ascii="Times New Roman;serif" w:hAnsi="Times New Roman;serif"/>
          <w:b w:val="false"/>
          <w:sz w:val="20"/>
        </w:rPr>
        <w:t>consecutive trading days at any time during the five-year</w:t>
      </w:r>
      <w:r>
        <w:rPr>
          <w:rFonts w:ascii="Times New Roman" w:hAnsi="Times New Roman"/>
          <w:sz w:val="20"/>
        </w:rPr>
        <w:t xml:space="preserve"> </w:t>
      </w:r>
      <w:r>
        <w:rPr>
          <w:rFonts w:ascii="Times New Roman;serif" w:hAnsi="Times New Roman;serif"/>
          <w:b w:val="false"/>
          <w:sz w:val="20"/>
        </w:rPr>
        <w:t>period following the closing of the Business Combination (the “</w:t>
      </w:r>
      <w:r>
        <w:rPr>
          <w:rFonts w:ascii="Times New Roman;serif" w:hAnsi="Times New Roman;serif"/>
          <w:b/>
          <w:i/>
          <w:sz w:val="20"/>
        </w:rPr>
        <w:t>Common Stock Price</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Earn-Out Shares are issued by the Company to the Platinum Stockholder upon meeting the below Common Stock Price Thresholds (each, a “</w:t>
      </w:r>
      <w:r>
        <w:rPr>
          <w:rFonts w:ascii="Times New Roman;serif" w:hAnsi="Times New Roman;serif"/>
          <w:b/>
          <w:i/>
          <w:sz w:val="20"/>
        </w:rPr>
        <w:t>Triggering Event</w:t>
      </w:r>
      <w:r>
        <w:rPr>
          <w:rFonts w:ascii="Times New Roman" w:hAnsi="Times New Roman"/>
          <w:sz w:val="20"/>
        </w:rPr>
        <w:t>”</w:t>
      </w:r>
      <w:r>
        <w:rPr>
          <w:rFonts w:ascii="Times New Roman;serif" w:hAnsi="Times New Roman;serif"/>
          <w:b w:val="false"/>
          <w:sz w:val="20"/>
        </w:rPr>
        <w:t>):</w:t>
      </w:r>
    </w:p>
    <w:p>
      <w:pPr>
        <w:pStyle w:val="TextBody"/>
        <w:bidi w:val="0"/>
        <w:spacing w:before="0" w:after="0"/>
        <w:jc w:val="both"/>
        <w:rPr/>
      </w:pPr>
      <w:r>
        <w:rPr/>
        <w:t> </w:t>
      </w:r>
    </w:p>
    <w:tbl>
      <w:tblPr>
        <w:tblW w:w="4813" w:type="dxa"/>
        <w:jc w:val="left"/>
        <w:tblInd w:w="0" w:type="dxa"/>
        <w:tblLayout w:type="fixed"/>
        <w:tblCellMar>
          <w:top w:w="28" w:type="dxa"/>
          <w:left w:w="28" w:type="dxa"/>
          <w:bottom w:w="28" w:type="dxa"/>
          <w:right w:w="28" w:type="dxa"/>
        </w:tblCellMar>
      </w:tblPr>
      <w:tblGrid>
        <w:gridCol w:w="2476"/>
        <w:gridCol w:w="146"/>
        <w:gridCol w:w="2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 Price Thresholds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One-time Issuance of Shares</w:t>
            </w:r>
          </w:p>
        </w:tc>
      </w:tr>
      <w:tr>
        <w:trPr/>
        <w:tc>
          <w:tcPr>
            <w:tcW w:w="247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&gt; $13.00</w:t>
            </w:r>
            <w:r>
              <w:rPr>
                <w:rFonts w:ascii="Times New Roman" w:hAnsi="Times New Roman"/>
                <w:sz w:val="20"/>
              </w:rPr>
              <w:t xml:space="preserve">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2,500,000</w:t>
            </w:r>
          </w:p>
        </w:tc>
      </w:tr>
      <w:tr>
        <w:trPr/>
        <w:tc>
          <w:tcPr>
            <w:tcW w:w="247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&gt; $15.50</w:t>
            </w:r>
            <w:r>
              <w:rPr>
                <w:rFonts w:ascii="Times New Roman" w:hAnsi="Times New Roman"/>
                <w:sz w:val="20"/>
              </w:rPr>
              <w:t xml:space="preserve">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2,500,000</w:t>
            </w:r>
          </w:p>
        </w:tc>
      </w:tr>
      <w:tr>
        <w:trPr/>
        <w:tc>
          <w:tcPr>
            <w:tcW w:w="247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&gt; $18.00</w:t>
            </w:r>
            <w:r>
              <w:rPr>
                <w:rFonts w:ascii="Times New Roman" w:hAnsi="Times New Roman"/>
                <w:sz w:val="20"/>
              </w:rPr>
              <w:t xml:space="preserve">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2,500,000</w:t>
            </w:r>
          </w:p>
        </w:tc>
      </w:tr>
      <w:tr>
        <w:trPr/>
        <w:tc>
          <w:tcPr>
            <w:tcW w:w="247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&gt; $20.50</w:t>
            </w:r>
            <w:r>
              <w:rPr>
                <w:rFonts w:ascii="Times New Roman" w:hAnsi="Times New Roman"/>
                <w:sz w:val="20"/>
              </w:rPr>
              <w:t xml:space="preserve">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2,500,000</w:t>
            </w:r>
          </w:p>
        </w:tc>
      </w:tr>
    </w:tbl>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All four tranches of Earn-Out Shares have been issued, as discussed below.</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estimated the original fair value of the contingently issuable shares to be $73.15</w:t>
      </w:r>
      <w:r>
        <w:rPr>
          <w:rFonts w:ascii="Times New Roman" w:hAnsi="Times New Roman"/>
          <w:sz w:val="20"/>
        </w:rPr>
        <w:t xml:space="preserve"> </w:t>
      </w:r>
      <w:r>
        <w:rPr>
          <w:rFonts w:ascii="Times New Roman;serif" w:hAnsi="Times New Roman;serif"/>
          <w:b w:val="false"/>
          <w:sz w:val="20"/>
        </w:rPr>
        <w:t>million, of which $18.3</w:t>
      </w:r>
      <w:r>
        <w:rPr>
          <w:rFonts w:ascii="Times New Roman" w:hAnsi="Times New Roman"/>
          <w:sz w:val="20"/>
        </w:rPr>
        <w:t xml:space="preserve"> </w:t>
      </w:r>
      <w:r>
        <w:rPr>
          <w:rFonts w:ascii="Times New Roman;serif" w:hAnsi="Times New Roman;serif"/>
          <w:b w:val="false"/>
          <w:sz w:val="20"/>
        </w:rPr>
        <w:t>million remains contingently issuable as of June 30, 2023.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On April 26, 2019, January 27, 2020 and June 14, 2023, the Triggering Events for the issuance of the first, second and third tranches of Earn-Out Shares occurred, as the volume weighted average closing sale price per share of the Company’s Class A Common Stock as of that date had been greater than $13.00, $15.50</w:t>
      </w:r>
      <w:r>
        <w:rPr>
          <w:rFonts w:ascii="Times New Roman" w:hAnsi="Times New Roman"/>
          <w:sz w:val="20"/>
        </w:rPr>
        <w:t xml:space="preserve"> </w:t>
      </w:r>
      <w:r>
        <w:rPr>
          <w:rFonts w:ascii="Times New Roman;serif" w:hAnsi="Times New Roman;serif"/>
          <w:b w:val="false"/>
          <w:sz w:val="20"/>
        </w:rPr>
        <w:t>and $18.00, respectively, for 10</w:t>
      </w:r>
      <w:r>
        <w:rPr>
          <w:rFonts w:ascii="Times New Roman" w:hAnsi="Times New Roman"/>
          <w:sz w:val="20"/>
        </w:rPr>
        <w:t xml:space="preserve"> </w:t>
      </w:r>
      <w:r>
        <w:rPr>
          <w:rFonts w:ascii="Times New Roman;serif" w:hAnsi="Times New Roman;serif"/>
          <w:b w:val="false"/>
          <w:sz w:val="20"/>
        </w:rPr>
        <w:t>out of 20</w:t>
      </w:r>
      <w:r>
        <w:rPr>
          <w:rFonts w:ascii="Times New Roman" w:hAnsi="Times New Roman"/>
          <w:sz w:val="20"/>
        </w:rPr>
        <w:t xml:space="preserve"> </w:t>
      </w:r>
      <w:r>
        <w:rPr>
          <w:rFonts w:ascii="Times New Roman;serif" w:hAnsi="Times New Roman;serif"/>
          <w:b w:val="false"/>
          <w:sz w:val="20"/>
        </w:rPr>
        <w:t>consecutive trading days. These Triggering Events resulted in the issuance of an aggregate 7,500,000</w:t>
      </w:r>
      <w:r>
        <w:rPr>
          <w:rFonts w:ascii="Times New Roman" w:hAnsi="Times New Roman"/>
          <w:sz w:val="20"/>
        </w:rPr>
        <w:t xml:space="preserve"> </w:t>
      </w:r>
      <w:r>
        <w:rPr>
          <w:rFonts w:ascii="Times New Roman;serif" w:hAnsi="Times New Roman;serif"/>
          <w:b w:val="false"/>
          <w:sz w:val="20"/>
        </w:rPr>
        <w:t>shares of the Company’s Class A Common Stock to the Platinum Stockholder and an increase in the Company’s common stock and additional paid-in capital accounts of $54.9</w:t>
      </w:r>
      <w:r>
        <w:rPr>
          <w:rFonts w:ascii="Times New Roman" w:hAnsi="Times New Roman"/>
          <w:sz w:val="20"/>
        </w:rPr>
        <w:t xml:space="preserve"> </w:t>
      </w:r>
      <w:r>
        <w:rPr>
          <w:rFonts w:ascii="Times New Roman;serif" w:hAnsi="Times New Roman;serif"/>
          <w:b w:val="false"/>
          <w:sz w:val="20"/>
        </w:rPr>
        <w:t>million, with a corresponding decrease to the common stock contingent consideration account.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On July 26, 2023, the Triggering Event for the issuance of the last tranche of Earn-out Shares occurred as the volume weighted average closing sale price per share of the Company’s Class A Common Stock as of that date had been greater than $20.50</w:t>
      </w:r>
      <w:r>
        <w:rPr>
          <w:rFonts w:ascii="Times New Roman" w:hAnsi="Times New Roman"/>
          <w:sz w:val="20"/>
        </w:rPr>
        <w:t xml:space="preserve"> </w:t>
      </w:r>
      <w:r>
        <w:rPr>
          <w:rFonts w:ascii="Times New Roman;serif" w:hAnsi="Times New Roman;serif"/>
          <w:b w:val="false"/>
          <w:sz w:val="20"/>
        </w:rPr>
        <w:t>for 10 out of 20 consecutive trading days. This resulted in the issuance of 2,500,000</w:t>
      </w:r>
      <w:r>
        <w:rPr>
          <w:rFonts w:ascii="Times New Roman" w:hAnsi="Times New Roman"/>
          <w:sz w:val="20"/>
        </w:rPr>
        <w:t xml:space="preserve"> </w:t>
      </w:r>
      <w:r>
        <w:rPr>
          <w:rFonts w:ascii="Times New Roman;serif" w:hAnsi="Times New Roman;serif"/>
          <w:b w:val="false"/>
          <w:sz w:val="20"/>
        </w:rPr>
        <w:t>shares to the Platinum Stockholder.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13. Commitments and Contingencies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had $2.0</w:t>
      </w:r>
      <w:r>
        <w:rPr>
          <w:rFonts w:ascii="Times New Roman" w:hAnsi="Times New Roman"/>
          <w:sz w:val="20"/>
        </w:rPr>
        <w:t xml:space="preserve"> </w:t>
      </w:r>
      <w:r>
        <w:rPr>
          <w:rFonts w:ascii="Times New Roman;serif" w:hAnsi="Times New Roman;serif"/>
          <w:b w:val="false"/>
          <w:sz w:val="20"/>
        </w:rPr>
        <w:t>million of bank guarantees at June 30, 2023 required to support bids and contracts with certain international customers.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has non-cancelable purchase commitments to certain vendors. The aggregate non-cancelable purchase commitments outstanding at June 30, 2023 were $21.6</w:t>
      </w:r>
      <w:r>
        <w:rPr>
          <w:rFonts w:ascii="Times New Roman" w:hAnsi="Times New Roman"/>
          <w:sz w:val="20"/>
        </w:rPr>
        <w:t xml:space="preserve"> </w:t>
      </w:r>
      <w:r>
        <w:rPr>
          <w:rFonts w:ascii="Times New Roman;serif" w:hAnsi="Times New Roman;serif"/>
          <w:b w:val="false"/>
          <w:sz w:val="20"/>
        </w:rPr>
        <w:t>million. The majority of these outstanding commitments are expected to be incurred in 2023, and approximately $1.7</w:t>
      </w:r>
      <w:r>
        <w:rPr>
          <w:rFonts w:ascii="Times New Roman" w:hAnsi="Times New Roman"/>
          <w:sz w:val="20"/>
        </w:rPr>
        <w:t xml:space="preserve"> </w:t>
      </w:r>
      <w:r>
        <w:rPr>
          <w:rFonts w:ascii="Times New Roman;serif" w:hAnsi="Times New Roman;serif"/>
          <w:b w:val="false"/>
          <w:sz w:val="20"/>
        </w:rPr>
        <w:t>million is expected to be incurred between 2024 and 2025.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is subject to tax audits in the normal course of business and does not have material contingencies recorded related to such audits.</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r>
        <w:rPr>
          <w:rFonts w:ascii="Times New Roman" w:hAnsi="Times New Roman"/>
          <w:sz w:val="20"/>
        </w:rPr>
        <w:t xml:space="preserve"> </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Legal Proceedings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pStyle w:val="TextBody"/>
        <w:bidi w:val="0"/>
        <w:spacing w:before="240" w:after="0"/>
        <w:jc w:val="both"/>
        <w:rPr>
          <w:rFonts w:ascii="Times New Roman" w:hAnsi="Times New Roman"/>
          <w:sz w:val="20"/>
        </w:rPr>
      </w:pPr>
      <w:r>
        <w:rPr>
          <w:rFonts w:ascii="Times New Roman;serif" w:hAnsi="Times New Roman;serif"/>
          <w:b w:val="false"/>
          <w:i/>
          <w:sz w:val="20"/>
        </w:rPr>
        <w:t xml:space="preserve">Brantley v. City of Gretna </w:t>
      </w:r>
      <w:r>
        <w:rPr>
          <w:rFonts w:ascii="Times New Roman;serif" w:hAnsi="Times New Roman;serif"/>
          <w:b w:val="false"/>
          <w:sz w:val="20"/>
        </w:rPr>
        <w:t>is a class action lawsuit filed in the 24th Judicial District Court of Jefferson Parish, Louisiana against the City of Gretna (“</w:t>
      </w:r>
      <w:r>
        <w:rPr>
          <w:rFonts w:ascii="Times New Roman;serif" w:hAnsi="Times New Roman;serif"/>
          <w:b/>
          <w:i/>
          <w:sz w:val="20"/>
        </w:rPr>
        <w:t>City</w:t>
      </w:r>
      <w:r>
        <w:rPr>
          <w:rFonts w:ascii="Times New Roman" w:hAnsi="Times New Roman"/>
          <w:sz w:val="20"/>
        </w:rPr>
        <w:t>”</w:t>
      </w:r>
      <w:r>
        <w:rPr>
          <w:rFonts w:ascii="Times New Roman;serif" w:hAnsi="Times New Roman;serif"/>
          <w:b w:val="false"/>
          <w:sz w:val="20"/>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No trial date has been set. Based on the information available to the Company at present, it cannot reasonably estimate a range of loss for this action and, accordingly, it has not accrued any liability associated with this action.</w:t>
      </w:r>
    </w:p>
    <w:p>
      <w:pPr>
        <w:pStyle w:val="TextBody"/>
        <w:bidi w:val="0"/>
        <w:spacing w:before="240" w:after="0"/>
        <w:jc w:val="both"/>
        <w:rPr>
          <w:rFonts w:ascii="Times New Roman" w:hAnsi="Times New Roman"/>
          <w:sz w:val="20"/>
        </w:rPr>
      </w:pPr>
      <w:r>
        <w:rPr>
          <w:rFonts w:ascii="Times New Roman;serif" w:hAnsi="Times New Roman;serif"/>
          <w:b w:val="false"/>
          <w:i/>
          <w:sz w:val="20"/>
        </w:rPr>
        <w:t>PlusPass Inc. (“PlusPass”) v. Verra Mobility Corporation</w:t>
      </w:r>
      <w:r>
        <w:rPr>
          <w:rFonts w:ascii="Times New Roman;serif" w:hAnsi="Times New Roman;serif"/>
          <w:b w:val="false"/>
          <w:sz w:val="20"/>
        </w:rPr>
        <w:t>, et al. is a lawsuit filed in the United States District Court, Central District of California, against Verra Mobility, The Gores Group LLC, Platinum Equity LLC, and ATS Processing Services, Inc., in November 2020. PlusPass filed amended complaints on November 20, 2020 and April 27, 2021. PlusPass alleges that Verra Mobility violated Section 7 of the Clayton Act through a merger of Highway Toll Administration, LLC (“</w:t>
      </w:r>
      <w:r>
        <w:rPr>
          <w:rFonts w:ascii="Times New Roman;serif" w:hAnsi="Times New Roman;serif"/>
          <w:b/>
          <w:i/>
          <w:sz w:val="20"/>
        </w:rPr>
        <w:t>HTA</w:t>
      </w:r>
      <w:r>
        <w:rPr>
          <w:rFonts w:ascii="Times New Roman" w:hAnsi="Times New Roman"/>
          <w:sz w:val="20"/>
        </w:rPr>
        <w:t>”</w:t>
      </w:r>
      <w:r>
        <w:rPr>
          <w:rFonts w:ascii="Times New Roman;serif" w:hAnsi="Times New Roman;serif"/>
          <w:b w:val="false"/>
          <w:sz w:val="20"/>
        </w:rPr>
        <w:t>) and American Traffic Solutions, Inc. (“</w:t>
      </w:r>
      <w:r>
        <w:rPr>
          <w:rFonts w:ascii="Times New Roman;serif" w:hAnsi="Times New Roman;serif"/>
          <w:b/>
          <w:i/>
          <w:sz w:val="20"/>
        </w:rPr>
        <w:t>ATS</w:t>
      </w:r>
      <w:r>
        <w:rPr>
          <w:rFonts w:ascii="Times New Roman" w:hAnsi="Times New Roman"/>
          <w:sz w:val="20"/>
        </w:rPr>
        <w:t>”</w:t>
      </w:r>
      <w:r>
        <w:rPr>
          <w:rFonts w:ascii="Times New Roman;serif" w:hAnsi="Times New Roman;serif"/>
          <w:b w:val="false"/>
          <w:sz w:val="20"/>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PlusPass’ second amended complaint in its entirety, which was denied in August 2021. Discovery is closed. Verra Mobility filed a motion for summary judgment on June 21, 2023, which is pending. Trial has been set for November 2023. Verra Mobility believes that all of PlusPass' claims are without merit and will defend itself vigorously in this litigation. Based on the information available to the Company at present, it cannot reasonably estimate a range of loss for this action and, accordingly, it has not accrued any liability associated with this action.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14. Segment Reporting</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three</w:t>
      </w:r>
      <w:r>
        <w:rPr>
          <w:rFonts w:ascii="Times New Roman" w:hAnsi="Times New Roman"/>
          <w:sz w:val="20"/>
        </w:rPr>
        <w:t xml:space="preserve"> </w:t>
      </w:r>
      <w:r>
        <w:rPr>
          <w:rFonts w:ascii="Times New Roman;serif" w:hAnsi="Times New Roman;serif"/>
          <w:b w:val="false"/>
          <w:sz w:val="20"/>
        </w:rPr>
        <w:t>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function (“</w:t>
      </w:r>
      <w:r>
        <w:rPr>
          <w:rFonts w:ascii="Times New Roman;serif" w:hAnsi="Times New Roman;serif"/>
          <w:b/>
          <w:i/>
          <w:sz w:val="20"/>
        </w:rPr>
        <w:t>CODM</w:t>
      </w:r>
      <w:r>
        <w:rPr>
          <w:rFonts w:ascii="Times New Roman" w:hAnsi="Times New Roman"/>
          <w:sz w:val="20"/>
        </w:rPr>
        <w:t>”</w:t>
      </w:r>
      <w:r>
        <w:rPr>
          <w:rFonts w:ascii="Times New Roman;serif" w:hAnsi="Times New Roman;serif"/>
          <w:b w:val="false"/>
          <w:sz w:val="20"/>
        </w:rPr>
        <w:t>) is comprised of the Company’s CEO and certain defined representatives of the Company’s executive management team. The Company’s CODM monitors operating performance, allocates resources and deploys capital based on these three</w:t>
      </w:r>
      <w:r>
        <w:rPr>
          <w:rFonts w:ascii="Times New Roman" w:hAnsi="Times New Roman"/>
          <w:sz w:val="20"/>
        </w:rPr>
        <w:t xml:space="preserve"> </w:t>
      </w:r>
      <w:r>
        <w:rPr>
          <w:rFonts w:ascii="Times New Roman;serif" w:hAnsi="Times New Roman;serif"/>
          <w:b w:val="false"/>
          <w:sz w:val="20"/>
        </w:rPr>
        <w:t>segments.</w:t>
      </w:r>
    </w:p>
    <w:p>
      <w:pPr>
        <w:pStyle w:val="TextBody"/>
        <w:bidi w:val="0"/>
        <w:spacing w:before="240" w:after="0"/>
        <w:jc w:val="both"/>
        <w:rPr>
          <w:rFonts w:ascii="Times New Roman" w:hAnsi="Times New Roman"/>
          <w:sz w:val="20"/>
        </w:rPr>
      </w:pPr>
      <w:r>
        <w:rPr>
          <w:rFonts w:ascii="Times New Roman;serif" w:hAnsi="Times New Roman;serif"/>
          <w:b w:val="false"/>
          <w:sz w:val="20"/>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During the third quarter of 2022, the Company changed its measure of segment profit to include loss on disposal of assets, net, and to exclude transaction and transformation expenses that were previously included within the selling, general and administrative expenses and other income, net line items below. The comparable prior periods have been recast to conform to the revised presentation although the impact of this revision to previously reported segment profit was not material.</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tables set forth financial information by segment for the respective periods:</w:t>
      </w:r>
    </w:p>
    <w:p>
      <w:pPr>
        <w:pStyle w:val="TextBody"/>
        <w:bidi w:val="0"/>
        <w:spacing w:before="120" w:after="0"/>
        <w:jc w:val="both"/>
        <w:rPr/>
      </w:pPr>
      <w:r>
        <w:rPr/>
        <w:t> </w:t>
      </w:r>
    </w:p>
    <w:tbl>
      <w:tblPr>
        <w:tblW w:w="10205" w:type="dxa"/>
        <w:jc w:val="left"/>
        <w:tblInd w:w="0" w:type="dxa"/>
        <w:tblLayout w:type="fixed"/>
        <w:tblCellMar>
          <w:top w:w="28" w:type="dxa"/>
          <w:left w:w="28" w:type="dxa"/>
          <w:bottom w:w="28" w:type="dxa"/>
          <w:right w:w="28" w:type="dxa"/>
        </w:tblCellMar>
      </w:tblPr>
      <w:tblGrid>
        <w:gridCol w:w="3662"/>
        <w:gridCol w:w="146"/>
        <w:gridCol w:w="235"/>
        <w:gridCol w:w="756"/>
        <w:gridCol w:w="166"/>
        <w:gridCol w:w="146"/>
        <w:gridCol w:w="242"/>
        <w:gridCol w:w="779"/>
        <w:gridCol w:w="166"/>
        <w:gridCol w:w="146"/>
        <w:gridCol w:w="211"/>
        <w:gridCol w:w="676"/>
        <w:gridCol w:w="166"/>
        <w:gridCol w:w="146"/>
        <w:gridCol w:w="211"/>
        <w:gridCol w:w="736"/>
        <w:gridCol w:w="166"/>
        <w:gridCol w:w="146"/>
        <w:gridCol w:w="211"/>
        <w:gridCol w:w="781"/>
        <w:gridCol w:w="311"/>
      </w:tblGrid>
      <w:tr>
        <w:trPr/>
        <w:tc>
          <w:tcPr>
            <w:tcW w:w="3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08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196,050</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sales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8,411</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66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204,461</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sales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5,962</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65,110</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38,498</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disposal of assets, net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662"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Segment profit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94,973</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profit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94,973</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28,996</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and other related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Transformation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10,918</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(4,805</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4,525</w:t>
            </w:r>
          </w:p>
        </w:tc>
        <w:tc>
          <w:tcPr>
            <w:tcW w:w="311" w:type="dxa"/>
            <w:tcBorders/>
            <w:vAlign w:val="center"/>
          </w:tcPr>
          <w:p>
            <w:pPr>
              <w:pStyle w:val="TableContents"/>
              <w:bidi w:val="0"/>
              <w:spacing w:before="0" w:after="0"/>
              <w:ind w:left="0" w:right="0" w:hanging="0"/>
              <w:jc w:val="left"/>
              <w:rPr/>
            </w:pPr>
            <w:r>
              <w:rPr/>
              <w:t> </w:t>
            </w:r>
          </w:p>
        </w:tc>
      </w:tr>
      <w:tr>
        <w:trPr/>
        <w:tc>
          <w:tcPr>
            <w:tcW w:w="36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22,771</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66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31,630</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682"/>
        <w:gridCol w:w="146"/>
        <w:gridCol w:w="235"/>
        <w:gridCol w:w="756"/>
        <w:gridCol w:w="166"/>
        <w:gridCol w:w="146"/>
        <w:gridCol w:w="242"/>
        <w:gridCol w:w="779"/>
        <w:gridCol w:w="166"/>
        <w:gridCol w:w="146"/>
        <w:gridCol w:w="211"/>
        <w:gridCol w:w="676"/>
        <w:gridCol w:w="146"/>
        <w:gridCol w:w="146"/>
        <w:gridCol w:w="211"/>
        <w:gridCol w:w="736"/>
        <w:gridCol w:w="166"/>
        <w:gridCol w:w="146"/>
        <w:gridCol w:w="211"/>
        <w:gridCol w:w="781"/>
        <w:gridCol w:w="311"/>
      </w:tblGrid>
      <w:tr>
        <w:trPr/>
        <w:tc>
          <w:tcPr>
            <w:tcW w:w="3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06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174,502</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sales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12,985</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68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187,487</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3,713</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sales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8,326</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54,912</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35,417</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disposal of assets, net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(4,039</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682"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Segment profit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88,759</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profit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88,759</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34,540</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and other related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Transformation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(6,600</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receivable agreement liability adjustment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4,566</w:t>
            </w:r>
          </w:p>
        </w:tc>
        <w:tc>
          <w:tcPr>
            <w:tcW w:w="311" w:type="dxa"/>
            <w:tcBorders/>
            <w:vAlign w:val="center"/>
          </w:tcPr>
          <w:p>
            <w:pPr>
              <w:pStyle w:val="TableContents"/>
              <w:bidi w:val="0"/>
              <w:spacing w:before="0" w:after="0"/>
              <w:ind w:left="0" w:right="0" w:hanging="0"/>
              <w:jc w:val="left"/>
              <w:rPr/>
            </w:pPr>
            <w:r>
              <w:rPr/>
              <w:t> </w:t>
            </w:r>
          </w:p>
        </w:tc>
      </w:tr>
      <w:tr>
        <w:trPr/>
        <w:tc>
          <w:tcPr>
            <w:tcW w:w="36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14,485</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68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42,280</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211"/>
        <w:gridCol w:w="781"/>
        <w:gridCol w:w="166"/>
        <w:gridCol w:w="146"/>
        <w:gridCol w:w="217"/>
        <w:gridCol w:w="804"/>
        <w:gridCol w:w="166"/>
        <w:gridCol w:w="146"/>
        <w:gridCol w:w="211"/>
        <w:gridCol w:w="676"/>
        <w:gridCol w:w="166"/>
        <w:gridCol w:w="146"/>
        <w:gridCol w:w="211"/>
        <w:gridCol w:w="841"/>
        <w:gridCol w:w="166"/>
        <w:gridCol w:w="146"/>
        <w:gridCol w:w="211"/>
        <w:gridCol w:w="781"/>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192"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380,748</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15,616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5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174,177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396,364</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8,568</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11,345</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126,621</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75,138</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disposal of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(8,268</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Segment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182,844</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182,844</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59,305</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and other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Transformation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25,519</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7,903</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45,458</w:t>
            </w:r>
          </w:p>
        </w:tc>
        <w:tc>
          <w:tcPr>
            <w:tcW w:w="311" w:type="dxa"/>
            <w:tcBorders/>
            <w:vAlign w:val="center"/>
          </w:tcPr>
          <w:p>
            <w:pPr>
              <w:pStyle w:val="TableContents"/>
              <w:bidi w:val="0"/>
              <w:spacing w:before="0" w:after="0"/>
              <w:ind w:left="0" w:right="0" w:firstLine="100"/>
              <w:jc w:val="left"/>
              <w:rPr/>
            </w:pPr>
            <w:r>
              <w:rPr/>
              <w:t> </w:t>
            </w:r>
          </w:p>
        </w:tc>
      </w:tr>
      <w:tr>
        <w:trPr/>
        <w:tc>
          <w:tcPr>
            <w:tcW w:w="35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114,649</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61,825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6,370</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(138,792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44,052</w:t>
            </w:r>
          </w:p>
        </w:tc>
        <w:tc>
          <w:tcPr>
            <w:tcW w:w="3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576"/>
        <w:gridCol w:w="146"/>
        <w:gridCol w:w="211"/>
        <w:gridCol w:w="781"/>
        <w:gridCol w:w="166"/>
        <w:gridCol w:w="146"/>
        <w:gridCol w:w="217"/>
        <w:gridCol w:w="804"/>
        <w:gridCol w:w="166"/>
        <w:gridCol w:w="146"/>
        <w:gridCol w:w="211"/>
        <w:gridCol w:w="676"/>
        <w:gridCol w:w="146"/>
        <w:gridCol w:w="146"/>
        <w:gridCol w:w="211"/>
        <w:gridCol w:w="841"/>
        <w:gridCol w:w="166"/>
        <w:gridCol w:w="146"/>
        <w:gridCol w:w="211"/>
        <w:gridCol w:w="781"/>
        <w:gridCol w:w="31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172"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Government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Parking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Solutions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335,636</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22,236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5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357,872</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14,321</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105,761</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72,518</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disposal of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(6,905</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57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Segment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164,054</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164,054</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70,215</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and other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Transformation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receivable agreement liability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9,012</w:t>
            </w:r>
          </w:p>
        </w:tc>
        <w:tc>
          <w:tcPr>
            <w:tcW w:w="311" w:type="dxa"/>
            <w:tcBorders/>
            <w:vAlign w:val="center"/>
          </w:tcPr>
          <w:p>
            <w:pPr>
              <w:pStyle w:val="TableContents"/>
              <w:bidi w:val="0"/>
              <w:spacing w:before="0" w:after="0"/>
              <w:ind w:left="0" w:right="0" w:hanging="0"/>
              <w:jc w:val="left"/>
              <w:rPr/>
            </w:pPr>
            <w:r>
              <w:rPr/>
              <w:t> </w:t>
            </w:r>
          </w:p>
        </w:tc>
      </w:tr>
      <w:tr>
        <w:trPr/>
        <w:tc>
          <w:tcPr>
            <w:tcW w:w="3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28,764</w:t>
            </w:r>
          </w:p>
        </w:tc>
        <w:tc>
          <w:tcPr>
            <w:tcW w:w="311" w:type="dxa"/>
            <w:tcBorders/>
            <w:vAlign w:val="center"/>
          </w:tcPr>
          <w:p>
            <w:pPr>
              <w:pStyle w:val="TableContents"/>
              <w:bidi w:val="0"/>
              <w:spacing w:before="0" w:after="0"/>
              <w:ind w:left="0" w:right="0" w:firstLine="100"/>
              <w:jc w:val="left"/>
              <w:rPr/>
            </w:pPr>
            <w:r>
              <w:rPr/>
              <w:t> </w:t>
            </w:r>
          </w:p>
        </w:tc>
      </w:tr>
      <w:tr>
        <w:trPr/>
        <w:tc>
          <w:tcPr>
            <w:tcW w:w="35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103,144</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54,730</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(104,915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59,139</w:t>
            </w:r>
          </w:p>
        </w:tc>
        <w:tc>
          <w:tcPr>
            <w:tcW w:w="3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sz w:val="20"/>
        </w:rPr>
        <w:t>The Company primarily operates within the United States, Australia, Canada, United Kingdom and in various other countries in Europe and Asia. Revenues earned from goods transferred to customers at a point in time were approximately $8.4</w:t>
      </w:r>
      <w:r>
        <w:rPr>
          <w:rFonts w:ascii="Times New Roman" w:hAnsi="Times New Roman"/>
          <w:sz w:val="20"/>
        </w:rPr>
        <w:t xml:space="preserve"> </w:t>
      </w:r>
      <w:r>
        <w:rPr>
          <w:rFonts w:ascii="Times New Roman;serif" w:hAnsi="Times New Roman;serif"/>
          <w:b w:val="false"/>
          <w:sz w:val="20"/>
        </w:rPr>
        <w:t>million and $13.0</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were $15.6</w:t>
      </w:r>
      <w:r>
        <w:rPr>
          <w:rFonts w:ascii="Times New Roman" w:hAnsi="Times New Roman"/>
          <w:sz w:val="20"/>
        </w:rPr>
        <w:t xml:space="preserve"> </w:t>
      </w:r>
      <w:r>
        <w:rPr>
          <w:rFonts w:ascii="Times New Roman;serif" w:hAnsi="Times New Roman;serif"/>
          <w:b w:val="false"/>
          <w:sz w:val="20"/>
        </w:rPr>
        <w:t>million and $22.2</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 details the revenues from international operations for the respective periods:</w:t>
      </w:r>
    </w:p>
    <w:p>
      <w:pPr>
        <w:pStyle w:val="TextBody"/>
        <w:bidi w:val="0"/>
        <w:spacing w:before="120" w:after="0"/>
        <w:jc w:val="both"/>
        <w:rPr/>
      </w:pPr>
      <w:r>
        <w:rPr/>
        <w:t> </w:t>
      </w:r>
    </w:p>
    <w:tbl>
      <w:tblPr>
        <w:tblW w:w="7477" w:type="dxa"/>
        <w:jc w:val="left"/>
        <w:tblInd w:w="0" w:type="dxa"/>
        <w:tblLayout w:type="fixed"/>
        <w:tblCellMar>
          <w:top w:w="28" w:type="dxa"/>
          <w:left w:w="28" w:type="dxa"/>
          <w:bottom w:w="28" w:type="dxa"/>
          <w:right w:w="28" w:type="dxa"/>
        </w:tblCellMar>
      </w:tblPr>
      <w:tblGrid>
        <w:gridCol w:w="2416"/>
        <w:gridCol w:w="146"/>
        <w:gridCol w:w="231"/>
        <w:gridCol w:w="741"/>
        <w:gridCol w:w="160"/>
        <w:gridCol w:w="160"/>
        <w:gridCol w:w="231"/>
        <w:gridCol w:w="741"/>
        <w:gridCol w:w="146"/>
        <w:gridCol w:w="146"/>
        <w:gridCol w:w="211"/>
        <w:gridCol w:w="677"/>
        <w:gridCol w:w="146"/>
        <w:gridCol w:w="146"/>
        <w:gridCol w:w="211"/>
        <w:gridCol w:w="677"/>
        <w:gridCol w:w="2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Australia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16,218</w:t>
            </w:r>
          </w:p>
        </w:tc>
        <w:tc>
          <w:tcPr>
            <w:tcW w:w="29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15,660</w:t>
            </w:r>
          </w:p>
        </w:tc>
        <w:tc>
          <w:tcPr>
            <w:tcW w:w="29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Kingdom</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11,198</w:t>
            </w:r>
          </w:p>
        </w:tc>
        <w:tc>
          <w:tcPr>
            <w:tcW w:w="29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international revenues</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25,509</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44,230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15. Guarantor/Non-Guarantor Financial 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VM Consolidated is the lead borrower of the 2021 Term Loan and Senior Notes. VM Consolidated is wholly owned by Greenlight Acquisition Corporation, which is wholly owned by Verra Mobility Corporation. The principal elimination entries relate to investments in subsidiaries and intercompany balances and transactions, including transactions with the Company’s wholly owned guarantor subsidiaries and non-guarantor subsidiaries.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financial information presents the condensed consolidated balance sheets as of June 30, 2023 and the related condensed consolidated statements of operations and comprehensive income for the three and six months ended June 30, 2023 and the condensed consolidated statement of cash flows for the six months ended June 30, 2023 for the Company, the combined guarantor subsidiaries and the combined non-guarantor subsidiaries.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at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891"/>
        <w:gridCol w:w="146"/>
        <w:gridCol w:w="261"/>
        <w:gridCol w:w="924"/>
        <w:gridCol w:w="146"/>
        <w:gridCol w:w="146"/>
        <w:gridCol w:w="261"/>
        <w:gridCol w:w="1102"/>
        <w:gridCol w:w="166"/>
        <w:gridCol w:w="146"/>
        <w:gridCol w:w="212"/>
        <w:gridCol w:w="749"/>
        <w:gridCol w:w="146"/>
        <w:gridCol w:w="146"/>
        <w:gridCol w:w="208"/>
        <w:gridCol w:w="798"/>
        <w:gridCol w:w="166"/>
        <w:gridCol w:w="146"/>
        <w:gridCol w:w="201"/>
        <w:gridCol w:w="850"/>
        <w:gridCol w:w="394"/>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9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Verra Mobility</w:t>
              <w:br/>
              <w:t>Corporation</w:t>
              <w:br/>
              <w:t>(Ultimate Parent)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Guarantor 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w:t>
              <w:br/>
              <w:t>guarantor</w:t>
              <w:br/>
              <w:t>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firstLine="100"/>
              <w:jc w:val="center"/>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Current assets:</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210,083</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Restricted cash</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3,416</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Accounts receivable (net of allowance for credit losses of $20.1</w:t>
            </w:r>
            <w:r>
              <w:rPr>
                <w:rFonts w:ascii="Times New Roman" w:hAnsi="Times New Roman"/>
                <w:sz w:val="20"/>
              </w:rPr>
              <w:t> </w:t>
            </w:r>
            <w:r>
              <w:rPr>
                <w:rFonts w:ascii="Times New Roman;serif" w:hAnsi="Times New Roman;serif"/>
                <w:b w:val="false"/>
                <w:sz w:val="16"/>
              </w:rPr>
              <w:t>million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164,707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179,944</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Unbilled receivables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32,126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36,843</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 in subsidiary</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(426,112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Inventory</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19,791</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82,777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92,509</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current assets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600,885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(426,112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542,586</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Installation and service parts, net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25,393</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95,760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114,467</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Operating lease assets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37,170</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Intangible assets, net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241,688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94,093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335,781</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Goodwill</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689,697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835,323</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Due from affiliates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(169,259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non-current assets</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15,440</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assets</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465,300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1,697,375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338,856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(595,371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1,906,160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100"/>
              <w:jc w:val="righ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Current liabilities:</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78,410</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36,744</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liabilities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51,642</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Tax receivable agreement liability, current portion</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4,994</w:t>
            </w:r>
          </w:p>
        </w:tc>
        <w:tc>
          <w:tcPr>
            <w:tcW w:w="394" w:type="dxa"/>
            <w:tcBorders/>
            <w:vAlign w:val="center"/>
          </w:tcPr>
          <w:p>
            <w:pPr>
              <w:pStyle w:val="TableContents"/>
              <w:bidi w:val="0"/>
              <w:spacing w:before="0" w:after="0"/>
              <w:ind w:left="0" w:right="0" w:firstLine="200"/>
              <w:jc w:val="left"/>
              <w:rPr/>
            </w:pPr>
            <w:r>
              <w:rPr/>
              <w:t> </w:t>
            </w:r>
          </w:p>
        </w:tc>
      </w:tr>
      <w:tr>
        <w:trPr/>
        <w:tc>
          <w:tcPr>
            <w:tcW w:w="2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9,019</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current liabilities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134,933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180,809</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Long-term debt, net of current portion</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1,129,692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1,129,692</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28,655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32,331</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Tax receivable agreement liability, net of current portion</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50,900</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Private placement warrant liabilities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5,430</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Due to affiliates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(169,259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Asset retirement obligations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13,729</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Deferred tax liabilities, net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20,583</w:t>
            </w:r>
          </w:p>
        </w:tc>
        <w:tc>
          <w:tcPr>
            <w:tcW w:w="394" w:type="dxa"/>
            <w:tcBorders/>
            <w:vAlign w:val="center"/>
          </w:tcPr>
          <w:p>
            <w:pPr>
              <w:pStyle w:val="TableContents"/>
              <w:bidi w:val="0"/>
              <w:spacing w:before="0" w:after="0"/>
              <w:ind w:left="0" w:right="0" w:firstLine="100"/>
              <w:jc w:val="left"/>
              <w:rPr/>
            </w:pPr>
            <w:r>
              <w:rPr/>
              <w:t> </w:t>
            </w:r>
          </w:p>
        </w:tc>
      </w:tr>
      <w:tr>
        <w:trPr/>
        <w:tc>
          <w:tcPr>
            <w:tcW w:w="289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7,386</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1,401,334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(169,259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1,440,860</w:t>
            </w:r>
          </w:p>
        </w:tc>
        <w:tc>
          <w:tcPr>
            <w:tcW w:w="394" w:type="dxa"/>
            <w:tcBorders/>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stockholders' equity</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465,300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296,041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130,071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(426,112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465,300</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465,300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1,697,375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338,856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(595,371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1,906,160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Operations and Comprehensive Income</w:t>
      </w:r>
    </w:p>
    <w:p>
      <w:pPr>
        <w:pStyle w:val="TextBody"/>
        <w:bidi w:val="0"/>
        <w:spacing w:before="0" w:after="0"/>
        <w:jc w:val="center"/>
        <w:rPr>
          <w:rFonts w:ascii="Times New Roman" w:hAnsi="Times New Roman"/>
          <w:sz w:val="20"/>
        </w:rPr>
      </w:pPr>
      <w:r>
        <w:rPr>
          <w:rFonts w:ascii="Times New Roman;serif" w:hAnsi="Times New Roman;serif"/>
          <w:b/>
          <w:sz w:val="20"/>
        </w:rPr>
        <w:t>Three Months Ended June 30, 2023</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914"/>
        <w:gridCol w:w="146"/>
        <w:gridCol w:w="273"/>
        <w:gridCol w:w="927"/>
        <w:gridCol w:w="166"/>
        <w:gridCol w:w="146"/>
        <w:gridCol w:w="301"/>
        <w:gridCol w:w="1064"/>
        <w:gridCol w:w="166"/>
        <w:gridCol w:w="146"/>
        <w:gridCol w:w="236"/>
        <w:gridCol w:w="725"/>
        <w:gridCol w:w="166"/>
        <w:gridCol w:w="146"/>
        <w:gridCol w:w="230"/>
        <w:gridCol w:w="776"/>
        <w:gridCol w:w="166"/>
        <w:gridCol w:w="146"/>
        <w:gridCol w:w="232"/>
        <w:gridCol w:w="819"/>
        <w:gridCol w:w="314"/>
      </w:tblGrid>
      <w:tr>
        <w:trPr/>
        <w:tc>
          <w:tcPr>
            <w:tcW w:w="2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914"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Verra Mobility</w:t>
              <w:br/>
              <w:t>Corporation</w:t>
              <w:br/>
              <w:t>(Ultimate Parent)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Guarantor 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w:t>
              <w:br/>
              <w:t>guarantor</w:t>
              <w:br/>
              <w:t>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Service revenue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174,830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196,050</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Product sales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8,411</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Sales to affiliates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Total revenue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176,284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28,177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204,461</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service revenue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4,338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product sales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5,962</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sales to affiliates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expenses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65,657</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43,205</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Depreciation, amortization and (gain) loss on disposal of assets, net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29,088</w:t>
            </w:r>
          </w:p>
        </w:tc>
        <w:tc>
          <w:tcPr>
            <w:tcW w:w="314" w:type="dxa"/>
            <w:tcBorders/>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Total costs and expenses</w:t>
            </w:r>
          </w:p>
        </w:tc>
        <w:tc>
          <w:tcPr>
            <w:tcW w:w="146" w:type="dxa"/>
            <w:tcBorders/>
            <w:vAlign w:val="center"/>
          </w:tcPr>
          <w:p>
            <w:pPr>
              <w:pStyle w:val="TableContents"/>
              <w:bidi w:val="0"/>
              <w:spacing w:before="0" w:after="0"/>
              <w:ind w:left="0" w:right="0" w:hanging="0"/>
              <w:jc w:val="left"/>
              <w:rPr/>
            </w:pPr>
            <w:r>
              <w:rPr/>
              <w:t> </w:t>
            </w:r>
          </w:p>
        </w:tc>
        <w:tc>
          <w:tcPr>
            <w:tcW w:w="27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2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6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120,819</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2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27,431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148,250</w:t>
            </w:r>
          </w:p>
        </w:tc>
        <w:tc>
          <w:tcPr>
            <w:tcW w:w="31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Income from operations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56,211</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from equity investment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 net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22,771</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(4,805</w:t>
            </w:r>
          </w:p>
        </w:tc>
        <w:tc>
          <w:tcPr>
            <w:tcW w:w="3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 net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(4,512</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23,879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24,581</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31,630</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12,522</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Net income</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314" w:type="dxa"/>
            <w:tcBorders/>
            <w:vAlign w:val="center"/>
          </w:tcPr>
          <w:p>
            <w:pPr>
              <w:pStyle w:val="TableContents"/>
              <w:bidi w:val="0"/>
              <w:spacing w:before="0" w:after="0"/>
              <w:ind w:left="0" w:right="0" w:hanging="0"/>
              <w:jc w:val="righ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Total comprehensive income</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19,826</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Operations and Comprehensive Income</w:t>
      </w:r>
    </w:p>
    <w:p>
      <w:pPr>
        <w:pStyle w:val="TextBody"/>
        <w:bidi w:val="0"/>
        <w:spacing w:before="0" w:after="0"/>
        <w:jc w:val="center"/>
        <w:rPr>
          <w:rFonts w:ascii="Times New Roman" w:hAnsi="Times New Roman"/>
          <w:sz w:val="20"/>
        </w:rPr>
      </w:pPr>
      <w:r>
        <w:rPr>
          <w:rFonts w:ascii="Times New Roman;serif" w:hAnsi="Times New Roman;serif"/>
          <w:b/>
          <w:sz w:val="20"/>
        </w:rPr>
        <w:t>Six Months Ended June 30, 2023</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14"/>
        <w:gridCol w:w="146"/>
        <w:gridCol w:w="273"/>
        <w:gridCol w:w="927"/>
        <w:gridCol w:w="166"/>
        <w:gridCol w:w="146"/>
        <w:gridCol w:w="301"/>
        <w:gridCol w:w="1064"/>
        <w:gridCol w:w="166"/>
        <w:gridCol w:w="146"/>
        <w:gridCol w:w="236"/>
        <w:gridCol w:w="725"/>
        <w:gridCol w:w="166"/>
        <w:gridCol w:w="146"/>
        <w:gridCol w:w="230"/>
        <w:gridCol w:w="776"/>
        <w:gridCol w:w="166"/>
        <w:gridCol w:w="146"/>
        <w:gridCol w:w="232"/>
        <w:gridCol w:w="819"/>
        <w:gridCol w:w="314"/>
      </w:tblGrid>
      <w:tr>
        <w:trPr/>
        <w:tc>
          <w:tcPr>
            <w:tcW w:w="2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91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Verra Mobility</w:t>
              <w:br/>
              <w:t>Corporation</w:t>
              <w:br/>
              <w:t>(Ultimate Parent)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Guarantor 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w:t>
              <w:br/>
              <w:t>guarantor</w:t>
              <w:br/>
              <w:t>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Service revenue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380,748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Product sales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15,616</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Sales to affiliates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Total revenue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342,369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396,364</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service revenue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8,568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product sales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11,345</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sales to affiliates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expenses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106,708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127,500</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83,218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Depreciation, amortization and (gain) loss on disposal of assets, net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49,150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59,421</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Total costs and expenses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53,252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290,052</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Income from operations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106,312</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from equity investment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 net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45,483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45,458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25,519</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(2,007</w:t>
            </w:r>
          </w:p>
        </w:tc>
        <w:tc>
          <w:tcPr>
            <w:tcW w:w="3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1,558</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 net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(8,268</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Total other (income) expenses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61,441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62,260</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44,052</w:t>
            </w:r>
          </w:p>
        </w:tc>
        <w:tc>
          <w:tcPr>
            <w:tcW w:w="314" w:type="dxa"/>
            <w:tcBorders/>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20,367</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Net income</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314" w:type="dxa"/>
            <w:tcBorders/>
            <w:vAlign w:val="center"/>
          </w:tcPr>
          <w:p>
            <w:pPr>
              <w:pStyle w:val="TableContents"/>
              <w:bidi w:val="0"/>
              <w:spacing w:before="0" w:after="0"/>
              <w:ind w:left="0" w:right="0" w:hanging="0"/>
              <w:jc w:val="right"/>
              <w:rPr/>
            </w:pPr>
            <w:r>
              <w:rPr/>
              <w:t> </w:t>
            </w:r>
          </w:p>
        </w:tc>
      </w:tr>
      <w:tr>
        <w:trPr/>
        <w:tc>
          <w:tcPr>
            <w:tcW w:w="29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 in 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14"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Total comprehensive income</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24,313</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Cash Flows</w:t>
      </w:r>
    </w:p>
    <w:p>
      <w:pPr>
        <w:pStyle w:val="TextBody"/>
        <w:bidi w:val="0"/>
        <w:spacing w:before="0" w:after="0"/>
        <w:jc w:val="center"/>
        <w:rPr>
          <w:rFonts w:ascii="Times New Roman" w:hAnsi="Times New Roman"/>
          <w:sz w:val="20"/>
        </w:rPr>
      </w:pPr>
      <w:r>
        <w:rPr>
          <w:rFonts w:ascii="Times New Roman;serif" w:hAnsi="Times New Roman;serif"/>
          <w:b/>
          <w:sz w:val="20"/>
        </w:rPr>
        <w:t>Six Months Ended June 30, 2023</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932"/>
        <w:gridCol w:w="146"/>
        <w:gridCol w:w="265"/>
        <w:gridCol w:w="899"/>
        <w:gridCol w:w="166"/>
        <w:gridCol w:w="146"/>
        <w:gridCol w:w="283"/>
        <w:gridCol w:w="1001"/>
        <w:gridCol w:w="166"/>
        <w:gridCol w:w="146"/>
        <w:gridCol w:w="219"/>
        <w:gridCol w:w="742"/>
        <w:gridCol w:w="166"/>
        <w:gridCol w:w="146"/>
        <w:gridCol w:w="230"/>
        <w:gridCol w:w="776"/>
        <w:gridCol w:w="166"/>
        <w:gridCol w:w="146"/>
        <w:gridCol w:w="232"/>
        <w:gridCol w:w="819"/>
        <w:gridCol w:w="413"/>
      </w:tblGrid>
      <w:tr>
        <w:trPr/>
        <w:tc>
          <w:tcPr>
            <w:tcW w:w="2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932"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Verra Mobility</w:t>
              <w:br/>
              <w:t>Corporation</w:t>
              <w:br/>
              <w:t>(Ultimate Parent)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Guarantor 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w:t>
              <w:br/>
              <w:t>guarantor</w:t>
              <w:br/>
              <w:t>Subsidiaries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Eliminations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413" w:type="dxa"/>
            <w:tcBorders/>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firstLine="200"/>
              <w:jc w:val="righ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59,305</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deferred financing costs and discounts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2,469</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25,519</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(3,563</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1,558</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Credit loss expense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4,956</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income taxes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(4,733</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7,903</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Income from equity investment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firstLine="200"/>
              <w:jc w:val="righ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receivable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(21,071</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Unbilled receivables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(6,120</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Inventory</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5,768</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 and other current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8,890</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Due to affiliates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119,139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107,927</w:t>
            </w:r>
          </w:p>
        </w:tc>
        <w:tc>
          <w:tcPr>
            <w:tcW w:w="413" w:type="dxa"/>
            <w:tcBorders/>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firstLine="200"/>
              <w:jc w:val="righ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Payments for interest rate swap</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(1,556</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installation and service parts and property and equipment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(30,098</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proceeds from the sale of assets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w:t>
            </w:r>
          </w:p>
        </w:tc>
        <w:tc>
          <w:tcPr>
            <w:tcW w:w="413" w:type="dxa"/>
            <w:tcBorders/>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6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9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0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(27,094</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4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(4,431</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1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(31,525</w:t>
            </w:r>
          </w:p>
        </w:tc>
        <w:tc>
          <w:tcPr>
            <w:tcW w:w="413"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firstLine="200"/>
              <w:jc w:val="righ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Repayment of long-term debt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(77,009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(77,009</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of debt issuance costs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the exercise of warrants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105,750</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the exercise of stock options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2,388</w:t>
            </w:r>
          </w:p>
        </w:tc>
        <w:tc>
          <w:tcPr>
            <w:tcW w:w="413" w:type="dxa"/>
            <w:tcBorders/>
            <w:vAlign w:val="center"/>
          </w:tcPr>
          <w:p>
            <w:pPr>
              <w:pStyle w:val="TableContents"/>
              <w:bidi w:val="0"/>
              <w:spacing w:before="0" w:after="0"/>
              <w:ind w:left="0" w:right="0" w:firstLine="200"/>
              <w:jc w:val="left"/>
              <w:rPr/>
            </w:pPr>
            <w:r>
              <w:rPr/>
              <w:t> </w:t>
            </w:r>
          </w:p>
        </w:tc>
      </w:tr>
      <w:tr>
        <w:trPr/>
        <w:tc>
          <w:tcPr>
            <w:tcW w:w="293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of employee tax withholding related to RSUs and PSUs vesting</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(3,028</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27,909</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exchange rate changes on cash and cash equivalents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0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119,954</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104,384</w:t>
            </w:r>
          </w:p>
        </w:tc>
        <w:tc>
          <w:tcPr>
            <w:tcW w:w="413" w:type="dxa"/>
            <w:tcBorders/>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 beginning of period</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68,842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109,115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 end of period</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188,796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213,499</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Verra Mobility Corporation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Cash Flows (Continued)</w:t>
      </w:r>
    </w:p>
    <w:p>
      <w:pPr>
        <w:pStyle w:val="TextBody"/>
        <w:bidi w:val="0"/>
        <w:spacing w:before="0" w:after="0"/>
        <w:jc w:val="center"/>
        <w:rPr>
          <w:rFonts w:ascii="Times New Roman;serif" w:hAnsi="Times New Roman;serif"/>
          <w:b/>
          <w:sz w:val="20"/>
        </w:rPr>
      </w:pPr>
      <w:r>
        <w:rPr>
          <w:rFonts w:ascii="Times New Roman;serif" w:hAnsi="Times New Roman;serif"/>
          <w:b/>
          <w:sz w:val="20"/>
        </w:rPr>
        <w:t>Six Months Ended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187"/>
        <w:gridCol w:w="146"/>
        <w:gridCol w:w="274"/>
        <w:gridCol w:w="842"/>
        <w:gridCol w:w="146"/>
        <w:gridCol w:w="146"/>
        <w:gridCol w:w="289"/>
        <w:gridCol w:w="888"/>
        <w:gridCol w:w="146"/>
        <w:gridCol w:w="146"/>
        <w:gridCol w:w="329"/>
        <w:gridCol w:w="632"/>
        <w:gridCol w:w="146"/>
        <w:gridCol w:w="146"/>
        <w:gridCol w:w="363"/>
        <w:gridCol w:w="643"/>
        <w:gridCol w:w="146"/>
        <w:gridCol w:w="146"/>
        <w:gridCol w:w="258"/>
        <w:gridCol w:w="793"/>
        <w:gridCol w:w="393"/>
      </w:tblGrid>
      <w:tr>
        <w:trPr/>
        <w:tc>
          <w:tcPr>
            <w:tcW w:w="3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1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Verra Mobility</w:t>
              <w:br/>
              <w:t>Corporation</w:t>
              <w:br/>
              <w:t>(Ultimate Parent)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Guarantor 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w:t>
              <w:br/>
              <w:t>guarantor</w:t>
              <w:br/>
              <w:t>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Eliminations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3187"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paid</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43,960</w:t>
            </w:r>
          </w:p>
        </w:tc>
        <w:tc>
          <w:tcPr>
            <w:tcW w:w="393" w:type="dxa"/>
            <w:tcBorders/>
            <w:vAlign w:val="center"/>
          </w:tcPr>
          <w:p>
            <w:pPr>
              <w:pStyle w:val="TableContents"/>
              <w:bidi w:val="0"/>
              <w:spacing w:before="0" w:after="0"/>
              <w:ind w:left="0" w:right="0" w:firstLine="200"/>
              <w:jc w:val="left"/>
              <w:rPr/>
            </w:pPr>
            <w:r>
              <w:rPr/>
              <w:t> </w:t>
            </w:r>
          </w:p>
        </w:tc>
      </w:tr>
      <w:tr>
        <w:trPr/>
        <w:tc>
          <w:tcPr>
            <w:tcW w:w="3187"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Income taxes paid, net of refunds</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22,904</w:t>
            </w:r>
          </w:p>
        </w:tc>
        <w:tc>
          <w:tcPr>
            <w:tcW w:w="393" w:type="dxa"/>
            <w:tcBorders/>
            <w:vAlign w:val="center"/>
          </w:tcPr>
          <w:p>
            <w:pPr>
              <w:pStyle w:val="TableContents"/>
              <w:bidi w:val="0"/>
              <w:spacing w:before="0" w:after="0"/>
              <w:ind w:left="0" w:right="0" w:hanging="0"/>
              <w:jc w:val="left"/>
              <w:rPr/>
            </w:pPr>
            <w:r>
              <w:rPr/>
              <w:t> </w:t>
            </w:r>
          </w:p>
        </w:tc>
      </w:tr>
      <w:tr>
        <w:trPr/>
        <w:tc>
          <w:tcPr>
            <w:tcW w:w="318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3187"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Earn-out shares issued to Platinum Stockholder</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18,288</w:t>
            </w:r>
          </w:p>
        </w:tc>
        <w:tc>
          <w:tcPr>
            <w:tcW w:w="393" w:type="dxa"/>
            <w:tcBorders/>
            <w:vAlign w:val="center"/>
          </w:tcPr>
          <w:p>
            <w:pPr>
              <w:pStyle w:val="TableContents"/>
              <w:bidi w:val="0"/>
              <w:spacing w:before="0" w:after="0"/>
              <w:ind w:left="0" w:right="0" w:firstLine="200"/>
              <w:jc w:val="left"/>
              <w:rPr/>
            </w:pPr>
            <w:r>
              <w:rPr/>
              <w:t> </w:t>
            </w:r>
          </w:p>
        </w:tc>
      </w:tr>
      <w:tr>
        <w:trPr/>
        <w:tc>
          <w:tcPr>
            <w:tcW w:w="3187"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installation and service parts and property and equipment in accounts payable and accrued liabilities at period-end</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4,374</w:t>
            </w:r>
          </w:p>
        </w:tc>
        <w:tc>
          <w:tcPr>
            <w:tcW w:w="393" w:type="dxa"/>
            <w:tcBorders/>
            <w:vAlign w:val="center"/>
          </w:tcPr>
          <w:p>
            <w:pPr>
              <w:pStyle w:val="TableContents"/>
              <w:bidi w:val="0"/>
              <w:spacing w:before="0" w:after="0"/>
              <w:ind w:left="0" w:right="0" w:firstLine="200"/>
              <w:jc w:val="left"/>
              <w:rPr/>
            </w:pPr>
            <w:r>
              <w:rPr/>
              <w:t> </w:t>
            </w:r>
          </w:p>
        </w:tc>
      </w:tr>
      <w:tr>
        <w:trPr/>
        <w:tc>
          <w:tcPr>
            <w:tcW w:w="3187"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receivable from the exercise of warrants at period-end</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52,747</w:t>
            </w:r>
          </w:p>
        </w:tc>
        <w:tc>
          <w:tcPr>
            <w:tcW w:w="393" w:type="dxa"/>
            <w:tcBorders/>
            <w:vAlign w:val="center"/>
          </w:tcPr>
          <w:p>
            <w:pPr>
              <w:pStyle w:val="TableContents"/>
              <w:bidi w:val="0"/>
              <w:spacing w:before="0" w:after="0"/>
              <w:ind w:left="0" w:right="0" w:firstLine="200"/>
              <w:jc w:val="left"/>
              <w:rPr/>
            </w:pPr>
            <w:r>
              <w:rPr/>
              <w:t> </w:t>
            </w:r>
          </w:p>
        </w:tc>
      </w:tr>
      <w:tr>
        <w:trPr/>
        <w:tc>
          <w:tcPr>
            <w:tcW w:w="3187"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Reclassification of private placement warrant liabilities to additional paid-in capital upon exercise</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44,155</w:t>
            </w:r>
          </w:p>
        </w:tc>
        <w:tc>
          <w:tcPr>
            <w:tcW w:w="39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16. Subsequent Events</w:t>
      </w:r>
    </w:p>
    <w:p>
      <w:pPr>
        <w:pStyle w:val="TextBody"/>
        <w:bidi w:val="0"/>
        <w:spacing w:before="120" w:after="0"/>
        <w:jc w:val="both"/>
        <w:rPr>
          <w:rFonts w:ascii="Times New Roman" w:hAnsi="Times New Roman"/>
          <w:sz w:val="20"/>
        </w:rPr>
      </w:pPr>
      <w:r>
        <w:rPr>
          <w:rFonts w:ascii="Times New Roman;serif" w:hAnsi="Times New Roman;serif"/>
          <w:b w:val="false"/>
          <w:sz w:val="20"/>
        </w:rPr>
        <w:t>Subsequent to June 30, 2023, there were an additional 254,038</w:t>
      </w:r>
      <w:r>
        <w:rPr>
          <w:rFonts w:ascii="Times New Roman" w:hAnsi="Times New Roman"/>
          <w:sz w:val="20"/>
        </w:rPr>
        <w:t xml:space="preserve"> </w:t>
      </w:r>
      <w:r>
        <w:rPr>
          <w:rFonts w:ascii="Times New Roman;serif" w:hAnsi="Times New Roman;serif"/>
          <w:b w:val="false"/>
          <w:sz w:val="20"/>
        </w:rPr>
        <w:t>Warrants exercised in exchange for 253,478</w:t>
      </w:r>
      <w:r>
        <w:rPr>
          <w:rFonts w:ascii="Times New Roman" w:hAnsi="Times New Roman"/>
          <w:sz w:val="20"/>
        </w:rPr>
        <w:t xml:space="preserve"> </w:t>
      </w:r>
      <w:r>
        <w:rPr>
          <w:rFonts w:ascii="Times New Roman;serif" w:hAnsi="Times New Roman;serif"/>
          <w:b w:val="false"/>
          <w:sz w:val="20"/>
        </w:rPr>
        <w:t>shares of Class A Common Stock resulting in $2.9</w:t>
      </w:r>
      <w:r>
        <w:rPr>
          <w:rFonts w:ascii="Times New Roman" w:hAnsi="Times New Roman"/>
          <w:sz w:val="20"/>
        </w:rPr>
        <w:t xml:space="preserve"> </w:t>
      </w:r>
      <w:r>
        <w:rPr>
          <w:rFonts w:ascii="Times New Roman;serif" w:hAnsi="Times New Roman;serif"/>
          <w:b w:val="false"/>
          <w:sz w:val="20"/>
        </w:rPr>
        <w:t>million in cash proceeds.</w:t>
      </w:r>
    </w:p>
    <w:p>
      <w:pPr>
        <w:pStyle w:val="TextBody"/>
        <w:bidi w:val="0"/>
        <w:spacing w:before="240" w:after="0"/>
        <w:jc w:val="both"/>
        <w:rPr>
          <w:rFonts w:ascii="Times New Roman" w:hAnsi="Times New Roman"/>
          <w:sz w:val="20"/>
        </w:rPr>
      </w:pPr>
      <w:r>
        <w:rPr>
          <w:rFonts w:ascii="Times New Roman;serif" w:hAnsi="Times New Roman;serif"/>
          <w:b w:val="false"/>
          <w:sz w:val="20"/>
        </w:rPr>
        <w:t>On July 26, 2023, the Triggering Event for the issuance of the last tranche of Earn-out Shares occurred as the volume weighted average closing sale price per share of the Company’s Class A Common Stock as of that date had been greater than $20.50</w:t>
      </w:r>
      <w:r>
        <w:rPr>
          <w:rFonts w:ascii="Times New Roman" w:hAnsi="Times New Roman"/>
          <w:sz w:val="20"/>
        </w:rPr>
        <w:t xml:space="preserve"> </w:t>
      </w:r>
      <w:r>
        <w:rPr>
          <w:rFonts w:ascii="Times New Roman;serif" w:hAnsi="Times New Roman;serif"/>
          <w:b w:val="false"/>
          <w:sz w:val="20"/>
        </w:rPr>
        <w:t>for 10 out of 20 consecutive trading days. This resulted in the issuance of 2,500,000</w:t>
      </w:r>
      <w:r>
        <w:rPr>
          <w:rFonts w:ascii="Times New Roman" w:hAnsi="Times New Roman"/>
          <w:sz w:val="20"/>
        </w:rPr>
        <w:t xml:space="preserve"> </w:t>
      </w:r>
      <w:r>
        <w:rPr>
          <w:rFonts w:ascii="Times New Roman;serif" w:hAnsi="Times New Roman;serif"/>
          <w:b w:val="false"/>
          <w:sz w:val="20"/>
        </w:rPr>
        <w:t xml:space="preserve">shares to the Platinum Stockholder. See Note 12, </w:t>
      </w:r>
      <w:r>
        <w:rPr>
          <w:rFonts w:ascii="Times New Roman;serif" w:hAnsi="Times New Roman;serif"/>
          <w:b w:val="false"/>
          <w:i/>
          <w:sz w:val="20"/>
        </w:rPr>
        <w:t>Other Significant Transactions,</w:t>
      </w:r>
      <w:r>
        <w:rPr>
          <w:rFonts w:ascii="Times New Roman" w:hAnsi="Times New Roman"/>
          <w:sz w:val="20"/>
        </w:rPr>
        <w:t xml:space="preserve"> </w:t>
      </w:r>
      <w:r>
        <w:rPr>
          <w:rFonts w:ascii="Times New Roman;serif" w:hAnsi="Times New Roman;serif"/>
          <w:b w:val="false"/>
          <w:sz w:val="20"/>
        </w:rPr>
        <w:t>for additional discussion on Earn-out Shares.</w:t>
      </w:r>
    </w:p>
    <w:p>
      <w:pPr>
        <w:pStyle w:val="TextBody"/>
        <w:bidi w:val="0"/>
        <w:spacing w:before="240" w:after="0"/>
        <w:jc w:val="both"/>
        <w:rPr>
          <w:rFonts w:ascii="Times New Roman" w:hAnsi="Times New Roman"/>
          <w:sz w:val="20"/>
        </w:rPr>
      </w:pPr>
      <w:r>
        <w:rPr>
          <w:rFonts w:ascii="Times New Roman;serif" w:hAnsi="Times New Roman;serif"/>
          <w:b w:val="false"/>
          <w:sz w:val="20"/>
        </w:rPr>
        <w:t>On August 7, 2023, the Company made an early repayment of $100.0</w:t>
      </w:r>
      <w:r>
        <w:rPr>
          <w:rFonts w:ascii="Times New Roman" w:hAnsi="Times New Roman"/>
          <w:sz w:val="20"/>
        </w:rPr>
        <w:t xml:space="preserve"> </w:t>
      </w:r>
      <w:r>
        <w:rPr>
          <w:rFonts w:ascii="Times New Roman;serif" w:hAnsi="Times New Roman;serif"/>
          <w:b w:val="false"/>
          <w:sz w:val="20"/>
        </w:rPr>
        <w:t>million on its 2021 Term Loan.</w:t>
      </w:r>
    </w:p>
    <w:p>
      <w:pPr>
        <w:pStyle w:val="TextBody"/>
        <w:bidi w:val="0"/>
        <w:spacing w:before="12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The following discussion and analysis should be read together with our Annual Report on Form 10-K for the year ended December 31, 2022,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1A. “Risk Factors” in this Quarterly Report on Form 10-Q and in Part I, Item 1A. “Risk Factors” in our Annual Report on Form 10-K for the year ended December 31, 2022. Please also refer to the section entitled “Cautionary Note Regarding Forward-Looking Statements.”</w:t>
      </w:r>
    </w:p>
    <w:p>
      <w:pPr>
        <w:pStyle w:val="TextBody"/>
        <w:bidi w:val="0"/>
        <w:spacing w:before="360" w:after="0"/>
        <w:jc w:val="left"/>
        <w:rPr>
          <w:rFonts w:ascii="Times New Roman;serif" w:hAnsi="Times New Roman;serif"/>
          <w:b/>
          <w:sz w:val="20"/>
        </w:rPr>
      </w:pPr>
      <w:r>
        <w:rPr>
          <w:rFonts w:ascii="Times New Roman;serif" w:hAnsi="Times New Roman;serif"/>
          <w:b/>
          <w:sz w:val="20"/>
        </w:rPr>
        <w:t>Business Overview</w:t>
      </w:r>
    </w:p>
    <w:p>
      <w:pPr>
        <w:pStyle w:val="TextBody"/>
        <w:bidi w:val="0"/>
        <w:spacing w:before="120" w:after="0"/>
        <w:jc w:val="both"/>
        <w:rPr>
          <w:rFonts w:ascii="Times New Roman" w:hAnsi="Times New Roman"/>
          <w:sz w:val="20"/>
        </w:rPr>
      </w:pPr>
      <w:r>
        <w:rPr>
          <w:rFonts w:ascii="Times New Roman;serif" w:hAnsi="Times New Roman;serif"/>
          <w:b w:val="false"/>
          <w:sz w:val="20"/>
        </w:rPr>
        <w:t>We are a leading provider of smart mobility technology solutions throughout the United States, Australia, Canada and Europe.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fleet owners such as rental car companies (“</w:t>
      </w:r>
      <w:r>
        <w:rPr>
          <w:rFonts w:ascii="Times New Roman;serif" w:hAnsi="Times New Roman;serif"/>
          <w:b/>
          <w:i/>
          <w:sz w:val="20"/>
        </w:rPr>
        <w:t>RACs</w:t>
      </w:r>
      <w:r>
        <w:rPr>
          <w:rFonts w:ascii="Times New Roman" w:hAnsi="Times New Roman"/>
          <w:sz w:val="20"/>
        </w:rPr>
        <w:t>”</w:t>
      </w:r>
      <w:r>
        <w:rPr>
          <w:rFonts w:ascii="Times New Roman;serif" w:hAnsi="Times New Roman;serif"/>
          <w:b w:val="false"/>
          <w:sz w:val="20"/>
        </w:rPr>
        <w:t>) and fleet management companies (“</w:t>
      </w:r>
      <w:r>
        <w:rPr>
          <w:rFonts w:ascii="Times New Roman;serif" w:hAnsi="Times New Roman;serif"/>
          <w:b/>
          <w:i/>
          <w:sz w:val="20"/>
        </w:rPr>
        <w:t>FMCs</w:t>
      </w:r>
      <w:r>
        <w:rPr>
          <w:rFonts w:ascii="Times New Roman" w:hAnsi="Times New Roman"/>
          <w:sz w:val="20"/>
        </w:rPr>
        <w:t>”</w:t>
      </w:r>
      <w:r>
        <w:rPr>
          <w:rFonts w:ascii="Times New Roman;serif" w:hAnsi="Times New Roman;serif"/>
          <w:b w:val="false"/>
          <w:sz w:val="20"/>
        </w:rPr>
        <w:t>), governments, universities, healthcare facilities, commercial parking operators and other violation-issuing authorities. Our vision is to continue to develop and use technology and data intelligence to make transportation safer, smarter and more connected.</w:t>
      </w:r>
    </w:p>
    <w:p>
      <w:pPr>
        <w:pStyle w:val="TextBody"/>
        <w:bidi w:val="0"/>
        <w:spacing w:before="360" w:after="0"/>
        <w:jc w:val="both"/>
        <w:rPr>
          <w:rFonts w:ascii="Times New Roman;serif" w:hAnsi="Times New Roman;serif"/>
          <w:b/>
          <w:sz w:val="20"/>
        </w:rPr>
      </w:pPr>
      <w:r>
        <w:rPr>
          <w:rFonts w:ascii="Times New Roman;serif" w:hAnsi="Times New Roman;serif"/>
          <w:b/>
          <w:sz w:val="20"/>
        </w:rPr>
        <w:t>Executive Summary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operate under long-term contracts and a highly reoccurring service revenue model. We continue to execute our strategy to grow revenue organically year over year and focus on initiatives that support our long-term vision. During the periods presented, we: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Increased total revenue by $38.5 million, or 10.8%, from $357.9 million in the six months ended June 30, 2022 to $396.4 million in same period in 2023. The increase was mainly due to service revenue resulting from increased travel volume and higher adoption of the all-inclusive product offering in the Commercial Services segment and expansion of speed programs in the Government Solutions segment.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Generated cash flows from operating activities of $107.9 million and $96.4 million for the six months ended June 30, 2023 and 2022, respectively. Our cash on hand was $210.1 million as of June 30, 2023, due in part to $105.8 million of cash proceeds received from Warrant exercises during the six months ended June 30, 2023.</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Continued to focus on debt management and lowering our exposure to higher interest rates, and as a result, made early repayments totaling $72.5 million on our 2021 Term Loan during the six months ended June 30, 2023.</w:t>
      </w:r>
    </w:p>
    <w:p>
      <w:pPr>
        <w:pStyle w:val="TextBody"/>
        <w:bidi w:val="0"/>
        <w:spacing w:before="360" w:after="0"/>
        <w:jc w:val="both"/>
        <w:rPr>
          <w:rFonts w:ascii="Times New Roman;serif" w:hAnsi="Times New Roman;serif"/>
          <w:b/>
          <w:sz w:val="20"/>
        </w:rPr>
      </w:pPr>
      <w:r>
        <w:rPr>
          <w:rFonts w:ascii="Times New Roman;serif" w:hAnsi="Times New Roman;serif"/>
          <w:b/>
          <w:sz w:val="20"/>
        </w:rPr>
        <w:t>Segment 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three operating and reportable segments, Commercial Services, Government Solutions and Parking Solutions: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Commercial Services segment offers toll and violation management solutions and title and registration services for RACs and FMCs in North America. In Europe, we provide tolling and violations processing services.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Government Solutions segment offers photo enforcement solutions and services to its customers. We provide complete, end-to-end speed, red-light, school bus stop arm and bus lane enforcement solutions within the United States and Canada. The international operations primarily involve the sale of traffic enforcement products and related maintenance services.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Our Parking Solutions segment provides an integrated suite of parking software and hardware solutions to universities, municipalities, healthcare facilities and commercial parking operators in the United States and Canada.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During the third quarter of 2022, we changed our measure of segment profit to include loss on disposal of assets, net, and to exclude transaction and transformation expenses that were previously included within the selling, general and administrative expenses and other income, net line items. The comparable prior periods have been recast to conform to the revised presentation, although the impact of this revision to previously reported segment profit was not material. See Note 14, </w:t>
      </w:r>
      <w:r>
        <w:rPr>
          <w:rFonts w:ascii="Times New Roman;serif" w:hAnsi="Times New Roman;serif"/>
          <w:b w:val="false"/>
          <w:i/>
          <w:sz w:val="20"/>
        </w:rPr>
        <w:t>Segment Reporting</w:t>
      </w:r>
      <w:r>
        <w:rPr>
          <w:rFonts w:ascii="Times New Roman;serif" w:hAnsi="Times New Roman;serif"/>
          <w:b w:val="false"/>
          <w:sz w:val="20"/>
        </w:rPr>
        <w:t>.</w:t>
      </w:r>
    </w:p>
    <w:p>
      <w:pPr>
        <w:pStyle w:val="TextBody"/>
        <w:bidi w:val="0"/>
        <w:spacing w:before="360" w:after="0"/>
        <w:jc w:val="both"/>
        <w:rPr>
          <w:rFonts w:ascii="Times New Roman;serif" w:hAnsi="Times New Roman;serif"/>
          <w:b/>
          <w:sz w:val="20"/>
        </w:rPr>
      </w:pPr>
      <w:r>
        <w:rPr>
          <w:rFonts w:ascii="Times New Roman;serif" w:hAnsi="Times New Roman;serif"/>
          <w:b/>
          <w:sz w:val="20"/>
        </w:rPr>
        <w:t>Primary Components of Our Operating Results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Revenues</w:t>
      </w:r>
    </w:p>
    <w:p>
      <w:pPr>
        <w:pStyle w:val="TextBody"/>
        <w:bidi w:val="0"/>
        <w:spacing w:before="240" w:after="0"/>
        <w:jc w:val="both"/>
        <w:rPr>
          <w:rFonts w:ascii="Times New Roman" w:hAnsi="Times New Roman"/>
          <w:sz w:val="20"/>
        </w:rPr>
      </w:pPr>
      <w:r>
        <w:rPr>
          <w:rFonts w:ascii="Times New Roman;serif" w:hAnsi="Times New Roman;serif"/>
          <w:b w:val="false"/>
          <w:i/>
          <w:sz w:val="20"/>
        </w:rPr>
        <w:t>Service Revenue.</w:t>
      </w:r>
      <w:r>
        <w:rPr>
          <w:rFonts w:ascii="Times New Roman" w:hAnsi="Times New Roman"/>
          <w:sz w:val="20"/>
        </w:rPr>
        <w:t xml:space="preserve"> </w:t>
      </w:r>
      <w:r>
        <w:rPr>
          <w:rFonts w:ascii="Times New Roman;serif" w:hAnsi="Times New Roman;serif"/>
          <w:b w:val="false"/>
          <w:sz w:val="20"/>
        </w:rPr>
        <w:t>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spacing w:before="240" w:after="0"/>
        <w:jc w:val="both"/>
        <w:rPr>
          <w:rFonts w:ascii="Times New Roman" w:hAnsi="Times New Roman"/>
          <w:sz w:val="20"/>
        </w:rPr>
      </w:pPr>
      <w:r>
        <w:rPr>
          <w:rFonts w:ascii="Times New Roman;serif" w:hAnsi="Times New Roman;serif"/>
          <w:b w:val="false"/>
          <w:sz w:val="20"/>
        </w:rPr>
        <w:t>Our Parking Solutions segment generates service revenue mainly from offering software as a service, subscription fees, professional services and citation processing services related to parking management solutions to its customers.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Product Sales.</w:t>
      </w:r>
      <w:r>
        <w:rPr>
          <w:rFonts w:ascii="Times New Roman" w:hAnsi="Times New Roman"/>
          <w:sz w:val="20"/>
        </w:rPr>
        <w:t xml:space="preserve"> </w:t>
      </w:r>
      <w:r>
        <w:rPr>
          <w:rFonts w:ascii="Times New Roman;serif" w:hAnsi="Times New Roman;serif"/>
          <w:b w:val="false"/>
          <w:sz w:val="20"/>
        </w:rPr>
        <w:t>Product sales are generated by the sale of photo enforcement equipment in the Government Solutions segment and specialized hardware in the Parking Solutions segment. Customer buying patterns vary greatly from period to period related to product sales.</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Costs and Expenses</w:t>
      </w:r>
    </w:p>
    <w:p>
      <w:pPr>
        <w:pStyle w:val="TextBody"/>
        <w:bidi w:val="0"/>
        <w:spacing w:before="120" w:after="0"/>
        <w:jc w:val="both"/>
        <w:rPr>
          <w:rFonts w:ascii="Times New Roman" w:hAnsi="Times New Roman"/>
          <w:sz w:val="20"/>
        </w:rPr>
      </w:pPr>
      <w:r>
        <w:rPr>
          <w:rFonts w:ascii="Times New Roman;serif" w:hAnsi="Times New Roman;serif"/>
          <w:b w:val="false"/>
          <w:i/>
          <w:sz w:val="20"/>
        </w:rPr>
        <w:t>Cost of Service Revenue.</w:t>
      </w:r>
      <w:r>
        <w:rPr>
          <w:rFonts w:ascii="Times New Roman" w:hAnsi="Times New Roman"/>
          <w:sz w:val="20"/>
        </w:rPr>
        <w:t xml:space="preserve"> </w:t>
      </w:r>
      <w:r>
        <w:rPr>
          <w:rFonts w:ascii="Times New Roman;serif" w:hAnsi="Times New Roman;serif"/>
          <w:b w:val="false"/>
          <w:sz w:val="20"/>
        </w:rPr>
        <w:t>Cost of service revenue consists of recurring service costs, collection and other third-party costs in our segments.</w:t>
      </w:r>
    </w:p>
    <w:p>
      <w:pPr>
        <w:pStyle w:val="TextBody"/>
        <w:bidi w:val="0"/>
        <w:spacing w:before="240" w:after="0"/>
        <w:jc w:val="both"/>
        <w:rPr>
          <w:rFonts w:ascii="Times New Roman" w:hAnsi="Times New Roman"/>
          <w:sz w:val="20"/>
        </w:rPr>
      </w:pPr>
      <w:r>
        <w:rPr>
          <w:rFonts w:ascii="Times New Roman;serif" w:hAnsi="Times New Roman;serif"/>
          <w:b w:val="false"/>
          <w:i/>
          <w:sz w:val="20"/>
        </w:rPr>
        <w:t xml:space="preserve">Cost of Product Sales. </w:t>
      </w:r>
      <w:r>
        <w:rPr>
          <w:rFonts w:ascii="Times New Roman;serif" w:hAnsi="Times New Roman;serif"/>
          <w:b w:val="false"/>
          <w:sz w:val="20"/>
        </w:rPr>
        <w:t>Cost of product sales consists of the cost to acquire and install photo enforcement equipment purchased by Government Solutions customers and costs to develop and install hardware sold to Parking Solutions customers.</w:t>
      </w:r>
    </w:p>
    <w:p>
      <w:pPr>
        <w:pStyle w:val="TextBody"/>
        <w:bidi w:val="0"/>
        <w:spacing w:before="240" w:after="0"/>
        <w:jc w:val="both"/>
        <w:rPr>
          <w:rFonts w:ascii="Times New Roman" w:hAnsi="Times New Roman"/>
          <w:sz w:val="20"/>
        </w:rPr>
      </w:pPr>
      <w:r>
        <w:rPr>
          <w:rFonts w:ascii="Times New Roman;serif" w:hAnsi="Times New Roman;serif"/>
          <w:b w:val="false"/>
          <w:i/>
          <w:sz w:val="20"/>
        </w:rPr>
        <w:t>Operating Expenses</w:t>
      </w:r>
      <w:r>
        <w:rPr>
          <w:rFonts w:ascii="Times New Roman;serif" w:hAnsi="Times New Roman;serif"/>
          <w:b w:val="false"/>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40" w:after="0"/>
        <w:jc w:val="both"/>
        <w:rPr>
          <w:rFonts w:ascii="Times New Roman" w:hAnsi="Times New Roman"/>
          <w:sz w:val="20"/>
        </w:rPr>
      </w:pPr>
      <w:r>
        <w:rPr>
          <w:rFonts w:ascii="Times New Roman;serif" w:hAnsi="Times New Roman;serif"/>
          <w:b w:val="false"/>
          <w:i/>
          <w:sz w:val="20"/>
        </w:rPr>
        <w:t>Selling, General and Administrative Expenses</w:t>
      </w:r>
      <w:r>
        <w:rPr>
          <w:rFonts w:ascii="Times New Roman;serif" w:hAnsi="Times New Roman;serif"/>
          <w:b w:val="false"/>
          <w:sz w:val="20"/>
        </w:rPr>
        <w:t>. Selling, general and administrative expenses include payroll and payroll-related costs (including stock-based compensation), real estate lease expense, insurance costs, professional services fees, acquisition costs and general corporate expenses.</w:t>
      </w:r>
    </w:p>
    <w:p>
      <w:pPr>
        <w:pStyle w:val="TextBody"/>
        <w:bidi w:val="0"/>
        <w:spacing w:before="240" w:after="0"/>
        <w:jc w:val="both"/>
        <w:rPr>
          <w:rFonts w:ascii="Times New Roman" w:hAnsi="Times New Roman"/>
          <w:sz w:val="20"/>
        </w:rPr>
      </w:pPr>
      <w:r>
        <w:rPr>
          <w:rFonts w:ascii="Times New Roman;serif" w:hAnsi="Times New Roman;serif"/>
          <w:b w:val="false"/>
          <w:i/>
          <w:sz w:val="20"/>
        </w:rPr>
        <w:t>Depreciation, Amortization and (Gain) Loss on Disposal of Assets, Net</w:t>
      </w:r>
      <w:r>
        <w:rPr>
          <w:rFonts w:ascii="Times New Roman;serif" w:hAnsi="Times New Roman;serif"/>
          <w:b w:val="false"/>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40" w:after="0"/>
        <w:jc w:val="both"/>
        <w:rPr>
          <w:rFonts w:ascii="Times New Roman" w:hAnsi="Times New Roman"/>
          <w:sz w:val="20"/>
        </w:rPr>
      </w:pPr>
      <w:r>
        <w:rPr>
          <w:rFonts w:ascii="Times New Roman;serif" w:hAnsi="Times New Roman;serif"/>
          <w:b w:val="false"/>
          <w:i/>
          <w:sz w:val="20"/>
        </w:rPr>
        <w:t>Interest Expense, Net</w:t>
      </w:r>
      <w:r>
        <w:rPr>
          <w:rFonts w:ascii="Times New Roman;serif" w:hAnsi="Times New Roman;serif"/>
          <w:b w:val="false"/>
          <w:sz w:val="20"/>
        </w:rPr>
        <w:t>. This includes interest expense and amortization of deferred financing costs and discounts and is net of interest income.</w:t>
      </w:r>
    </w:p>
    <w:p>
      <w:pPr>
        <w:pStyle w:val="TextBody"/>
        <w:bidi w:val="0"/>
        <w:spacing w:before="240" w:after="0"/>
        <w:jc w:val="both"/>
        <w:rPr>
          <w:rFonts w:ascii="Times New Roman" w:hAnsi="Times New Roman"/>
          <w:sz w:val="20"/>
        </w:rPr>
      </w:pPr>
      <w:r>
        <w:rPr>
          <w:rFonts w:ascii="Times New Roman;serif" w:hAnsi="Times New Roman;serif"/>
          <w:b w:val="false"/>
          <w:i/>
          <w:sz w:val="20"/>
        </w:rPr>
        <w:t>Change in Fair Value of Private Placement Warrants</w:t>
      </w:r>
      <w:r>
        <w:rPr>
          <w:rFonts w:ascii="Times New Roman;serif" w:hAnsi="Times New Roman;serif"/>
          <w:b w:val="false"/>
          <w:sz w:val="20"/>
        </w:rPr>
        <w:t>. Change in fair value of private placement warrants consists of liability adjustments related to the Private Placement Warrants originally issued to Gores Sponsor II, LLC re-measured to fair value at the end of each reporting period, or a final re-measurement upon their exercise.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i/>
          <w:sz w:val="20"/>
        </w:rPr>
        <w:t>Tax Receivable Agreement Liability Adjustment</w:t>
      </w:r>
      <w:r>
        <w:rPr>
          <w:rFonts w:ascii="Times New Roman;serif" w:hAnsi="Times New Roman;serif"/>
          <w:b w:val="false"/>
          <w:sz w:val="20"/>
        </w:rPr>
        <w:t>. This consists of adjustments made to our Tax Receivable Agreement liability due to changes in estimates.</w:t>
      </w:r>
    </w:p>
    <w:p>
      <w:pPr>
        <w:pStyle w:val="TextBody"/>
        <w:bidi w:val="0"/>
        <w:spacing w:before="240" w:after="0"/>
        <w:jc w:val="both"/>
        <w:rPr>
          <w:rFonts w:ascii="Times New Roman" w:hAnsi="Times New Roman"/>
          <w:sz w:val="20"/>
        </w:rPr>
      </w:pPr>
      <w:r>
        <w:rPr>
          <w:rFonts w:ascii="Times New Roman;serif" w:hAnsi="Times New Roman;serif"/>
          <w:b w:val="false"/>
          <w:i/>
          <w:sz w:val="20"/>
        </w:rPr>
        <w:t xml:space="preserve">Gain on Interest Rate Swap. </w:t>
      </w:r>
      <w:r>
        <w:rPr>
          <w:rFonts w:ascii="Times New Roman;serif" w:hAnsi="Times New Roman;serif"/>
          <w:b w:val="false"/>
          <w:sz w:val="20"/>
        </w:rPr>
        <w:t>Gain on interest rate swap relates to the gain associated with the derivative instrument re-measured to fair value at the end of the reporting period and the related periodic cash payments.</w:t>
      </w:r>
    </w:p>
    <w:p>
      <w:pPr>
        <w:pStyle w:val="TextBody"/>
        <w:bidi w:val="0"/>
        <w:spacing w:before="240" w:after="0"/>
        <w:jc w:val="both"/>
        <w:rPr>
          <w:rFonts w:ascii="Times New Roman" w:hAnsi="Times New Roman"/>
          <w:sz w:val="20"/>
        </w:rPr>
      </w:pPr>
      <w:r>
        <w:rPr>
          <w:rFonts w:ascii="Times New Roman;serif" w:hAnsi="Times New Roman;serif"/>
          <w:b w:val="false"/>
          <w:i/>
          <w:sz w:val="20"/>
        </w:rPr>
        <w:t xml:space="preserve">Loss on Extinguishment of Debt. </w:t>
      </w:r>
      <w:r>
        <w:rPr>
          <w:rFonts w:ascii="Times New Roman;serif" w:hAnsi="Times New Roman;serif"/>
          <w:b w:val="false"/>
          <w:sz w:val="20"/>
        </w:rPr>
        <w:t>Loss on extinguishment of debt consists of the write-off of pre-existing original issue discounts and deferred financing costs associated with debt extinguishment.</w:t>
      </w:r>
    </w:p>
    <w:p>
      <w:pPr>
        <w:pStyle w:val="TextBody"/>
        <w:bidi w:val="0"/>
        <w:spacing w:before="240" w:after="0"/>
        <w:jc w:val="both"/>
        <w:rPr>
          <w:rFonts w:ascii="Times New Roman" w:hAnsi="Times New Roman"/>
          <w:sz w:val="20"/>
        </w:rPr>
      </w:pPr>
      <w:r>
        <w:rPr>
          <w:rFonts w:ascii="Times New Roman;serif" w:hAnsi="Times New Roman;serif"/>
          <w:b w:val="false"/>
          <w:i/>
          <w:sz w:val="20"/>
        </w:rPr>
        <w:t>Other Income, Net</w:t>
      </w:r>
      <w:r>
        <w:rPr>
          <w:rFonts w:ascii="Times New Roman;serif" w:hAnsi="Times New Roman;serif"/>
          <w:b w:val="false"/>
          <w:sz w:val="20"/>
        </w:rPr>
        <w:t>. Other income, net primarily consists of volume rebates earned from total spend on purchasing cards, gains or losses on foreign currency transactions and other non-operating expenses.</w:t>
      </w:r>
    </w:p>
    <w:p>
      <w:pPr>
        <w:pStyle w:val="TextBody"/>
        <w:bidi w:val="0"/>
        <w:spacing w:before="36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Three Months Ended June 30, 2023 Compared to Three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579"/>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736"/>
        <w:gridCol w:w="166"/>
        <w:gridCol w:w="146"/>
        <w:gridCol w:w="146"/>
        <w:gridCol w:w="631"/>
        <w:gridCol w:w="534"/>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4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196,050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174,502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95.9</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21,548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12.3</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8,411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12,985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4.1</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(35.2</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sz w:val="19"/>
              </w:rPr>
            </w:pPr>
            <w:r>
              <w:rPr>
                <w:rFonts w:ascii="Times New Roman;serif" w:hAnsi="Times New Roman;serif"/>
                <w:b/>
                <w:sz w:val="19"/>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204,461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187,487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16,974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16.8</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Cost of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(28.4</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65,657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32.1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29.4</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19.0</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21.4</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3,053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7.6</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Depreciation, amortization and (gain) loss on disposal of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29,088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34,939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14.3</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18.6</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(16.7</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Total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148,250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142,326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72.5</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75.9</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4.2</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sz w:val="19"/>
              </w:rPr>
            </w:pPr>
            <w:r>
              <w:rPr>
                <w:rFonts w:ascii="Times New Roman;serif" w:hAnsi="Times New Roman;serif"/>
                <w:b/>
                <w:sz w:val="19"/>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45,161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24.5</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22,771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8,286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57.2</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(6,600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(265.4</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Tax receivable agreement liability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n/a</w:t>
            </w:r>
          </w:p>
        </w:tc>
        <w:tc>
          <w:tcPr>
            <w:tcW w:w="534" w:type="dxa"/>
            <w:tcBorders/>
            <w:vAlign w:val="center"/>
          </w:tcPr>
          <w:p>
            <w:pPr>
              <w:pStyle w:val="TableContents"/>
              <w:bidi w:val="0"/>
              <w:spacing w:before="0" w:after="0"/>
              <w:ind w:left="0" w:right="0" w:hanging="0"/>
              <w:jc w:val="right"/>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n/a</w:t>
            </w:r>
          </w:p>
        </w:tc>
        <w:tc>
          <w:tcPr>
            <w:tcW w:w="534" w:type="dxa"/>
            <w:tcBorders/>
            <w:vAlign w:val="center"/>
          </w:tcPr>
          <w:p>
            <w:pPr>
              <w:pStyle w:val="TableContents"/>
              <w:bidi w:val="0"/>
              <w:spacing w:before="0" w:after="0"/>
              <w:ind w:left="0" w:right="0" w:hanging="0"/>
              <w:jc w:val="right"/>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11.7</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Total other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24,581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12.0</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21,700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753.2</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31,630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42,280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22.6</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(10,650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(25.2</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tax provision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12,639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6.8</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(0.9</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sz w:val="19"/>
              </w:rPr>
            </w:pPr>
            <w:r>
              <w:rPr>
                <w:rFonts w:ascii="Times New Roman;serif" w:hAnsi="Times New Roman;serif"/>
                <w:b/>
                <w:sz w:val="19"/>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19,108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29,641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15.8</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(10,533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(35.5</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bl>
    <w:p>
      <w:pPr>
        <w:pStyle w:val="TextBody"/>
        <w:bidi w:val="0"/>
        <w:spacing w:before="0" w:after="0"/>
        <w:jc w:val="both"/>
        <w:rPr/>
      </w:pPr>
      <w:r>
        <w:rPr/>
        <w:t> </w:t>
      </w:r>
    </w:p>
    <w:p>
      <w:pPr>
        <w:pStyle w:val="TextBody"/>
        <w:bidi w:val="0"/>
        <w:spacing w:before="240" w:after="0"/>
        <w:jc w:val="both"/>
        <w:rPr>
          <w:rFonts w:ascii="Times New Roman" w:hAnsi="Times New Roman"/>
          <w:sz w:val="20"/>
        </w:rPr>
      </w:pPr>
      <w:r>
        <w:rPr>
          <w:rFonts w:ascii="Times New Roman;serif" w:hAnsi="Times New Roman;serif"/>
          <w:b w:val="false"/>
          <w:i/>
          <w:sz w:val="20"/>
        </w:rPr>
        <w:t>Service Revenue.</w:t>
      </w:r>
      <w:r>
        <w:rPr>
          <w:rFonts w:ascii="Times New Roman" w:hAnsi="Times New Roman"/>
          <w:sz w:val="20"/>
        </w:rPr>
        <w:t xml:space="preserve"> </w:t>
      </w:r>
      <w:r>
        <w:rPr>
          <w:rFonts w:ascii="Times New Roman;serif" w:hAnsi="Times New Roman;serif"/>
          <w:b w:val="false"/>
          <w:sz w:val="20"/>
        </w:rPr>
        <w:t>Service revenue increased by $21.5 million, or 12.3%, to $196.1 million for the three months ended June 30, 2023 from $174.5 million for the three months ended June 30, 2022, representing 95.9% and 93.1% of total revenue, respectively. The following table depicts service revenue by segment: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9156"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43"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6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Service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59"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59"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Parking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196,050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Commercial Services service revenue increased by $9.6 million, or 11.3%, from $84.9 million for the three months ended June 30, 2022 to $94.5 million for the three months ended June 30, 2023, which was primarily due to increased travel volume and related tolling activity compared to the prior year. An increase in the volume of tolls incurred by RAC vehicles along with the continued adoption of the all-inclusive fee structure, shifting from an incidental or daily usage rate by our large RAC customers, contributed to a $9.5 million growth in revenue. In addition, the increase in enrolled vehicles as well as higher tolling activity for our FMC customers contributed to a $2.2 million growth in revenue during the three months ended June 30, 2023, compared to the same period in 2022. These increases were partially offset by lower revenue generated from processing titles and registrations compared to the prior year.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Government Solutions service revenue increased by $10.3 million to $85.0 million for the three months ended June 30, 2023 compared to $74.7 million in the same period in 2022. The increase was primarily driven by the expansion of speed programs, as speed is the largest product in this segment and contributed approximately $8.0 million to the service revenue growth. The remaining increase is attributable to expansions across red-light, bus lane and school bus stop-arm programs.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Parking Solutions service revenue grew by $1.7 million to $16.6 million for the three months ended June 30, 2023, from $14.9 million for the three months ended June 30, 2022. The growth was primarily due to increased revenue from software as a service product offerings, professional services and citation processing services related to parking management solutions.</w:t>
      </w:r>
    </w:p>
    <w:p>
      <w:pPr>
        <w:pStyle w:val="TextBody"/>
        <w:bidi w:val="0"/>
        <w:spacing w:before="240" w:after="0"/>
        <w:jc w:val="both"/>
        <w:rPr>
          <w:rFonts w:ascii="Times New Roman" w:hAnsi="Times New Roman"/>
          <w:sz w:val="20"/>
        </w:rPr>
      </w:pPr>
      <w:r>
        <w:rPr>
          <w:rFonts w:ascii="Times New Roman;serif" w:hAnsi="Times New Roman;serif"/>
          <w:b w:val="false"/>
          <w:i/>
          <w:sz w:val="20"/>
        </w:rPr>
        <w:t>Product Sales.</w:t>
      </w:r>
      <w:r>
        <w:rPr>
          <w:rFonts w:ascii="Times New Roman" w:hAnsi="Times New Roman"/>
          <w:sz w:val="20"/>
        </w:rPr>
        <w:t xml:space="preserve"> </w:t>
      </w:r>
      <w:r>
        <w:rPr>
          <w:rFonts w:ascii="Times New Roman;serif" w:hAnsi="Times New Roman;serif"/>
          <w:b w:val="false"/>
          <w:sz w:val="20"/>
        </w:rPr>
        <w:t>Product sales were $8.4 million and $13.0 million for the three months ended June 30, 2023 and 2022, respectively. Product sales decreased by approximately $4.6 million, which was mainly due to a $5.6 million decrease in product sales to Government Solutions customers, offset by growth of $1.0 million in product sales in the Parking Solutions segment. Customer buying patterns vary greatly from period to period related to product sales.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Cost of Service Revenue.</w:t>
      </w:r>
      <w:r>
        <w:rPr>
          <w:rFonts w:ascii="Times New Roman" w:hAnsi="Times New Roman"/>
          <w:sz w:val="20"/>
        </w:rPr>
        <w:t xml:space="preserve"> </w:t>
      </w:r>
      <w:r>
        <w:rPr>
          <w:rFonts w:ascii="Times New Roman;serif" w:hAnsi="Times New Roman;serif"/>
          <w:b w:val="false"/>
          <w:sz w:val="20"/>
        </w:rPr>
        <w:t>Cost of service revenue increased from $3.7 million for the three months ended June 30, 2022 to $4.3 million for the three months ended June 30, 2023. The $0.6 million increase was mainly due to increased recurring service costs in the Parking Solutions and the Commercial Services segments.</w:t>
      </w:r>
    </w:p>
    <w:p>
      <w:pPr>
        <w:pStyle w:val="TextBody"/>
        <w:bidi w:val="0"/>
        <w:spacing w:before="240" w:after="0"/>
        <w:jc w:val="both"/>
        <w:rPr>
          <w:rFonts w:ascii="Times New Roman" w:hAnsi="Times New Roman"/>
          <w:sz w:val="20"/>
        </w:rPr>
      </w:pPr>
      <w:r>
        <w:rPr>
          <w:rFonts w:ascii="Times New Roman;serif" w:hAnsi="Times New Roman;serif"/>
          <w:b w:val="false"/>
          <w:i/>
          <w:sz w:val="20"/>
        </w:rPr>
        <w:t>Cost of Product Sales.</w:t>
      </w:r>
      <w:r>
        <w:rPr>
          <w:rFonts w:ascii="Times New Roman" w:hAnsi="Times New Roman"/>
          <w:sz w:val="20"/>
        </w:rPr>
        <w:t xml:space="preserve"> </w:t>
      </w:r>
      <w:r>
        <w:rPr>
          <w:rFonts w:ascii="Times New Roman;serif" w:hAnsi="Times New Roman;serif"/>
          <w:b w:val="false"/>
          <w:sz w:val="20"/>
        </w:rPr>
        <w:t>Cost of product sales decreased by $2.3 million from $8.3 million in the three months ended June 30, 2022 to $6.0 million in the three months ended June 30, 2023, which was mainly due to a decrease in costs in the Government Solutions segment offset by an increase in costs in the Parking Solutions segment.</w:t>
      </w:r>
    </w:p>
    <w:p>
      <w:pPr>
        <w:pStyle w:val="TextBody"/>
        <w:bidi w:val="0"/>
        <w:spacing w:before="240" w:after="0"/>
        <w:jc w:val="both"/>
        <w:rPr>
          <w:rFonts w:ascii="Times New Roman" w:hAnsi="Times New Roman"/>
          <w:sz w:val="20"/>
        </w:rPr>
      </w:pPr>
      <w:r>
        <w:rPr>
          <w:rFonts w:ascii="Times New Roman;serif" w:hAnsi="Times New Roman;serif"/>
          <w:b w:val="false"/>
          <w:i/>
          <w:sz w:val="20"/>
        </w:rPr>
        <w:t>Operating Expenses.</w:t>
      </w:r>
      <w:r>
        <w:rPr>
          <w:rFonts w:ascii="Times New Roman" w:hAnsi="Times New Roman"/>
          <w:sz w:val="20"/>
        </w:rPr>
        <w:t xml:space="preserve"> </w:t>
      </w:r>
      <w:r>
        <w:rPr>
          <w:rFonts w:ascii="Times New Roman;serif" w:hAnsi="Times New Roman;serif"/>
          <w:b w:val="false"/>
          <w:sz w:val="20"/>
        </w:rPr>
        <w:t>Operating expenses increased by $10.5 million, or 19.0%, from $55.2 million for the three months ended June 30, 2022 to $65.7 million for the three months ended June 30, 2023. The increase in 2023 was primarily attributable to increases of $7.1 million in wages expense, $1.4 million for subcontractor costs and $1.0 million of recurring service costs compared to the prior period. Operating expenses as a percentage of total revenue increased from 29.4% to 32.1% for the three months ended June 30, 2022 and 2023, respectively. The following table presents operating expenses by segment: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165"/>
        <w:gridCol w:w="146"/>
        <w:gridCol w:w="211"/>
        <w:gridCol w:w="676"/>
        <w:gridCol w:w="146"/>
        <w:gridCol w:w="146"/>
        <w:gridCol w:w="211"/>
        <w:gridCol w:w="676"/>
        <w:gridCol w:w="146"/>
        <w:gridCol w:w="146"/>
        <w:gridCol w:w="151"/>
        <w:gridCol w:w="484"/>
        <w:gridCol w:w="281"/>
        <w:gridCol w:w="151"/>
        <w:gridCol w:w="151"/>
        <w:gridCol w:w="484"/>
        <w:gridCol w:w="271"/>
        <w:gridCol w:w="146"/>
        <w:gridCol w:w="211"/>
        <w:gridCol w:w="676"/>
        <w:gridCol w:w="146"/>
        <w:gridCol w:w="146"/>
        <w:gridCol w:w="146"/>
        <w:gridCol w:w="571"/>
        <w:gridCol w:w="521"/>
      </w:tblGrid>
      <w:tr>
        <w:trPr/>
        <w:tc>
          <w:tcPr>
            <w:tcW w:w="3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1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73"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5"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5" w:type="dxa"/>
            <w:gridSpan w:val="2"/>
            <w:tcBorders/>
            <w:vAlign w:val="center"/>
          </w:tcPr>
          <w:p>
            <w:pPr>
              <w:pStyle w:val="TableContents"/>
              <w:bidi w:val="0"/>
              <w:spacing w:before="0" w:after="0"/>
              <w:ind w:left="0" w:right="0" w:hanging="0"/>
              <w:jc w:val="right"/>
              <w:rPr/>
            </w:pPr>
            <w:r>
              <w:rPr/>
              <w:t> </w:t>
            </w:r>
          </w:p>
        </w:tc>
        <w:tc>
          <w:tcPr>
            <w:tcW w:w="28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63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521" w:type="dxa"/>
            <w:tcBorders/>
            <w:vAlign w:val="center"/>
          </w:tcPr>
          <w:p>
            <w:pPr>
              <w:pStyle w:val="TableContents"/>
              <w:bidi w:val="0"/>
              <w:spacing w:before="0" w:after="0"/>
              <w:ind w:left="0" w:right="0" w:firstLine="200"/>
              <w:jc w:val="right"/>
              <w:rPr/>
            </w:pPr>
            <w:r>
              <w:rPr/>
              <w:t> </w:t>
            </w:r>
          </w:p>
        </w:tc>
      </w:tr>
      <w:tr>
        <w:trPr/>
        <w:tc>
          <w:tcPr>
            <w:tcW w:w="31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52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52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Parking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 before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i/>
          <w:sz w:val="20"/>
        </w:rPr>
        <w:t>Selling, General and Administrative Expenses.</w:t>
      </w:r>
      <w:r>
        <w:rPr>
          <w:rFonts w:ascii="Times New Roman" w:hAnsi="Times New Roman"/>
          <w:sz w:val="20"/>
        </w:rPr>
        <w:t xml:space="preserve"> </w:t>
      </w:r>
      <w:r>
        <w:rPr>
          <w:rFonts w:ascii="Times New Roman;serif" w:hAnsi="Times New Roman;serif"/>
          <w:b w:val="false"/>
          <w:sz w:val="20"/>
        </w:rPr>
        <w:t>Selling, general and administrative expenses increased to $43.2 million for the three months ended June 30, 2023 compared to $40.2 million for the same period in 2022. The increase was primarily due to $1.9 million of higher professional services costs and $0.7 million of information technology expenses compared to the prior period. Selling, general and administrative expenses as a percentage of total revenue decreased from 21.4% to 21.1% for the three months ended June 30, 2022 and 2023, respectively.</w:t>
      </w:r>
      <w:r>
        <w:rPr>
          <w:rFonts w:ascii="Times New Roman" w:hAnsi="Times New Roman"/>
          <w:sz w:val="20"/>
        </w:rPr>
        <w:t xml:space="preserve"> </w:t>
      </w:r>
      <w:r>
        <w:rPr>
          <w:rFonts w:ascii="Times New Roman;serif" w:hAnsi="Times New Roman;serif"/>
          <w:b w:val="false"/>
          <w:sz w:val="20"/>
        </w:rPr>
        <w:t>The following table presents selling, general and administrative expenses by segment:</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238"/>
        <w:gridCol w:w="146"/>
        <w:gridCol w:w="211"/>
        <w:gridCol w:w="676"/>
        <w:gridCol w:w="146"/>
        <w:gridCol w:w="146"/>
        <w:gridCol w:w="211"/>
        <w:gridCol w:w="676"/>
        <w:gridCol w:w="146"/>
        <w:gridCol w:w="146"/>
        <w:gridCol w:w="149"/>
        <w:gridCol w:w="478"/>
        <w:gridCol w:w="278"/>
        <w:gridCol w:w="149"/>
        <w:gridCol w:w="149"/>
        <w:gridCol w:w="478"/>
        <w:gridCol w:w="271"/>
        <w:gridCol w:w="146"/>
        <w:gridCol w:w="211"/>
        <w:gridCol w:w="631"/>
        <w:gridCol w:w="166"/>
        <w:gridCol w:w="146"/>
        <w:gridCol w:w="146"/>
        <w:gridCol w:w="526"/>
        <w:gridCol w:w="539"/>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23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8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3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278"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right"/>
              <w:rPr/>
            </w:pPr>
            <w:r>
              <w:rPr/>
              <w:t> </w:t>
            </w:r>
          </w:p>
        </w:tc>
        <w:tc>
          <w:tcPr>
            <w:tcW w:w="539" w:type="dxa"/>
            <w:tcBorders/>
            <w:vAlign w:val="center"/>
          </w:tcPr>
          <w:p>
            <w:pPr>
              <w:pStyle w:val="TableContents"/>
              <w:bidi w:val="0"/>
              <w:spacing w:before="0" w:after="0"/>
              <w:ind w:left="0" w:right="0" w:firstLine="200"/>
              <w:jc w:val="right"/>
              <w:rPr/>
            </w:pPr>
            <w:r>
              <w:rPr/>
              <w:t> </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Parking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 before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i/>
          <w:sz w:val="20"/>
        </w:rPr>
        <w:t>Depreciation, Amortization and (Gain) Loss on Disposal of Assets, Net.</w:t>
      </w:r>
      <w:r>
        <w:rPr>
          <w:rFonts w:ascii="Times New Roman" w:hAnsi="Times New Roman"/>
          <w:sz w:val="20"/>
        </w:rPr>
        <w:t xml:space="preserve"> </w:t>
      </w:r>
      <w:r>
        <w:rPr>
          <w:rFonts w:ascii="Times New Roman;serif" w:hAnsi="Times New Roman;serif"/>
          <w:b w:val="false"/>
          <w:sz w:val="20"/>
        </w:rPr>
        <w:t>Depreciation, amortization and (gain) loss on disposal of assets, net, decreased by $5.8 million to $29.1 million for the three months ended June 30, 2023 from $34.9 million for the same period in 2022. This was mainly due to certain non-compete and developed technology intangible assets being fully amortized for the three-month period ended June 30, 2023 as compared to the prior year which included the amortization expense. This decrease was partially offset by increase in depreciation expense in the 2023 period.</w:t>
      </w:r>
    </w:p>
    <w:p>
      <w:pPr>
        <w:pStyle w:val="TextBody"/>
        <w:bidi w:val="0"/>
        <w:spacing w:before="240" w:after="0"/>
        <w:jc w:val="both"/>
        <w:rPr>
          <w:rFonts w:ascii="Times New Roman" w:hAnsi="Times New Roman"/>
          <w:sz w:val="20"/>
        </w:rPr>
      </w:pPr>
      <w:r>
        <w:rPr>
          <w:rFonts w:ascii="Times New Roman;serif" w:hAnsi="Times New Roman;serif"/>
          <w:b w:val="false"/>
          <w:i/>
          <w:sz w:val="20"/>
        </w:rPr>
        <w:t>Interest Expense, Net.</w:t>
      </w:r>
      <w:r>
        <w:rPr>
          <w:rFonts w:ascii="Times New Roman" w:hAnsi="Times New Roman"/>
          <w:sz w:val="20"/>
        </w:rPr>
        <w:t xml:space="preserve"> </w:t>
      </w:r>
      <w:r>
        <w:rPr>
          <w:rFonts w:ascii="Times New Roman;serif" w:hAnsi="Times New Roman;serif"/>
          <w:b w:val="false"/>
          <w:sz w:val="20"/>
        </w:rPr>
        <w:t>Interest expense, net increased by $8.3 million from $14.5 million for the three months ended June 30, 2022 to $22.8 million for the same period in 2023 which is primarily attributable to rising interest rates. The average variable interest rate on the 2021 Term Loan was 470 basis points higher for the three months ended June 30, 2023 compared to the prior period. See “</w:t>
      </w:r>
      <w:r>
        <w:rPr>
          <w:rFonts w:ascii="Times New Roman;serif" w:hAnsi="Times New Roman;serif"/>
          <w:b w:val="false"/>
          <w:i/>
          <w:sz w:val="20"/>
        </w:rPr>
        <w:t>Liquidity and Capital Resources</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i/>
          <w:sz w:val="20"/>
        </w:rPr>
        <w:t>Change in Fair Value of Private Placement Warrants</w:t>
      </w:r>
      <w:r>
        <w:rPr>
          <w:rFonts w:ascii="Times New Roman;serif" w:hAnsi="Times New Roman;serif"/>
          <w:b w:val="false"/>
          <w:sz w:val="20"/>
        </w:rPr>
        <w:t>. We recorded a loss of $10.9 million and a gain of $6.6 million for the three months ended June 30, 2023 and 2022, respectively, related to the changes in fair value of our Private Placement Warrants, which are accounted for as liabilities on our condensed consolidated balance sheets. The change in fair value is the result of re-measurement of the liability at the end of each reporting period, or a final re-measurement upon their exercise.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Tax Receivable Agreement Liability Adjustment</w:t>
      </w:r>
      <w:r>
        <w:rPr>
          <w:rFonts w:ascii="Times New Roman;serif" w:hAnsi="Times New Roman;serif"/>
          <w:b w:val="false"/>
          <w:sz w:val="20"/>
        </w:rPr>
        <w:t>. We recorded a $1.0 million benefit for the three months ended June 30, 2022 which arose from lower estimated state tax rates due to changes in apportionment.</w:t>
      </w:r>
    </w:p>
    <w:p>
      <w:pPr>
        <w:pStyle w:val="TextBody"/>
        <w:bidi w:val="0"/>
        <w:spacing w:before="240" w:after="0"/>
        <w:jc w:val="both"/>
        <w:rPr>
          <w:rFonts w:ascii="Times New Roman" w:hAnsi="Times New Roman"/>
          <w:sz w:val="20"/>
        </w:rPr>
      </w:pPr>
      <w:r>
        <w:rPr>
          <w:rFonts w:ascii="Times New Roman;serif" w:hAnsi="Times New Roman;serif"/>
          <w:b w:val="false"/>
          <w:i/>
          <w:sz w:val="20"/>
        </w:rPr>
        <w:t xml:space="preserve">Gain on Interest Rate Swap. </w:t>
      </w:r>
      <w:r>
        <w:rPr>
          <w:rFonts w:ascii="Times New Roman;serif" w:hAnsi="Times New Roman;serif"/>
          <w:b w:val="false"/>
          <w:sz w:val="20"/>
        </w:rPr>
        <w:t>We recorded a $4.8 million gain during the three months ended June 30, 2023, of which approximately $5.1 million is associated with the derivative instrument re-measured to fair value at the end of the reporting period, offset by $0.3 million related to the monthly cash payments on the interest rate swap.</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i/>
          <w:sz w:val="20"/>
        </w:rPr>
        <w:t>Loss on extinguishment of debt</w:t>
      </w:r>
      <w:r>
        <w:rPr>
          <w:rFonts w:ascii="Times New Roman;serif" w:hAnsi="Times New Roman;serif"/>
          <w:b w:val="false"/>
          <w:sz w:val="20"/>
        </w:rPr>
        <w:t>. We recorded a $0.2 million loss on extinguishment of debt during the three months ended June 30, 2023 related to the write-off of pre-existing deferred financing costs and discounts in connection with the early repayment of $10.0 million on the 2021 Term Loan.</w:t>
      </w:r>
    </w:p>
    <w:p>
      <w:pPr>
        <w:pStyle w:val="TextBody"/>
        <w:bidi w:val="0"/>
        <w:spacing w:before="240" w:after="0"/>
        <w:jc w:val="both"/>
        <w:rPr>
          <w:rFonts w:ascii="Times New Roman" w:hAnsi="Times New Roman"/>
          <w:sz w:val="20"/>
        </w:rPr>
      </w:pPr>
      <w:r>
        <w:rPr>
          <w:rFonts w:ascii="Times New Roman;serif" w:hAnsi="Times New Roman;serif"/>
          <w:b w:val="false"/>
          <w:i/>
          <w:sz w:val="20"/>
        </w:rPr>
        <w:t>Other Income, Net.</w:t>
      </w:r>
      <w:r>
        <w:rPr>
          <w:rFonts w:ascii="Times New Roman" w:hAnsi="Times New Roman"/>
          <w:sz w:val="20"/>
        </w:rPr>
        <w:t xml:space="preserve"> </w:t>
      </w:r>
      <w:r>
        <w:rPr>
          <w:rFonts w:ascii="Times New Roman;serif" w:hAnsi="Times New Roman;serif"/>
          <w:b w:val="false"/>
          <w:sz w:val="20"/>
        </w:rPr>
        <w:t>Other income, net was $4.5 million for the three months ended June 30, 2023 compared to $4.0 million for the three months ended June 30, 2022. The increase of $0.5 million is primarily attributable to volume rebates earned from total spend on purchasing cards from increased tolling and travel activity.</w:t>
      </w:r>
    </w:p>
    <w:p>
      <w:pPr>
        <w:pStyle w:val="TextBody"/>
        <w:bidi w:val="0"/>
        <w:spacing w:before="240" w:after="0"/>
        <w:jc w:val="both"/>
        <w:rPr>
          <w:rFonts w:ascii="Times New Roman" w:hAnsi="Times New Roman"/>
          <w:sz w:val="20"/>
        </w:rPr>
      </w:pPr>
      <w:r>
        <w:rPr>
          <w:rFonts w:ascii="Times New Roman;serif" w:hAnsi="Times New Roman;serif"/>
          <w:b w:val="false"/>
          <w:i/>
          <w:sz w:val="20"/>
        </w:rPr>
        <w:t>Income Tax Provision.</w:t>
      </w:r>
      <w:r>
        <w:rPr>
          <w:rFonts w:ascii="Times New Roman" w:hAnsi="Times New Roman"/>
          <w:sz w:val="20"/>
        </w:rPr>
        <w:t xml:space="preserve"> </w:t>
      </w:r>
      <w:r>
        <w:rPr>
          <w:rFonts w:ascii="Times New Roman;serif" w:hAnsi="Times New Roman;serif"/>
          <w:b w:val="false"/>
          <w:sz w:val="20"/>
        </w:rPr>
        <w:t>Income tax provision was $12.5 million representing an effective tax rate of 39.6% for the three months ended June 30, 2023 compared to a tax provision of $12.6 million, representing an effective tax rate of 29.9% for the same period in 2022. The primary driver for the effective tax rate variance is due to the permanent differences related to the mark-to-market adjustment on the Private Placement Warrants.</w:t>
      </w:r>
    </w:p>
    <w:p>
      <w:pPr>
        <w:pStyle w:val="TextBody"/>
        <w:bidi w:val="0"/>
        <w:spacing w:before="240" w:after="0"/>
        <w:jc w:val="both"/>
        <w:rPr>
          <w:rFonts w:ascii="Times New Roman" w:hAnsi="Times New Roman"/>
          <w:sz w:val="20"/>
        </w:rPr>
      </w:pPr>
      <w:r>
        <w:rPr>
          <w:rFonts w:ascii="Times New Roman;serif" w:hAnsi="Times New Roman;serif"/>
          <w:b w:val="false"/>
          <w:i/>
          <w:sz w:val="20"/>
        </w:rPr>
        <w:t>Net Income.</w:t>
      </w:r>
      <w:r>
        <w:rPr>
          <w:rFonts w:ascii="Times New Roman" w:hAnsi="Times New Roman"/>
          <w:sz w:val="20"/>
        </w:rPr>
        <w:t xml:space="preserve"> </w:t>
      </w:r>
      <w:r>
        <w:rPr>
          <w:rFonts w:ascii="Times New Roman;serif" w:hAnsi="Times New Roman;serif"/>
          <w:b w:val="false"/>
          <w:sz w:val="20"/>
        </w:rPr>
        <w:t>We had net income of $19.1 million for the three months ended June 30, 2023, as compared to a net income of $29.6 million for the three months ended June 30, 2022. The $10.5 million decrease in net income was primarily due to the change in fair value of Private Placement Warrants, increased interest expense, and the other statement of operations activity discussed above.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Six Months Ended June 30, 2023 Compared to Six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579"/>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736"/>
        <w:gridCol w:w="166"/>
        <w:gridCol w:w="146"/>
        <w:gridCol w:w="146"/>
        <w:gridCol w:w="631"/>
        <w:gridCol w:w="534"/>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4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380,748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335,636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93.8</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13.4</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(29.8</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sz w:val="19"/>
              </w:rPr>
            </w:pPr>
            <w:r>
              <w:rPr>
                <w:rFonts w:ascii="Times New Roman;serif" w:hAnsi="Times New Roman;serif"/>
                <w:b/>
                <w:sz w:val="19"/>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396,364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357,872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10.8</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14.4</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Cost of product sales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11,345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(20.8</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127,500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106,259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32.2</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29.7</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81,787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22.9</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Depreciation, amortization and (gain) loss on disposal of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59,421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70,846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15.0</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19.8</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(11,425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(16.1</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Total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290,052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280,705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73.2</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78.5</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sz w:val="19"/>
              </w:rPr>
            </w:pPr>
            <w:r>
              <w:rPr>
                <w:rFonts w:ascii="Times New Roman;serif" w:hAnsi="Times New Roman;serif"/>
                <w:b/>
                <w:sz w:val="19"/>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106,312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26.8</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37.8</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28,764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58.0</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 in fair value of private placement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6.4</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(0.8</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(990.4</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Tax receivable agreement liability adjustment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(0.3</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Gain on interest rate swap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n/a</w:t>
            </w:r>
          </w:p>
        </w:tc>
        <w:tc>
          <w:tcPr>
            <w:tcW w:w="534" w:type="dxa"/>
            <w:tcBorders/>
            <w:vAlign w:val="center"/>
          </w:tcPr>
          <w:p>
            <w:pPr>
              <w:pStyle w:val="TableContents"/>
              <w:bidi w:val="0"/>
              <w:spacing w:before="0" w:after="0"/>
              <w:ind w:left="0" w:right="0" w:hanging="0"/>
              <w:jc w:val="right"/>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0.4</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n/a</w:t>
            </w:r>
          </w:p>
        </w:tc>
        <w:tc>
          <w:tcPr>
            <w:tcW w:w="534" w:type="dxa"/>
            <w:tcBorders/>
            <w:vAlign w:val="center"/>
          </w:tcPr>
          <w:p>
            <w:pPr>
              <w:pStyle w:val="TableContents"/>
              <w:bidi w:val="0"/>
              <w:spacing w:before="0" w:after="0"/>
              <w:ind w:left="0" w:right="0" w:hanging="0"/>
              <w:jc w:val="right"/>
              <w:rPr/>
            </w:pPr>
            <w:r>
              <w:rPr/>
              <w:t> </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(8,268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19.7</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Total other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18,028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15.7</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245.4</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44,052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59,139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11.1</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16.5</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(15,087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(25.5</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tax provision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20,367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19,458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5.1</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5.4</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w:t>
            </w:r>
          </w:p>
        </w:tc>
        <w:tc>
          <w:tcPr>
            <w:tcW w:w="534"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579" w:type="dxa"/>
            <w:tcBorders/>
            <w:vAlign w:val="center"/>
          </w:tcPr>
          <w:p>
            <w:pPr>
              <w:pStyle w:val="TableContents"/>
              <w:bidi w:val="0"/>
              <w:spacing w:before="0" w:after="0"/>
              <w:ind w:left="200" w:right="0" w:hanging="0"/>
              <w:jc w:val="left"/>
              <w:rPr>
                <w:rFonts w:ascii="Times New Roman;serif" w:hAnsi="Times New Roman;serif"/>
                <w:b/>
                <w:sz w:val="19"/>
              </w:rPr>
            </w:pPr>
            <w:r>
              <w:rPr>
                <w:rFonts w:ascii="Times New Roman;serif" w:hAnsi="Times New Roman;serif"/>
                <w:b/>
                <w:sz w:val="19"/>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23,685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39,681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11.1</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(15,996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(40.3</w:t>
            </w:r>
          </w:p>
        </w:tc>
        <w:tc>
          <w:tcPr>
            <w:tcW w:w="53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bl>
    <w:p>
      <w:pPr>
        <w:pStyle w:val="TextBody"/>
        <w:bidi w:val="0"/>
        <w:spacing w:before="240" w:after="0"/>
        <w:jc w:val="both"/>
        <w:rPr>
          <w:rFonts w:ascii="Times New Roman" w:hAnsi="Times New Roman"/>
          <w:sz w:val="20"/>
        </w:rPr>
      </w:pPr>
      <w:r>
        <w:rPr>
          <w:rFonts w:ascii="Times New Roman;serif" w:hAnsi="Times New Roman;serif"/>
          <w:b w:val="false"/>
          <w:i/>
          <w:sz w:val="20"/>
        </w:rPr>
        <w:t>Service Revenue.</w:t>
      </w:r>
      <w:r>
        <w:rPr>
          <w:rFonts w:ascii="Times New Roman" w:hAnsi="Times New Roman"/>
          <w:sz w:val="20"/>
        </w:rPr>
        <w:t xml:space="preserve"> </w:t>
      </w:r>
      <w:r>
        <w:rPr>
          <w:rFonts w:ascii="Times New Roman;serif" w:hAnsi="Times New Roman;serif"/>
          <w:b w:val="false"/>
          <w:sz w:val="20"/>
        </w:rPr>
        <w:t>Service revenue increased by $45.1 million, or 13.4%, to $380.7 million for the six months ended June 30, 2023 from $335.6 million for the six months ended June 30, 2022, representing 96.1% and 93.8% of total revenue, respectively. The following table depicts service revenue by segment: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9156"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43"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6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Service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59"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59"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Parking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380,748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335,636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Commercial Services service revenue increased by $21.7 million, or 13.7%, from $158.4 million for the six months ended June 30, 2022 to $180.1 million for the six months ended June 30, 2023. The increase was primarily due to increased travel volume and related tolling activity compared to the prior year which was still recovering from the COVID-19 pandemic, especially during January and February of 2022. An increase in the volume of tolls incurred by RAC vehicles along with the continued adoption of the all-inclusive fee structure, shifting from an incidental or daily usage rate by our large RAC customers, contributed to a $18.3 million growth in revenue. In addition, the increase in enrolled vehicles as well as higher tolling activity for our FMC customers contributed to a $3.8 million growth in revenue during the six months ended June 30, 2023, compared to the same period in 2022. These increases were partially offset by lower revenue generated from processing titles and registrations compared to the prior year.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Government Solutions service revenue increased by $20.3 million to $168.2 million for the six months ended June 30, 2023 compared to $147.9 million in the same period in 2022. The increase was primarily driven by the expansion of speed programs, as speed is the largest product in this segment and contributed approximately $17.7 million to the service revenue growth. The remaining increase is attributable to expansions across red-light, bus lane and school bus stop-arm programs.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Parking Solutions service revenue grew by $3.0 million to $32.4 million for the six months ended June 30, 2023, from $29.4 million for the six months ended June 30, 2022. The growth was primarily due to increased revenue from software as a service product offerings, professional services and citation processing services related to parking management solutions.</w:t>
      </w:r>
    </w:p>
    <w:p>
      <w:pPr>
        <w:pStyle w:val="TextBody"/>
        <w:bidi w:val="0"/>
        <w:spacing w:before="240" w:after="0"/>
        <w:jc w:val="both"/>
        <w:rPr>
          <w:rFonts w:ascii="Times New Roman" w:hAnsi="Times New Roman"/>
          <w:sz w:val="20"/>
        </w:rPr>
      </w:pPr>
      <w:r>
        <w:rPr>
          <w:rFonts w:ascii="Times New Roman;serif" w:hAnsi="Times New Roman;serif"/>
          <w:b w:val="false"/>
          <w:i/>
          <w:sz w:val="20"/>
        </w:rPr>
        <w:t>Product Sales.</w:t>
      </w:r>
      <w:r>
        <w:rPr>
          <w:rFonts w:ascii="Times New Roman" w:hAnsi="Times New Roman"/>
          <w:sz w:val="20"/>
        </w:rPr>
        <w:t xml:space="preserve"> </w:t>
      </w:r>
      <w:r>
        <w:rPr>
          <w:rFonts w:ascii="Times New Roman;serif" w:hAnsi="Times New Roman;serif"/>
          <w:b w:val="false"/>
          <w:sz w:val="20"/>
        </w:rPr>
        <w:t>Product sales were $15.6 million and $22.2 million for the six months ended June 30, 2023 and 2022, respectively. Product sales decreased by approximately $6.6 million, which was mainly due to a $8.5 million decrease in product sales to Government Solutions customers, offset by a $1.9 million growth in product sales in the Parking Solutions segment. Customer buying patterns vary greatly from period to period related to product sales.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Cost of Service Revenue.</w:t>
      </w:r>
      <w:r>
        <w:rPr>
          <w:rFonts w:ascii="Times New Roman" w:hAnsi="Times New Roman"/>
          <w:sz w:val="20"/>
        </w:rPr>
        <w:t xml:space="preserve"> </w:t>
      </w:r>
      <w:r>
        <w:rPr>
          <w:rFonts w:ascii="Times New Roman;serif" w:hAnsi="Times New Roman;serif"/>
          <w:b w:val="false"/>
          <w:sz w:val="20"/>
        </w:rPr>
        <w:t>Cost of service revenue increased from $7.5 million for the six months ended June 30, 2022 to $8.6 million for the six months ended June 30, 2023. The $1.1 million increase was mainly due to increased recurring service costs in the Parking Solutions segment.</w:t>
      </w:r>
    </w:p>
    <w:p>
      <w:pPr>
        <w:pStyle w:val="TextBody"/>
        <w:bidi w:val="0"/>
        <w:spacing w:before="240" w:after="0"/>
        <w:jc w:val="both"/>
        <w:rPr>
          <w:rFonts w:ascii="Times New Roman" w:hAnsi="Times New Roman"/>
          <w:sz w:val="20"/>
        </w:rPr>
      </w:pPr>
      <w:r>
        <w:rPr>
          <w:rFonts w:ascii="Times New Roman;serif" w:hAnsi="Times New Roman;serif"/>
          <w:b w:val="false"/>
          <w:i/>
          <w:sz w:val="20"/>
        </w:rPr>
        <w:t>Cost of Product Sales.</w:t>
      </w:r>
      <w:r>
        <w:rPr>
          <w:rFonts w:ascii="Times New Roman" w:hAnsi="Times New Roman"/>
          <w:sz w:val="20"/>
        </w:rPr>
        <w:t xml:space="preserve"> </w:t>
      </w:r>
      <w:r>
        <w:rPr>
          <w:rFonts w:ascii="Times New Roman;serif" w:hAnsi="Times New Roman;serif"/>
          <w:b w:val="false"/>
          <w:sz w:val="20"/>
        </w:rPr>
        <w:t>Cost of product sales decreased by $3.0 million from $14.3 million in the six months ended June 30, 2022 to $11.3 million in the six months ended June 30, 2023, which was mainly due to a decrease in costs in the Government Solutions segment offset by an increase in costs in the Parking Solutions segment.</w:t>
      </w:r>
    </w:p>
    <w:p>
      <w:pPr>
        <w:pStyle w:val="TextBody"/>
        <w:bidi w:val="0"/>
        <w:spacing w:before="240" w:after="0"/>
        <w:jc w:val="both"/>
        <w:rPr>
          <w:rFonts w:ascii="Times New Roman" w:hAnsi="Times New Roman"/>
          <w:sz w:val="20"/>
        </w:rPr>
      </w:pPr>
      <w:r>
        <w:rPr>
          <w:rFonts w:ascii="Times New Roman;serif" w:hAnsi="Times New Roman;serif"/>
          <w:b w:val="false"/>
          <w:i/>
          <w:sz w:val="20"/>
        </w:rPr>
        <w:t>Operating Expenses.</w:t>
      </w:r>
      <w:r>
        <w:rPr>
          <w:rFonts w:ascii="Times New Roman" w:hAnsi="Times New Roman"/>
          <w:sz w:val="20"/>
        </w:rPr>
        <w:t xml:space="preserve"> </w:t>
      </w:r>
      <w:r>
        <w:rPr>
          <w:rFonts w:ascii="Times New Roman;serif" w:hAnsi="Times New Roman;serif"/>
          <w:b w:val="false"/>
          <w:sz w:val="20"/>
        </w:rPr>
        <w:t>Operating expenses increased by $21.2 million, or 20.0%, from $106.3 million for the six months ended June 30, 2022 to $127.5 million for the six months ended June 30, 2023. The increase in 2023 was primarily attributable to increases of $12.8 million in wages expense, $3.0 million for subcontractor costs and $2.5 million of recurring service costs compared to the prior period. Operating expenses as a percentage of total revenue increased from 29.7% to 32.2% for the six months ended June 30, 2022 and 2023, respectively. The following table presents operating expenses by segment: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063"/>
        <w:gridCol w:w="146"/>
        <w:gridCol w:w="211"/>
        <w:gridCol w:w="781"/>
        <w:gridCol w:w="146"/>
        <w:gridCol w:w="146"/>
        <w:gridCol w:w="211"/>
        <w:gridCol w:w="781"/>
        <w:gridCol w:w="146"/>
        <w:gridCol w:w="146"/>
        <w:gridCol w:w="151"/>
        <w:gridCol w:w="483"/>
        <w:gridCol w:w="281"/>
        <w:gridCol w:w="151"/>
        <w:gridCol w:w="151"/>
        <w:gridCol w:w="483"/>
        <w:gridCol w:w="271"/>
        <w:gridCol w:w="146"/>
        <w:gridCol w:w="211"/>
        <w:gridCol w:w="676"/>
        <w:gridCol w:w="146"/>
        <w:gridCol w:w="146"/>
        <w:gridCol w:w="146"/>
        <w:gridCol w:w="466"/>
        <w:gridCol w:w="520"/>
      </w:tblGrid>
      <w:tr>
        <w:trPr/>
        <w:tc>
          <w:tcPr>
            <w:tcW w:w="3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0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7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3"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6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4" w:type="dxa"/>
            <w:gridSpan w:val="2"/>
            <w:tcBorders/>
            <w:vAlign w:val="center"/>
          </w:tcPr>
          <w:p>
            <w:pPr>
              <w:pStyle w:val="TableContents"/>
              <w:bidi w:val="0"/>
              <w:spacing w:before="0" w:after="0"/>
              <w:ind w:left="0" w:right="0" w:hanging="0"/>
              <w:jc w:val="right"/>
              <w:rPr/>
            </w:pPr>
            <w:r>
              <w:rPr/>
              <w:t> </w:t>
            </w:r>
          </w:p>
        </w:tc>
        <w:tc>
          <w:tcPr>
            <w:tcW w:w="28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634"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520" w:type="dxa"/>
            <w:tcBorders/>
            <w:vAlign w:val="center"/>
          </w:tcPr>
          <w:p>
            <w:pPr>
              <w:pStyle w:val="TableContents"/>
              <w:bidi w:val="0"/>
              <w:spacing w:before="0" w:after="0"/>
              <w:ind w:left="0" w:right="0" w:firstLine="200"/>
              <w:jc w:val="right"/>
              <w:rPr/>
            </w:pPr>
            <w:r>
              <w:rPr/>
              <w:t> </w:t>
            </w:r>
          </w:p>
        </w:tc>
      </w:tr>
      <w:tr>
        <w:trPr/>
        <w:tc>
          <w:tcPr>
            <w:tcW w:w="306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6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6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Parking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 before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i/>
          <w:sz w:val="20"/>
        </w:rPr>
        <w:t>Selling, General and Administrative Expenses.</w:t>
      </w:r>
      <w:r>
        <w:rPr>
          <w:rFonts w:ascii="Times New Roman" w:hAnsi="Times New Roman"/>
          <w:sz w:val="20"/>
        </w:rPr>
        <w:t xml:space="preserve"> </w:t>
      </w:r>
      <w:r>
        <w:rPr>
          <w:rFonts w:ascii="Times New Roman;serif" w:hAnsi="Times New Roman;serif"/>
          <w:b w:val="false"/>
          <w:sz w:val="20"/>
        </w:rPr>
        <w:t>Selling, general and administrative expenses increased to $83.2 million for the six months ended June 30, 2023 compared to $81.8 million for the same period in 2022. This is primarily due to an aggregate $2.3 million increase in professional services, information technology and marketing expenses, which are partially offset by a decrease in credit loss expense due to improved economic conditions based on customer payment trends in the last 12 months. Selling, general and administrative expenses as a percentage of total revenue decreased from 22.9% to 21.0% for the six months ended June 30, 2022 and 2023, respectively.</w:t>
      </w:r>
      <w:r>
        <w:rPr>
          <w:rFonts w:ascii="Times New Roman" w:hAnsi="Times New Roman"/>
          <w:sz w:val="20"/>
        </w:rPr>
        <w:t xml:space="preserve"> </w:t>
      </w:r>
      <w:r>
        <w:rPr>
          <w:rFonts w:ascii="Times New Roman;serif" w:hAnsi="Times New Roman;serif"/>
          <w:b w:val="false"/>
          <w:sz w:val="20"/>
        </w:rPr>
        <w:t>The following table presents selling, general and administrative expenses by segment:</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238"/>
        <w:gridCol w:w="146"/>
        <w:gridCol w:w="211"/>
        <w:gridCol w:w="676"/>
        <w:gridCol w:w="146"/>
        <w:gridCol w:w="146"/>
        <w:gridCol w:w="211"/>
        <w:gridCol w:w="676"/>
        <w:gridCol w:w="146"/>
        <w:gridCol w:w="146"/>
        <w:gridCol w:w="149"/>
        <w:gridCol w:w="478"/>
        <w:gridCol w:w="278"/>
        <w:gridCol w:w="149"/>
        <w:gridCol w:w="149"/>
        <w:gridCol w:w="478"/>
        <w:gridCol w:w="271"/>
        <w:gridCol w:w="146"/>
        <w:gridCol w:w="211"/>
        <w:gridCol w:w="631"/>
        <w:gridCol w:w="166"/>
        <w:gridCol w:w="146"/>
        <w:gridCol w:w="146"/>
        <w:gridCol w:w="526"/>
        <w:gridCol w:w="539"/>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23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8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3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br/>
              <w:t> 2023 vs 2022</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278"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right"/>
              <w:rPr/>
            </w:pPr>
            <w:r>
              <w:rPr/>
              <w:t> </w:t>
            </w:r>
          </w:p>
        </w:tc>
        <w:tc>
          <w:tcPr>
            <w:tcW w:w="539" w:type="dxa"/>
            <w:tcBorders/>
            <w:vAlign w:val="center"/>
          </w:tcPr>
          <w:p>
            <w:pPr>
              <w:pStyle w:val="TableContents"/>
              <w:bidi w:val="0"/>
              <w:spacing w:before="0" w:after="0"/>
              <w:ind w:left="0" w:right="0" w:firstLine="200"/>
              <w:jc w:val="right"/>
              <w:rPr/>
            </w:pPr>
            <w:r>
              <w:rPr/>
              <w:t> </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Parking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 before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53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3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i/>
          <w:sz w:val="20"/>
        </w:rPr>
        <w:t>Depreciation, Amortization and (Gain) Loss on Disposal of Assets, Net.</w:t>
      </w:r>
      <w:r>
        <w:rPr>
          <w:rFonts w:ascii="Times New Roman" w:hAnsi="Times New Roman"/>
          <w:sz w:val="20"/>
        </w:rPr>
        <w:t xml:space="preserve"> </w:t>
      </w:r>
      <w:r>
        <w:rPr>
          <w:rFonts w:ascii="Times New Roman;serif" w:hAnsi="Times New Roman;serif"/>
          <w:b w:val="false"/>
          <w:sz w:val="20"/>
        </w:rPr>
        <w:t>Depreciation, amortization and (gain) loss on disposal of assets, net, decreased by $11.4 million to $59.4 million for the six months ended June 30, 2023 from $70.8 million for the same period in 2022. This was mainly due to certain non-compete and developed technology intangible assets being fully amortized in the six months ended June 30, 2023 as compared to the prior year.</w:t>
      </w:r>
    </w:p>
    <w:p>
      <w:pPr>
        <w:pStyle w:val="TextBody"/>
        <w:bidi w:val="0"/>
        <w:spacing w:before="240" w:after="0"/>
        <w:jc w:val="both"/>
        <w:rPr>
          <w:rFonts w:ascii="Times New Roman" w:hAnsi="Times New Roman"/>
          <w:sz w:val="20"/>
        </w:rPr>
      </w:pPr>
      <w:r>
        <w:rPr>
          <w:rFonts w:ascii="Times New Roman;serif" w:hAnsi="Times New Roman;serif"/>
          <w:b w:val="false"/>
          <w:i/>
          <w:sz w:val="20"/>
        </w:rPr>
        <w:t>Interest Expense, Net.</w:t>
      </w:r>
      <w:r>
        <w:rPr>
          <w:rFonts w:ascii="Times New Roman" w:hAnsi="Times New Roman"/>
          <w:sz w:val="20"/>
        </w:rPr>
        <w:t xml:space="preserve"> </w:t>
      </w:r>
      <w:r>
        <w:rPr>
          <w:rFonts w:ascii="Times New Roman;serif" w:hAnsi="Times New Roman;serif"/>
          <w:b w:val="false"/>
          <w:sz w:val="20"/>
        </w:rPr>
        <w:t>Interest expense, net increased by $16.7 million from $28.8 million for the six months ended June 30, 2022 to $45.5 million for the same period in 2023 which is primarily attributable to rising interest rates. The average variable interest rate on the 2021 Term Loan was 450 basis points higher for the six months ended June 30, 2023 compared to the prior period. See “</w:t>
      </w:r>
      <w:r>
        <w:rPr>
          <w:rFonts w:ascii="Times New Roman;serif" w:hAnsi="Times New Roman;serif"/>
          <w:b w:val="false"/>
          <w:i/>
          <w:sz w:val="20"/>
        </w:rPr>
        <w:t>Liquidity and Capital Resources</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i/>
          <w:sz w:val="20"/>
        </w:rPr>
        <w:t>Change in Fair Value of Private Placement Warrants</w:t>
      </w:r>
      <w:r>
        <w:rPr>
          <w:rFonts w:ascii="Times New Roman;serif" w:hAnsi="Times New Roman;serif"/>
          <w:b w:val="false"/>
          <w:sz w:val="20"/>
        </w:rPr>
        <w:t>. We recorded a loss of $25.5 million and a gain of $2.9 million for the six months ended June 30, 2023 and 2022, respectively, related to the changes in fair value of our Private Placement Warrants, which are accounted for as liabilities on our condensed consolidated balance sheets. The change in fair value is the result of re-measurement of the liability at the end of each reporting period, or a final re-measurement upon their exercise.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Tax Receivable Agreement Liability Adjustment</w:t>
      </w:r>
      <w:r>
        <w:rPr>
          <w:rFonts w:ascii="Times New Roman;serif" w:hAnsi="Times New Roman;serif"/>
          <w:b w:val="false"/>
          <w:sz w:val="20"/>
        </w:rPr>
        <w:t>. We recorded a $1.0 million benefit for the six months ended June 30, 2022 which is arising from lower estimated state tax rates due to changes in apportionment.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i/>
          <w:sz w:val="20"/>
        </w:rPr>
        <w:t xml:space="preserve">Gain on Interest Rate Swap. </w:t>
      </w:r>
      <w:r>
        <w:rPr>
          <w:rFonts w:ascii="Times New Roman;serif" w:hAnsi="Times New Roman;serif"/>
          <w:b w:val="false"/>
          <w:sz w:val="20"/>
        </w:rPr>
        <w:t>We recorded a $2.0 million gain during the six months ended June 30, 2023, of which approximately $3.6 million is associated with the derivative instrument re-measured to fair value at the end of the reporting period and $1.6 million related to the monthly cash payments on the interest rate swap.</w:t>
      </w:r>
    </w:p>
    <w:p>
      <w:pPr>
        <w:pStyle w:val="TextBody"/>
        <w:bidi w:val="0"/>
        <w:spacing w:before="240" w:after="0"/>
        <w:jc w:val="both"/>
        <w:rPr>
          <w:rFonts w:ascii="Times New Roman" w:hAnsi="Times New Roman"/>
          <w:sz w:val="20"/>
        </w:rPr>
      </w:pPr>
      <w:r>
        <w:rPr>
          <w:rFonts w:ascii="Times New Roman;serif" w:hAnsi="Times New Roman;serif"/>
          <w:b w:val="false"/>
          <w:i/>
          <w:sz w:val="20"/>
        </w:rPr>
        <w:t>Loss on extinguishment of debt</w:t>
      </w:r>
      <w:r>
        <w:rPr>
          <w:rFonts w:ascii="Times New Roman;serif" w:hAnsi="Times New Roman;serif"/>
          <w:b w:val="false"/>
          <w:sz w:val="20"/>
        </w:rPr>
        <w:t>. We recorded a $1.6 million loss on extinguishment of debt during the six months ended June 30, 2023 related to the write-off of pre-existing deferred financing costs and discounts in connection with the early repayment of $72.5 million on the 2021 Term Loan.</w:t>
      </w:r>
    </w:p>
    <w:p>
      <w:pPr>
        <w:pStyle w:val="TextBody"/>
        <w:bidi w:val="0"/>
        <w:spacing w:before="240" w:after="0"/>
        <w:jc w:val="both"/>
        <w:rPr>
          <w:rFonts w:ascii="Times New Roman" w:hAnsi="Times New Roman"/>
          <w:sz w:val="20"/>
        </w:rPr>
      </w:pPr>
      <w:r>
        <w:rPr>
          <w:rFonts w:ascii="Times New Roman;serif" w:hAnsi="Times New Roman;serif"/>
          <w:b w:val="false"/>
          <w:i/>
          <w:sz w:val="20"/>
        </w:rPr>
        <w:t>Other Income, Net.</w:t>
      </w:r>
      <w:r>
        <w:rPr>
          <w:rFonts w:ascii="Times New Roman" w:hAnsi="Times New Roman"/>
          <w:sz w:val="20"/>
        </w:rPr>
        <w:t xml:space="preserve"> </w:t>
      </w:r>
      <w:r>
        <w:rPr>
          <w:rFonts w:ascii="Times New Roman;serif" w:hAnsi="Times New Roman;serif"/>
          <w:b w:val="false"/>
          <w:sz w:val="20"/>
        </w:rPr>
        <w:t>Other income, net was $8.3 million for the six months ended June 30, 2023 compared to $6.9 million for the six months ended June 30, 2022. The increase of $1.4 million is primarily attributable to volume rebates earned from total spend on purchasing cards from increased tolling and travel activity.</w:t>
      </w:r>
    </w:p>
    <w:p>
      <w:pPr>
        <w:pStyle w:val="TextBody"/>
        <w:bidi w:val="0"/>
        <w:spacing w:before="240" w:after="0"/>
        <w:jc w:val="both"/>
        <w:rPr>
          <w:rFonts w:ascii="Times New Roman" w:hAnsi="Times New Roman"/>
          <w:sz w:val="20"/>
        </w:rPr>
      </w:pPr>
      <w:r>
        <w:rPr>
          <w:rFonts w:ascii="Times New Roman;serif" w:hAnsi="Times New Roman;serif"/>
          <w:b w:val="false"/>
          <w:i/>
          <w:sz w:val="20"/>
        </w:rPr>
        <w:t>Income Tax Provision.</w:t>
      </w:r>
      <w:r>
        <w:rPr>
          <w:rFonts w:ascii="Times New Roman" w:hAnsi="Times New Roman"/>
          <w:sz w:val="20"/>
        </w:rPr>
        <w:t xml:space="preserve"> </w:t>
      </w:r>
      <w:r>
        <w:rPr>
          <w:rFonts w:ascii="Times New Roman;serif" w:hAnsi="Times New Roman;serif"/>
          <w:b w:val="false"/>
          <w:sz w:val="20"/>
        </w:rPr>
        <w:t>Income tax provision was $20.4 million representing an effective tax rate of 46.2% for the six months ended June 30, 2023 compared to a tax provision of $19.5 million, representing an effective tax rate of 32.9% for the same period in 2022. The primary driver for the effective tax rate variance is due to the permanent differences related to the mark-to-market adjustment on the Private Placement Warrants.</w:t>
      </w:r>
    </w:p>
    <w:p>
      <w:pPr>
        <w:pStyle w:val="TextBody"/>
        <w:bidi w:val="0"/>
        <w:spacing w:before="240" w:after="0"/>
        <w:jc w:val="both"/>
        <w:rPr>
          <w:rFonts w:ascii="Times New Roman" w:hAnsi="Times New Roman"/>
          <w:sz w:val="20"/>
        </w:rPr>
      </w:pPr>
      <w:r>
        <w:rPr>
          <w:rFonts w:ascii="Times New Roman;serif" w:hAnsi="Times New Roman;serif"/>
          <w:b w:val="false"/>
          <w:i/>
          <w:sz w:val="20"/>
        </w:rPr>
        <w:t>Net Income.</w:t>
      </w:r>
      <w:r>
        <w:rPr>
          <w:rFonts w:ascii="Times New Roman" w:hAnsi="Times New Roman"/>
          <w:sz w:val="20"/>
        </w:rPr>
        <w:t xml:space="preserve"> </w:t>
      </w:r>
      <w:r>
        <w:rPr>
          <w:rFonts w:ascii="Times New Roman;serif" w:hAnsi="Times New Roman;serif"/>
          <w:b w:val="false"/>
          <w:sz w:val="20"/>
        </w:rPr>
        <w:t>We had net income of $23.7 million for the six months ended June 30, 2023, as compared to a net income of $39.7 million for the six months ended June 30, 2022. The $16.0 million decrease in net income was primarily due to the change in fair value of Private Placement Warrants, increased interest expense, and the other statement of operations activity discussed above.</w:t>
      </w:r>
    </w:p>
    <w:p>
      <w:pPr>
        <w:pStyle w:val="TextBody"/>
        <w:bidi w:val="0"/>
        <w:spacing w:before="360" w:after="0"/>
        <w:jc w:val="both"/>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principal sources of liquidity are cash flows from operations and the available borrowing under our Revolver (defined below).</w:t>
      </w:r>
    </w:p>
    <w:p>
      <w:pPr>
        <w:pStyle w:val="TextBody"/>
        <w:bidi w:val="0"/>
        <w:spacing w:before="240" w:after="0"/>
        <w:jc w:val="both"/>
        <w:rPr>
          <w:rFonts w:ascii="Times New Roman" w:hAnsi="Times New Roman"/>
          <w:sz w:val="20"/>
        </w:rPr>
      </w:pPr>
      <w:r>
        <w:rPr>
          <w:rFonts w:ascii="Times New Roman;serif" w:hAnsi="Times New Roman;serif"/>
          <w:b w:val="false"/>
          <w:sz w:val="20"/>
        </w:rPr>
        <w:t>We have incurred significant long-term debt as a result of acquisitions completed in prior years.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believe that our existing cash and cash equivalents, cash flows provided by operating activities and our 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 on our Revolver, or equity financings, all of which may not be available to us on favorable terms or at all.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have the ability to borrow under our Revolver to meet obligations as they come due. As of June 30, 2023, we had $74.8 million available for borrowing, net of letters of credit, under our Revolver.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made early repayments totaling $10.0 million and $72.5 million on our 2021 Term Loan during the three and six months ended June 30, 2023.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During the six months ended June 30, 2023, we processed the exercise of 17.0 million Warrants in exchange for the issuance of 14,840,070 shares of Class A Common Stock. There were 13,782,411 shares issued in exchange for cash-basis warrant exercises resulting in the receipt of $105.8 million in cash proceeds as of June 30, 2023 and $52.7 million of cash proceeds received in July 2023. The remaining Warrant exercises were completed on a cashless basis.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Concentration of Credit Risk</w:t>
      </w:r>
    </w:p>
    <w:p>
      <w:pPr>
        <w:pStyle w:val="TextBody"/>
        <w:bidi w:val="0"/>
        <w:spacing w:before="120" w:after="0"/>
        <w:jc w:val="both"/>
        <w:rPr>
          <w:rFonts w:ascii="Times New Roman" w:hAnsi="Times New Roman"/>
          <w:sz w:val="20"/>
        </w:rPr>
      </w:pPr>
      <w:r>
        <w:rPr>
          <w:rFonts w:ascii="Times New Roman;serif" w:hAnsi="Times New Roman;serif"/>
          <w:b w:val="false"/>
          <w:sz w:val="20"/>
        </w:rPr>
        <w:t>The City of New York Department of Transportation (“</w:t>
      </w:r>
      <w:r>
        <w:rPr>
          <w:rFonts w:ascii="Times New Roman;serif" w:hAnsi="Times New Roman;serif"/>
          <w:b/>
          <w:i/>
          <w:sz w:val="20"/>
        </w:rPr>
        <w:t>NYCDOT</w:t>
      </w:r>
      <w:r>
        <w:rPr>
          <w:rFonts w:ascii="Times New Roman" w:hAnsi="Times New Roman"/>
          <w:sz w:val="20"/>
        </w:rPr>
        <w:t>”</w:t>
      </w:r>
      <w:r>
        <w:rPr>
          <w:rFonts w:ascii="Times New Roman;serif" w:hAnsi="Times New Roman;serif"/>
          <w:b w:val="false"/>
          <w:sz w:val="20"/>
        </w:rPr>
        <w:t>) represented 17% and 22% of total accounts receivable, net as of June 30, 2023 and December 31, 2022, respectively. There is no material reserve related to NYCDOT open receivables as amounts are deemed collectible based on current conditions and expectations.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 sets forth certain captions indicated on our statements of cash flows for the respective periods:</w:t>
      </w:r>
    </w:p>
    <w:p>
      <w:pPr>
        <w:pStyle w:val="TextBody"/>
        <w:bidi w:val="0"/>
        <w:spacing w:before="0" w:after="0"/>
        <w:jc w:val="both"/>
        <w:rPr/>
      </w:pPr>
      <w:r>
        <w:rPr/>
        <w:t> </w:t>
      </w:r>
    </w:p>
    <w:tbl>
      <w:tblPr>
        <w:tblW w:w="6824" w:type="dxa"/>
        <w:jc w:val="left"/>
        <w:tblInd w:w="0" w:type="dxa"/>
        <w:tblLayout w:type="fixed"/>
        <w:tblCellMar>
          <w:top w:w="28" w:type="dxa"/>
          <w:left w:w="28" w:type="dxa"/>
          <w:bottom w:w="28" w:type="dxa"/>
          <w:right w:w="28" w:type="dxa"/>
        </w:tblCellMar>
      </w:tblPr>
      <w:tblGrid>
        <w:gridCol w:w="4216"/>
        <w:gridCol w:w="146"/>
        <w:gridCol w:w="211"/>
        <w:gridCol w:w="78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 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96,375</w:t>
            </w:r>
          </w:p>
        </w:tc>
        <w:tc>
          <w:tcPr>
            <w:tcW w:w="21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160" w:after="0"/>
        <w:jc w:val="both"/>
        <w:rPr>
          <w:rFonts w:ascii="Times New Roman;serif" w:hAnsi="Times New Roman;serif"/>
          <w:b/>
          <w:i/>
          <w:sz w:val="20"/>
        </w:rPr>
      </w:pPr>
      <w:r>
        <w:rPr>
          <w:rFonts w:ascii="Times New Roman;serif" w:hAnsi="Times New Roman;serif"/>
          <w:b/>
          <w:i/>
          <w:sz w:val="20"/>
        </w:rPr>
        <w:t>Cash Flows from Operating Activities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Cash provided by operating activities increased by $11.6 million from $96.4 million for the six months ended June 30, 2022 to $107.9 million for the six months ended June 30, 2023. Net income year over year decreased by approximately $16.0 million, from $39.7 million in 2022 to $23.7 million in 2023. The aggregate adjustments to reconcile net income to net cash provided by operating activities increased $23.4 million mainly due to the change in fair value of private placement warrants and the change in deferred income taxes, partially offset by decreased amortization expense year over year. The aggregate changes in operating assets and liabilities increased by $4.2 million in 2023 compared to prior year primarily due to the timing of accrued and other payables and fluctuation in inventory levels offset by an increase in prepaid and other current expenses.</w:t>
      </w:r>
    </w:p>
    <w:p>
      <w:pPr>
        <w:pStyle w:val="TextBody"/>
        <w:bidi w:val="0"/>
        <w:spacing w:before="360" w:after="0"/>
        <w:jc w:val="both"/>
        <w:rPr>
          <w:rFonts w:ascii="Times New Roman;serif" w:hAnsi="Times New Roman;serif"/>
          <w:b/>
          <w:i/>
          <w:sz w:val="20"/>
        </w:rPr>
      </w:pPr>
      <w:r>
        <w:rPr>
          <w:rFonts w:ascii="Times New Roman;serif" w:hAnsi="Times New Roman;serif"/>
          <w:b/>
          <w:i/>
          <w:sz w:val="20"/>
        </w:rPr>
        <w:t>Cash Flows from Investing Activities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Cash used in investing activities was $31.5 million and $23.3 million for the six months ended June 30, 2023 and 2022, respectively. There was an increase in cash used in 2023 related to the purchases of installation and service parts and property and equipment compared to the prior year, and due to the monthly cash payments on the interest rate swap entered into in December 2022 to hedge our exposure to rising interest rates.</w:t>
      </w:r>
    </w:p>
    <w:p>
      <w:pPr>
        <w:pStyle w:val="TextBody"/>
        <w:bidi w:val="0"/>
        <w:spacing w:before="360" w:after="0"/>
        <w:jc w:val="both"/>
        <w:rPr>
          <w:rFonts w:ascii="Times New Roman;serif" w:hAnsi="Times New Roman;serif"/>
          <w:b/>
          <w:i/>
          <w:sz w:val="20"/>
        </w:rPr>
      </w:pPr>
      <w:r>
        <w:rPr>
          <w:rFonts w:ascii="Times New Roman;serif" w:hAnsi="Times New Roman;serif"/>
          <w:b/>
          <w:i/>
          <w:sz w:val="20"/>
        </w:rPr>
        <w:t>Cash Flows from Financing Activities</w:t>
      </w:r>
    </w:p>
    <w:p>
      <w:pPr>
        <w:pStyle w:val="TextBody"/>
        <w:bidi w:val="0"/>
        <w:spacing w:before="120" w:after="0"/>
        <w:jc w:val="both"/>
        <w:rPr>
          <w:rFonts w:ascii="Times New Roman" w:hAnsi="Times New Roman"/>
          <w:sz w:val="20"/>
        </w:rPr>
      </w:pPr>
      <w:r>
        <w:rPr>
          <w:rFonts w:ascii="Times New Roman;serif" w:hAnsi="Times New Roman;serif"/>
          <w:b w:val="false"/>
          <w:sz w:val="20"/>
        </w:rPr>
        <w:t>Cash provided by (used in) financing activities was $27.9 million and $(86.5) million for the six months ended June 30, 2023 and 2022, respectively. The cash provided by financing activities in 2023 was mainly due to the $105.8 million proceeds from the exercise of warrants issued in connection with the IPO, partially offset by early repayments totaling $72.5 million on our 2021 Term Loan. The cash used in 2022 was mainly due to the repurchases of 3.1 million shares of the Company's Class A Common Stock for $55.3 million and the repayment of $25.0 million of borrowing on the Revolver in January 2022 and the quarterly principal payment on the 2021 Term Loan.</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Long-term Debt</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 xml:space="preserve">2021 Term Loan </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2021, VM Consolidated, Inc. (“</w:t>
      </w:r>
      <w:r>
        <w:rPr>
          <w:rFonts w:ascii="Times New Roman;serif" w:hAnsi="Times New Roman;serif"/>
          <w:b/>
          <w:i/>
          <w:sz w:val="20"/>
        </w:rPr>
        <w:t>VM Consolidated</w:t>
      </w:r>
      <w:r>
        <w:rPr>
          <w:rFonts w:ascii="Times New Roman" w:hAnsi="Times New Roman"/>
          <w:sz w:val="20"/>
        </w:rPr>
        <w:t>”</w:t>
      </w:r>
      <w:r>
        <w:rPr>
          <w:rFonts w:ascii="Times New Roman;serif" w:hAnsi="Times New Roman;serif"/>
          <w:b w:val="false"/>
          <w:sz w:val="20"/>
        </w:rPr>
        <w:t>), the Company’s wholly owned subsidiary, entered into an Amendment and Restatement Agreement No.1 to the First Lien Term Loan Credit Agreement (the “</w:t>
      </w:r>
      <w:r>
        <w:rPr>
          <w:rFonts w:ascii="Times New Roman;serif" w:hAnsi="Times New Roman;serif"/>
          <w:b/>
          <w:i/>
          <w:sz w:val="20"/>
        </w:rPr>
        <w:t>2021</w:t>
      </w:r>
      <w:r>
        <w:rPr>
          <w:rFonts w:ascii="Times New Roman" w:hAnsi="Times New Roman"/>
          <w:sz w:val="20"/>
        </w:rPr>
        <w:t xml:space="preserve"> </w:t>
      </w:r>
      <w:r>
        <w:rPr>
          <w:rFonts w:ascii="Times New Roman;serif" w:hAnsi="Times New Roman;serif"/>
          <w:b/>
          <w:i/>
          <w:sz w:val="20"/>
        </w:rPr>
        <w:t>Term Loan</w:t>
      </w:r>
      <w:r>
        <w:rPr>
          <w:rFonts w:ascii="Times New Roman" w:hAnsi="Times New Roman"/>
          <w:sz w:val="20"/>
        </w:rPr>
        <w:t>”</w:t>
      </w:r>
      <w:r>
        <w:rPr>
          <w:rFonts w:ascii="Times New Roman;serif" w:hAnsi="Times New Roman;serif"/>
          <w:b w:val="false"/>
          <w:sz w:val="20"/>
        </w:rPr>
        <w:t>) with a syndicate of lenders. The 2021 Term Loan has an aggregate borrowing of $900.0 million, maturing on March 26, 2028, which includes the incremental borrowing of $250.0 million in December 2021 as a result of exercising the accordion feature available under the agreement. In connection with the 2021 Term Loan borrowings, the Company had $4.6 million of offering discount costs and $4.5 million in deferred financing costs, both of which were capitalized and are being amortized over the remaining life of the 2021 Term Loan.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During the six months ended June 30, 2023, the Company made early repayments of $72.5 million on the 2021 Term Loan and as a result, the total principal outstanding was $809.1 million as of June 30, 2023. The Company recognized a loss on extinguishment of debt of $0.2 million and $1.6 million for the three and six months ended June 30, 2023, respectively, related to the write-off of pre-existing deferred financing costs and discounts.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In March 2023, the Company amended its 2021 Term Loan agreement to transition 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As of June 30, 2023, the new all-in interest rate on the 2021 Term Loan was 8.5%.</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spacing w:before="0" w:after="0"/>
        <w:jc w:val="both"/>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 First Lien Net Leverage Ratio (As Defined by the 2021 Term Loan Agreement)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Applicable</w:t>
              <w:br/>
              <w:t>Prepayment</w:t>
              <w:br/>
              <w:t>Percentage</w:t>
            </w:r>
          </w:p>
        </w:tc>
      </w:tr>
      <w:tr>
        <w:trPr/>
        <w:tc>
          <w:tcPr>
            <w:tcW w:w="6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&gt; 3.70:1.00</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682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u w:val="single"/>
              </w:rPr>
              <w:t>&lt;</w:t>
            </w:r>
            <w:r>
              <w:rPr>
                <w:rFonts w:ascii="Times New Roman" w:hAnsi="Times New Roman"/>
                <w:sz w:val="20"/>
              </w:rPr>
              <w:t> </w:t>
            </w:r>
            <w:r>
              <w:rPr>
                <w:rFonts w:ascii="Times New Roman;serif" w:hAnsi="Times New Roman;serif"/>
                <w:b w:val="false"/>
                <w:sz w:val="20"/>
              </w:rPr>
              <w:t>3.70:1.00 and &gt; 3.20:1.00</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tc>
      </w:tr>
      <w:tr>
        <w:trPr/>
        <w:tc>
          <w:tcPr>
            <w:tcW w:w="682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u w:val="single"/>
              </w:rPr>
              <w:t>&lt;</w:t>
            </w:r>
            <w:r>
              <w:rPr>
                <w:rFonts w:ascii="Times New Roman" w:hAnsi="Times New Roman"/>
                <w:sz w:val="20"/>
              </w:rPr>
              <w:t> </w:t>
            </w:r>
            <w:r>
              <w:rPr>
                <w:rFonts w:ascii="Times New Roman;serif" w:hAnsi="Times New Roman;serif"/>
                <w:b w:val="false"/>
                <w:sz w:val="20"/>
              </w:rPr>
              <w:t>3.20:1.00</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Senior Notes</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2021, VM Consolidated issued an aggregate principal amount of $350.0 million in Senior Unsecured Notes (the “</w:t>
      </w:r>
      <w:r>
        <w:rPr>
          <w:rFonts w:ascii="Times New Roman;serif" w:hAnsi="Times New Roman;serif"/>
          <w:b/>
          <w:i/>
          <w:sz w:val="20"/>
        </w:rPr>
        <w:t>Senior Notes</w:t>
      </w:r>
      <w:r>
        <w:rPr>
          <w:rFonts w:ascii="Times New Roman" w:hAnsi="Times New Roman"/>
          <w:sz w:val="20"/>
        </w:rPr>
        <w:t>”</w:t>
      </w:r>
      <w:r>
        <w:rPr>
          <w:rFonts w:ascii="Times New Roman;serif" w:hAnsi="Times New Roman;serif"/>
          <w:b w:val="false"/>
          <w:sz w:val="20"/>
        </w:rPr>
        <w:t>), due on April 15, 2029. In connection with the issuance of the Senior Notes, the Company incurred $5.7 million in lender and third-party costs, which were capitalized as deferred financing costs and are being amortized over the remaining life of the Senior Notes.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Interest on the Senior Notes is fixed at 5.50% per annum and is payable on April 15 and October 15 of each year. On or after April 15, 2024, the Company may redeem all or a portion of the Senior Notes at the redemption prices set forth below in percentages by year, plus accrued and unpaid interest:</w:t>
      </w:r>
    </w:p>
    <w:p>
      <w:pPr>
        <w:pStyle w:val="TextBody"/>
        <w:bidi w:val="0"/>
        <w:spacing w:before="0" w:after="0"/>
        <w:jc w:val="left"/>
        <w:rPr/>
      </w:pPr>
      <w:r>
        <w:rPr/>
        <w:t> </w:t>
      </w:r>
    </w:p>
    <w:tbl>
      <w:tblPr>
        <w:tblW w:w="2833" w:type="dxa"/>
        <w:jc w:val="left"/>
        <w:tblInd w:w="0" w:type="dxa"/>
        <w:tblLayout w:type="fixed"/>
        <w:tblCellMar>
          <w:top w:w="28" w:type="dxa"/>
          <w:left w:w="28" w:type="dxa"/>
          <w:bottom w:w="28" w:type="dxa"/>
          <w:right w:w="28" w:type="dxa"/>
        </w:tblCellMar>
      </w:tblPr>
      <w:tblGrid>
        <w:gridCol w:w="1696"/>
        <w:gridCol w:w="146"/>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r>
      <w:tr>
        <w:trPr/>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102.750%</w:t>
            </w:r>
          </w:p>
        </w:tc>
      </w:tr>
      <w:tr>
        <w:trPr/>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101.375%</w:t>
            </w:r>
          </w:p>
        </w:tc>
      </w:tr>
      <w:tr>
        <w:trPr/>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2026 and thereafter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100.000%</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the Company may redeem up to 40% of the Senior Notes before April 15, 2024, with the net cash proceeds from certain equity offerings.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The Revolver</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has a Revolving Credit Agreement (the “</w:t>
      </w:r>
      <w:r>
        <w:rPr>
          <w:rFonts w:ascii="Times New Roman;serif" w:hAnsi="Times New Roman;serif"/>
          <w:b/>
          <w:i/>
          <w:sz w:val="20"/>
        </w:rPr>
        <w:t>Revolver</w:t>
      </w:r>
      <w:r>
        <w:rPr>
          <w:rFonts w:ascii="Times New Roman" w:hAnsi="Times New Roman"/>
          <w:sz w:val="20"/>
        </w:rPr>
        <w:t>”</w:t>
      </w:r>
      <w:r>
        <w:rPr>
          <w:rFonts w:ascii="Times New Roman;serif" w:hAnsi="Times New Roman;serif"/>
          <w:b w:val="false"/>
          <w:sz w:val="20"/>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June 30, 2023 or December 31, 2022. The availability to borrow was $74.8 million, net of $0.2 million of outstanding letters of credit at June 30, 2023.</w:t>
      </w:r>
    </w:p>
    <w:p>
      <w:pPr>
        <w:pStyle w:val="TextBody"/>
        <w:bidi w:val="0"/>
        <w:spacing w:before="240" w:after="0"/>
        <w:jc w:val="both"/>
        <w:rPr>
          <w:rFonts w:ascii="Times New Roman" w:hAnsi="Times New Roman"/>
          <w:sz w:val="20"/>
        </w:rPr>
      </w:pPr>
      <w:r>
        <w:rPr>
          <w:rFonts w:ascii="Times New Roman;serif" w:hAnsi="Times New Roman;serif"/>
          <w:b w:val="false"/>
          <w:sz w:val="20"/>
        </w:rPr>
        <w:t>Interest on the unused portion of the Revolver is payable quarterly at 0.375% and the Company is also required to pay participation and fronting fees at 1.38% on $0.2 million of outstanding letters of credit as of June 30, 2023.</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June 30, 2023, the Company was compliant with all debt covenants.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Interest Expense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recorded interest expense, including amortization of deferred financing costs and discounts, of $22.8 million and $14.5 million for the three months ended June 30, 2023 and 2022, respectively, and $45.5 million and $28.8 million for the six months ended June 30, 2023 and 2022, respectively.</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See Note 2, </w:t>
      </w:r>
      <w:r>
        <w:rPr>
          <w:rFonts w:ascii="Times New Roman;serif" w:hAnsi="Times New Roman;serif"/>
          <w:b w:val="false"/>
          <w:i/>
          <w:sz w:val="20"/>
        </w:rPr>
        <w:t>Significant Accounting Policies</w:t>
      </w:r>
      <w:r>
        <w:rPr>
          <w:rFonts w:ascii="Times New Roman;serif" w:hAnsi="Times New Roman;serif"/>
          <w:b w:val="false"/>
          <w:sz w:val="20"/>
        </w:rPr>
        <w:t>, in Part I, Item 1, Financial Statements, for additional information on the interest rate swap entered into in December 2022 to hedge the Company's exposure against rising interest rates.</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Off-Balance Sheet Arrangements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do not have any material off-balance sheet financing arrangements as of June 30, 2023.</w:t>
      </w:r>
    </w:p>
    <w:p>
      <w:pPr>
        <w:pStyle w:val="TextBody"/>
        <w:bidi w:val="0"/>
        <w:spacing w:before="360" w:after="0"/>
        <w:jc w:val="both"/>
        <w:rPr>
          <w:rFonts w:ascii="Times New Roman;serif" w:hAnsi="Times New Roman;serif"/>
          <w:b/>
          <w:sz w:val="20"/>
        </w:rPr>
      </w:pPr>
      <w:r>
        <w:rPr>
          <w:rFonts w:ascii="Times New Roman;serif" w:hAnsi="Times New Roman;serif"/>
          <w:b/>
          <w:sz w:val="20"/>
        </w:rPr>
        <w:t>Critical Accounting Policies, Estimates and Judgments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Refer to our 2022 Annual Report on Form 10-K for our critical accounting policies, estimates and judgments. We believe that our estimates and assumptions are reasonable in the circumstances; however, actual results could differ materially from those estimates.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For a discussion of our significant accounting policies, refer to Note 2, </w:t>
      </w:r>
      <w:r>
        <w:rPr>
          <w:rFonts w:ascii="Times New Roman;serif" w:hAnsi="Times New Roman;serif"/>
          <w:b w:val="false"/>
          <w:i/>
          <w:sz w:val="20"/>
        </w:rPr>
        <w:t>Significant Accounting Policies</w:t>
      </w:r>
      <w:r>
        <w:rPr>
          <w:rFonts w:ascii="Times New Roman;serif" w:hAnsi="Times New Roman;serif"/>
          <w:b w:val="false"/>
          <w:sz w:val="20"/>
        </w:rPr>
        <w:t>, in Part I, Item 1, Financial Statements.</w:t>
      </w:r>
    </w:p>
    <w:p>
      <w:pPr>
        <w:pStyle w:val="TextBody"/>
        <w:bidi w:val="0"/>
        <w:spacing w:before="360" w:after="0"/>
        <w:jc w:val="both"/>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For a discussion of recent accounting pronouncements, refer to Note 2, </w:t>
      </w:r>
      <w:r>
        <w:rPr>
          <w:rFonts w:ascii="Times New Roman;serif" w:hAnsi="Times New Roman;serif"/>
          <w:b w:val="false"/>
          <w:i/>
          <w:sz w:val="20"/>
        </w:rPr>
        <w:t>Significant Accounting Policies</w:t>
      </w:r>
      <w:r>
        <w:rPr>
          <w:rFonts w:ascii="Times New Roman;serif" w:hAnsi="Times New Roman;serif"/>
          <w:b w:val="false"/>
          <w:sz w:val="20"/>
        </w:rPr>
        <w:t>, in Part I, Item 1, Financial Statements.</w:t>
      </w:r>
    </w:p>
    <w:p>
      <w:pPr>
        <w:pStyle w:val="TextBody"/>
        <w:bidi w:val="0"/>
        <w:spacing w:before="360" w:after="0"/>
        <w:jc w:val="both"/>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We are exposed to interest rate market risk due to the variable interest rate on the 2021 Term Loan described in Part I, Item 2. </w:t>
      </w:r>
      <w:r>
        <w:rPr>
          <w:rFonts w:ascii="Times New Roman;serif" w:hAnsi="Times New Roman;serif"/>
          <w:b w:val="false"/>
          <w:i/>
          <w:sz w:val="20"/>
        </w:rPr>
        <w:t>Management’s Discussion and Analysis of Financial Condition and Results of Operations—Liquidity and Capital Resources</w:t>
      </w:r>
      <w:r>
        <w:rPr>
          <w:rFonts w:ascii="Times New Roman;serif" w:hAnsi="Times New Roman;serif"/>
          <w:b w:val="false"/>
          <w:sz w:val="20"/>
        </w:rPr>
        <w:t>.</w:t>
      </w:r>
    </w:p>
    <w:p>
      <w:pPr>
        <w:pStyle w:val="TextBody"/>
        <w:bidi w:val="0"/>
        <w:spacing w:before="120" w:after="0"/>
        <w:jc w:val="both"/>
        <w:rPr>
          <w:rFonts w:ascii="Times New Roman" w:hAnsi="Times New Roman"/>
          <w:sz w:val="20"/>
        </w:rPr>
      </w:pPr>
      <w:r>
        <w:rPr>
          <w:rFonts w:ascii="Times New Roman;serif" w:hAnsi="Times New Roman;serif"/>
          <w:b w:val="false"/>
          <w:sz w:val="20"/>
        </w:rPr>
        <w:t>Interest rate risk represents our exposure to fluctuations in interest rates associated with the variable rate debt represented by the 2021 Term Loan, which has an outstanding balance of $809.1 million at June 30, 2023. The 2021 Term Loan bears interest based, at our option, on either (1) LIBOR plus an applicable margin of 3.25% per annum, or (2) an alternate base rate plus an applicable margin of 2.25% per annum. In March 2023, we amended our 2021 Term Loan agreement to transition 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At June 30, 2023, the new all-in interest rate on the 2021 Term Loan was 8.5%.</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Based on the June 30, 2023 balance outstanding, each 1% movement in interest rates will result in an approximately $8.1 million change in annual interest expense. Due to the limited history of the use of the new benchmark rate, we are unable to estimate the future impact to our borrowing costs as a result of the discontinuation of the LIBOR benchmark.</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December 2022, we entered into a cancellable interest rate swap agreement to hedge our exposure to interest rate fluctuations associated with the LIBOR (now transitioned to Term SOFR) portion of the variable interest rate on our 2021 Term Loan. Under the interest rate swap agreement, we pay a fixed rate of 5.17% and the counterparty pays a variable interest rate which is net settled. The notional amount on the interest rate swap is $675.0 million. We have the option to effectively terminate the interest rate swap agreement starting in December 2023, and monthly thereafter until December 2025, in the event interest rates decrease. We recorded a $4.8 million gain for the three months ended June 30, 2023 and a $2.0 million gain on the interest rate swap for the six months ended June 30, 2023. See Note 2, </w:t>
      </w:r>
      <w:r>
        <w:rPr>
          <w:rFonts w:ascii="Times New Roman;serif" w:hAnsi="Times New Roman;serif"/>
          <w:b w:val="false"/>
          <w:i/>
          <w:sz w:val="20"/>
        </w:rPr>
        <w:t>Significant Accounting Policies</w:t>
      </w:r>
      <w:r>
        <w:rPr>
          <w:rFonts w:ascii="Times New Roman;serif" w:hAnsi="Times New Roman;serif"/>
          <w:b w:val="false"/>
          <w:sz w:val="20"/>
        </w:rPr>
        <w:t>, in Part I, Item 1, Financial Statements for additional information on the interest rate swap.</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Based on the results of our assessment, our management concluded that our internal control over financial reporting was effective as of June 30, 2023.</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There have been no changes in our internal control over financial reporting (as defined in Rules 13a-15(f) or 15d-15(f) of the Exchange Act) that occurred during the quarter ended June 30, 2023 that have materially affected, or are reasonably likely to materially affect, the Company’s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caps/>
          <w:sz w:val="20"/>
        </w:rPr>
      </w:pPr>
      <w:bookmarkStart w:id="12" w:name="part_iior_information"/>
      <w:bookmarkEnd w:id="12"/>
      <w:r>
        <w:rPr>
          <w:rFonts w:ascii="Times New Roman;serif" w:hAnsi="Times New Roman;serif"/>
          <w:b/>
          <w:caps/>
          <w:sz w:val="20"/>
        </w:rPr>
        <w:t>Part II—Other Information</w:t>
      </w:r>
    </w:p>
    <w:p>
      <w:pPr>
        <w:pStyle w:val="TextBody"/>
        <w:bidi w:val="0"/>
        <w:spacing w:before="120" w:after="0"/>
        <w:jc w:val="both"/>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both"/>
        <w:rPr>
          <w:rFonts w:ascii="Times New Roman" w:hAnsi="Times New Roman"/>
          <w:sz w:val="20"/>
        </w:rPr>
      </w:pPr>
      <w:r>
        <w:rPr>
          <w:rFonts w:ascii="Times New Roman;serif" w:hAnsi="Times New Roman;serif"/>
          <w:b w:val="false"/>
          <w:sz w:val="20"/>
        </w:rPr>
        <w:t>On November 2, 2020, PlusPass, Inc. (“</w:t>
      </w:r>
      <w:r>
        <w:rPr>
          <w:rFonts w:ascii="Times New Roman;serif" w:hAnsi="Times New Roman;serif"/>
          <w:b/>
          <w:i/>
          <w:sz w:val="20"/>
        </w:rPr>
        <w:t>PlusPass</w:t>
      </w:r>
      <w:r>
        <w:rPr>
          <w:rFonts w:ascii="Times New Roman" w:hAnsi="Times New Roman"/>
          <w:sz w:val="20"/>
        </w:rPr>
        <w:t>”</w:t>
      </w:r>
      <w:r>
        <w:rPr>
          <w:rFonts w:ascii="Times New Roman;serif" w:hAnsi="Times New Roman;serif"/>
          <w:b w:val="false"/>
          <w:sz w:val="20"/>
        </w:rPr>
        <w:t>) commenced an action in the United States District Court, Central District of California, against Verra Mobility, The Gores Group LLC, Platinum Equity LLC, and ATS Processing Services, Inc., alleging civil violations of federal antitrust statutes: Section 7 of the Clayton Antitrust Act of 1914 (the “</w:t>
      </w:r>
      <w:r>
        <w:rPr>
          <w:rFonts w:ascii="Times New Roman;serif" w:hAnsi="Times New Roman;serif"/>
          <w:b/>
          <w:i/>
          <w:sz w:val="20"/>
        </w:rPr>
        <w:t>Clayton Act</w:t>
      </w:r>
      <w:r>
        <w:rPr>
          <w:rFonts w:ascii="Times New Roman" w:hAnsi="Times New Roman"/>
          <w:sz w:val="20"/>
        </w:rPr>
        <w:t>”</w:t>
      </w:r>
      <w:r>
        <w:rPr>
          <w:rFonts w:ascii="Times New Roman;serif" w:hAnsi="Times New Roman;serif"/>
          <w:b w:val="false"/>
          <w:sz w:val="20"/>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Times New Roman;serif" w:hAnsi="Times New Roman;serif"/>
          <w:b/>
          <w:i/>
          <w:sz w:val="20"/>
        </w:rPr>
        <w:t>SAC</w:t>
      </w:r>
      <w:r>
        <w:rPr>
          <w:rFonts w:ascii="Times New Roman" w:hAnsi="Times New Roman"/>
          <w:sz w:val="20"/>
        </w:rPr>
        <w:t>”</w:t>
      </w:r>
      <w:r>
        <w:rPr>
          <w:rFonts w:ascii="Times New Roman;serif" w:hAnsi="Times New Roman;serif"/>
          <w:b w:val="false"/>
          <w:sz w:val="20"/>
        </w:rPr>
        <w:t>), alleging that Verra Mobility violated Section 7 of the Clayton Act through the merger of Highway Toll Administration, LLC (“</w:t>
      </w:r>
      <w:r>
        <w:rPr>
          <w:rFonts w:ascii="Times New Roman;serif" w:hAnsi="Times New Roman;serif"/>
          <w:b/>
          <w:i/>
          <w:sz w:val="20"/>
        </w:rPr>
        <w:t>HTA</w:t>
      </w:r>
      <w:r>
        <w:rPr>
          <w:rFonts w:ascii="Times New Roman" w:hAnsi="Times New Roman"/>
          <w:sz w:val="20"/>
        </w:rPr>
        <w:t>”</w:t>
      </w:r>
      <w:r>
        <w:rPr>
          <w:rFonts w:ascii="Times New Roman;serif" w:hAnsi="Times New Roman;serif"/>
          <w:b w:val="false"/>
          <w:sz w:val="20"/>
        </w:rPr>
        <w:t>) and American Traffic Solutions, Inc. (“</w:t>
      </w:r>
      <w:r>
        <w:rPr>
          <w:rFonts w:ascii="Times New Roman;serif" w:hAnsi="Times New Roman;serif"/>
          <w:b/>
          <w:i/>
          <w:sz w:val="20"/>
        </w:rPr>
        <w:t>ATS</w:t>
      </w:r>
      <w:r>
        <w:rPr>
          <w:rFonts w:ascii="Times New Roman" w:hAnsi="Times New Roman"/>
          <w:sz w:val="20"/>
        </w:rPr>
        <w:t>”</w:t>
      </w:r>
      <w:r>
        <w:rPr>
          <w:rFonts w:ascii="Times New Roman;serif" w:hAnsi="Times New Roman;serif"/>
          <w:b w:val="false"/>
          <w:sz w:val="20"/>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closed. Verra Mobility filed a motion for summary judgment on June 21, 2023, which is pending. Trial has been set for November 2023. Verra Mobility believes that all of PlusPass' claims are without merit and will defend itself vigorously in this litigation.</w:t>
      </w:r>
    </w:p>
    <w:p>
      <w:pPr>
        <w:pStyle w:val="TextBody"/>
        <w:bidi w:val="0"/>
        <w:spacing w:before="360" w:after="0"/>
        <w:jc w:val="both"/>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120" w:after="0"/>
        <w:jc w:val="both"/>
        <w:rPr>
          <w:rFonts w:ascii="Times New Roman;serif" w:hAnsi="Times New Roman;serif"/>
          <w:b/>
          <w:sz w:val="20"/>
        </w:rPr>
      </w:pPr>
      <w:r>
        <w:rPr>
          <w:rFonts w:ascii="Times New Roman;serif" w:hAnsi="Times New Roman;serif"/>
          <w:b/>
          <w:sz w:val="20"/>
        </w:rPr>
        <w:t>Risks Related to Our Business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Part I, Item 1A. “Risk Factors” in our Annual Report on Form 10-K for the year ended December 31, 2022 includes a discussion of our risk factors. Other than the risk factor below, there have been no material changes from the risk factors described in our Annual Report on Form 10-K and subsequent Quarterly Reports on Form 10-Q. We may disclose changes to such risk factors or disclose additional risk factors from time to time in our future SEC filings.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Numerous countries, including a number of those in which we do business, have agreed to a statement in support of Economic Co-operation and Development ("OECD") model rules that propose a global minimum tax, which if adopted, may increase and negatively impact our provision for income taxes.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Numerous countries, including a number of those in which we do business, have agreed to a statement in support of the OECD model rules that propose a global minimum tax rate of 15% that would apply to multinational companies with consolidated revenue above €750 million. Certain countries, including European Union member states, have enacted or are expected to enact legislation to be effective as early as 2024, with widespread implementation of a global minimum tax expected by 2025. As the legislation becomes effective in countries in which we do business, our taxes could increase and negatively impact our provision for income taxes. We will continue to monitor pending legislation and implementation by individual countries and evaluate the potential impact on our business in future periods.</w:t>
      </w:r>
    </w:p>
    <w:p>
      <w:pPr>
        <w:pStyle w:val="TextBody"/>
        <w:bidi w:val="0"/>
        <w:spacing w:before="120" w:after="0"/>
        <w:jc w:val="both"/>
        <w:rPr/>
      </w:pPr>
      <w:r>
        <w:rPr/>
        <w:t> </w:t>
      </w:r>
    </w:p>
    <w:p>
      <w:pPr>
        <w:pStyle w:val="TextBody"/>
        <w:bidi w:val="0"/>
        <w:spacing w:before="0" w:after="0"/>
        <w:jc w:val="left"/>
        <w:rPr>
          <w:rFonts w:ascii="Times New Roman;serif" w:hAnsi="Times New Roman;serif"/>
          <w:b/>
          <w:sz w:val="20"/>
        </w:rPr>
      </w:pPr>
      <w:bookmarkStart w:id="15" w:name="item_2_sales_of_equity_securities"/>
      <w:bookmarkEnd w:id="15"/>
      <w:r>
        <w:rPr>
          <w:rFonts w:ascii="Times New Roman;serif" w:hAnsi="Times New Roman;serif"/>
          <w:b/>
          <w:sz w:val="20"/>
        </w:rPr>
        <w:t>Item 2. Unregistered Sales of Equity Securities and Use of Proceeds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Purchases of Equity Securities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Sales of Unregistered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both"/>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both"/>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00" w:after="0"/>
        <w:jc w:val="both"/>
        <w:rPr>
          <w:rFonts w:ascii="Times New Roman" w:hAnsi="Times New Roman"/>
          <w:sz w:val="20"/>
        </w:rPr>
      </w:pPr>
      <w:r>
        <w:rPr>
          <w:rFonts w:ascii="Times New Roman;serif" w:hAnsi="Times New Roman;serif"/>
          <w:b/>
          <w:sz w:val="20"/>
        </w:rPr>
        <w:t>Insider Trading Arrangements and Policies</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 significant portion of the compensation of our executive officers is delivered in the form of deferred equity awards, including performance share units, stock options and restricted stock unit awards. This compensation design is intended to align our executive compensation with the interests of our stockholders by emphasizing performance-based incentive compensation focused on objectives that our Board believes have a significant impact on stockholder value. Following the delivery of shares of our common stock under those equity awards, once any applicable service time or performance-based vesting standards have been satisfied, our executive officers from time to time engage in the open-market sale of some of those shares. Our executive officers may also engage from time to time in other transactions involving our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Transactions in our securities by our executive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Insider Trading Policy permits our executive officers to enter into trading plans designed to comply with Rule 10b5-1. Accordingly, sales under these plans may occur at any time, including possibly before, simultaneously with, or immediately after significant events involving our company.</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the three months ended June 30, 2023,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exhibits are filed as part of, or incorporated by reference into, this Quarterly Report on Form 10-Q.</w:t>
      </w:r>
    </w:p>
    <w:p>
      <w:pPr>
        <w:pStyle w:val="TextBody"/>
        <w:bidi w:val="0"/>
        <w:spacing w:before="200" w:after="0"/>
        <w:jc w:val="center"/>
        <w:rPr>
          <w:rFonts w:ascii="Times New Roman;serif" w:hAnsi="Times New Roman;serif"/>
          <w:b/>
          <w:caps/>
          <w:sz w:val="20"/>
        </w:rPr>
      </w:pPr>
      <w:r>
        <w:rPr>
          <w:rFonts w:ascii="Times New Roman;serif" w:hAnsi="Times New Roman;serif"/>
          <w:b/>
          <w:caps/>
          <w:sz w:val="20"/>
        </w:rPr>
        <w:t>Exhibit Index</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21"/>
        <w:gridCol w:w="5716"/>
        <w:gridCol w:w="526"/>
        <w:gridCol w:w="704"/>
        <w:gridCol w:w="646"/>
        <w:gridCol w:w="1049"/>
        <w:gridCol w:w="843"/>
      </w:tblGrid>
      <w:tr>
        <w:trPr/>
        <w:tc>
          <w:tcPr>
            <w:tcW w:w="721"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721" w:type="dxa"/>
            <w:tcBorders/>
            <w:vAlign w:val="center"/>
          </w:tcPr>
          <w:p>
            <w:pPr>
              <w:pStyle w:val="TableContents"/>
              <w:bidi w:val="0"/>
              <w:spacing w:before="0" w:after="0"/>
              <w:ind w:left="0" w:right="15" w:hanging="0"/>
              <w:jc w:val="center"/>
              <w:rPr/>
            </w:pPr>
            <w:r>
              <w:rPr/>
              <w:t> </w:t>
            </w:r>
          </w:p>
        </w:tc>
        <w:tc>
          <w:tcPr>
            <w:tcW w:w="5716" w:type="dxa"/>
            <w:tcBorders/>
            <w:vAlign w:val="center"/>
          </w:tcPr>
          <w:p>
            <w:pPr>
              <w:pStyle w:val="TableContents"/>
              <w:bidi w:val="0"/>
              <w:spacing w:before="0" w:after="0"/>
              <w:ind w:left="0" w:right="15" w:hanging="0"/>
              <w:jc w:val="center"/>
              <w:rPr/>
            </w:pPr>
            <w:r>
              <w:rPr/>
              <w:t> </w:t>
            </w:r>
          </w:p>
        </w:tc>
        <w:tc>
          <w:tcPr>
            <w:tcW w:w="2925" w:type="dxa"/>
            <w:gridSpan w:val="4"/>
            <w:tcBorders/>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Incorporated by Reference</w:t>
            </w:r>
          </w:p>
        </w:tc>
        <w:tc>
          <w:tcPr>
            <w:tcW w:w="843" w:type="dxa"/>
            <w:tcBorders/>
            <w:vAlign w:val="center"/>
          </w:tcPr>
          <w:p>
            <w:pPr>
              <w:pStyle w:val="TableContents"/>
              <w:bidi w:val="0"/>
              <w:spacing w:before="0" w:after="0"/>
              <w:ind w:left="0" w:right="15" w:hanging="0"/>
              <w:jc w:val="center"/>
              <w:rPr/>
            </w:pPr>
            <w:r>
              <w:rPr/>
              <w:t> </w:t>
            </w:r>
          </w:p>
        </w:tc>
      </w:tr>
      <w:tr>
        <w:trPr/>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Number</w:t>
            </w:r>
          </w:p>
        </w:tc>
        <w:tc>
          <w:tcPr>
            <w:tcW w:w="5716"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Description</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Form</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File No.</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Exhibit</w:t>
            </w:r>
          </w:p>
        </w:tc>
        <w:tc>
          <w:tcPr>
            <w:tcW w:w="1049"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Filing Date</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Filed</w:t>
            </w:r>
          </w:p>
          <w:p>
            <w:pPr>
              <w:pStyle w:val="TableContents"/>
              <w:bidi w:val="0"/>
              <w:spacing w:before="0" w:after="0"/>
              <w:ind w:left="0" w:right="15" w:hanging="0"/>
              <w:jc w:val="center"/>
              <w:rPr>
                <w:rFonts w:ascii="Times New Roman;serif" w:hAnsi="Times New Roman;serif"/>
                <w:b/>
                <w:sz w:val="16"/>
              </w:rPr>
            </w:pPr>
            <w:r>
              <w:rPr>
                <w:rFonts w:ascii="Times New Roman;serif" w:hAnsi="Times New Roman;serif"/>
                <w:b/>
                <w:sz w:val="16"/>
              </w:rPr>
              <w:t>Herewith</w:t>
            </w:r>
          </w:p>
        </w:tc>
      </w:tr>
      <w:tr>
        <w:trPr/>
        <w:tc>
          <w:tcPr>
            <w:tcW w:w="721" w:type="dxa"/>
            <w:tcBorders/>
            <w:vAlign w:val="center"/>
          </w:tcPr>
          <w:p>
            <w:pPr>
              <w:pStyle w:val="TableContents"/>
              <w:bidi w:val="0"/>
              <w:spacing w:before="100" w:after="100"/>
              <w:ind w:left="0" w:right="0" w:hanging="0"/>
              <w:jc w:val="left"/>
              <w:rPr>
                <w:rFonts w:ascii="Times New Roman;serif" w:hAnsi="Times New Roman;serif"/>
                <w:b w:val="false"/>
                <w:sz w:val="20"/>
              </w:rPr>
            </w:pPr>
            <w:r>
              <w:rPr>
                <w:rFonts w:ascii="Times New Roman;serif" w:hAnsi="Times New Roman;serif"/>
                <w:b w:val="false"/>
                <w:sz w:val="20"/>
              </w:rPr>
              <w:t>2.1</w:t>
            </w:r>
          </w:p>
        </w:tc>
        <w:tc>
          <w:tcPr>
            <w:tcW w:w="5716" w:type="dxa"/>
            <w:tcBorders/>
            <w:vAlign w:val="center"/>
          </w:tcPr>
          <w:p>
            <w:pPr>
              <w:pStyle w:val="TableContents"/>
              <w:bidi w:val="0"/>
              <w:spacing w:before="0" w:after="100"/>
              <w:ind w:left="0" w:right="0" w:hanging="0"/>
              <w:jc w:val="both"/>
              <w:rPr/>
            </w:pPr>
            <w:hyperlink r:id="rId2">
              <w:r>
                <w:rPr>
                  <w:rStyle w:val="InternetLink"/>
                  <w:rFonts w:ascii="Times New Roman;serif" w:hAnsi="Times New Roman;serif"/>
                  <w:b w:val="false"/>
                  <w:sz w:val="20"/>
                  <w:u w:val="single"/>
                </w:rPr>
                <w:t>Merger Agreement, dated as of June 21, 2018, by and among Gores Holdings II, Inc., AM Merger Sub I, Inc., AM Merger Sub II, LLC, Greenlight Holding II Corporation and PE Greenlight Holdings, LLC, in its capacity as the Stockholder Representative.</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2.1</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June 21, 2018</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2.2</w:t>
            </w:r>
          </w:p>
        </w:tc>
        <w:tc>
          <w:tcPr>
            <w:tcW w:w="5716" w:type="dxa"/>
            <w:tcBorders/>
            <w:vAlign w:val="center"/>
          </w:tcPr>
          <w:p>
            <w:pPr>
              <w:pStyle w:val="TableContents"/>
              <w:bidi w:val="0"/>
              <w:spacing w:before="0" w:after="100"/>
              <w:ind w:left="0" w:right="0" w:hanging="0"/>
              <w:jc w:val="both"/>
              <w:rPr/>
            </w:pPr>
            <w:hyperlink r:id="rId3">
              <w:r>
                <w:rPr>
                  <w:rStyle w:val="InternetLink"/>
                  <w:rFonts w:ascii="Times New Roman;serif" w:hAnsi="Times New Roman;serif"/>
                  <w:b w:val="false"/>
                  <w:sz w:val="20"/>
                  <w:u w:val="single"/>
                </w:rPr>
                <w:t>Amendment No. 1 to Agreement and Plan of Merger, dated as of August 23, 2018, by and among Gores Holdings II, Inc., AM Merger Sub I, Inc., AM Merger Sub II, LLC, Greenlight Holding II Corporation and PE Greenlight Holdings, LLC, in its capacity as the Stockholder Representative.</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2.2</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August 24, 2018</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3.1</w:t>
            </w:r>
          </w:p>
        </w:tc>
        <w:tc>
          <w:tcPr>
            <w:tcW w:w="5716" w:type="dxa"/>
            <w:tcBorders/>
            <w:vAlign w:val="center"/>
          </w:tcPr>
          <w:p>
            <w:pPr>
              <w:pStyle w:val="TableContents"/>
              <w:bidi w:val="0"/>
              <w:spacing w:before="0" w:after="100"/>
              <w:ind w:left="0" w:right="0" w:hanging="0"/>
              <w:jc w:val="both"/>
              <w:rPr/>
            </w:pPr>
            <w:hyperlink r:id="rId4">
              <w:r>
                <w:rPr>
                  <w:rStyle w:val="InternetLink"/>
                  <w:rFonts w:ascii="Times New Roman;serif" w:hAnsi="Times New Roman;serif"/>
                  <w:b w:val="false"/>
                  <w:sz w:val="20"/>
                  <w:u w:val="single"/>
                </w:rPr>
                <w:t>Second Amended and Restated Certificate of Incorporation of Verra Mobility Corporation.</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October 22, 2018</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3.2</w:t>
            </w:r>
          </w:p>
        </w:tc>
        <w:tc>
          <w:tcPr>
            <w:tcW w:w="5716" w:type="dxa"/>
            <w:tcBorders/>
            <w:vAlign w:val="center"/>
          </w:tcPr>
          <w:p>
            <w:pPr>
              <w:pStyle w:val="TableContents"/>
              <w:bidi w:val="0"/>
              <w:spacing w:before="0" w:after="100"/>
              <w:ind w:left="0" w:right="0" w:hanging="0"/>
              <w:jc w:val="both"/>
              <w:rPr/>
            </w:pPr>
            <w:hyperlink r:id="rId5">
              <w:r>
                <w:rPr>
                  <w:rStyle w:val="InternetLink"/>
                  <w:rFonts w:ascii="Times New Roman;serif" w:hAnsi="Times New Roman;serif"/>
                  <w:b w:val="false"/>
                  <w:sz w:val="20"/>
                  <w:u w:val="single"/>
                </w:rPr>
                <w:t>Amended and Restated Bylaws of Verra Mobility Corporation.</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October 22, 2018</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4.1</w:t>
            </w:r>
          </w:p>
        </w:tc>
        <w:tc>
          <w:tcPr>
            <w:tcW w:w="5716" w:type="dxa"/>
            <w:tcBorders/>
            <w:vAlign w:val="center"/>
          </w:tcPr>
          <w:p>
            <w:pPr>
              <w:pStyle w:val="TableContents"/>
              <w:bidi w:val="0"/>
              <w:spacing w:before="0" w:after="100"/>
              <w:ind w:left="0" w:right="0" w:hanging="0"/>
              <w:jc w:val="both"/>
              <w:rPr/>
            </w:pPr>
            <w:hyperlink r:id="rId6">
              <w:r>
                <w:rPr>
                  <w:rStyle w:val="InternetLink"/>
                  <w:rFonts w:ascii="Times New Roman;serif" w:hAnsi="Times New Roman;serif"/>
                  <w:b w:val="false"/>
                  <w:sz w:val="20"/>
                  <w:u w:val="single"/>
                </w:rPr>
                <w:t>Specimen Class A Common Stock Certificate.</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333-21503</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December 9, 2016</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4.2</w:t>
            </w:r>
          </w:p>
        </w:tc>
        <w:tc>
          <w:tcPr>
            <w:tcW w:w="5716" w:type="dxa"/>
            <w:tcBorders/>
            <w:vAlign w:val="center"/>
          </w:tcPr>
          <w:p>
            <w:pPr>
              <w:pStyle w:val="TableContents"/>
              <w:bidi w:val="0"/>
              <w:spacing w:before="0" w:after="100"/>
              <w:ind w:left="0" w:right="0" w:hanging="0"/>
              <w:jc w:val="both"/>
              <w:rPr/>
            </w:pPr>
            <w:hyperlink r:id="rId7">
              <w:r>
                <w:rPr>
                  <w:rStyle w:val="InternetLink"/>
                  <w:rFonts w:ascii="Times New Roman;serif" w:hAnsi="Times New Roman;serif"/>
                  <w:b w:val="false"/>
                  <w:sz w:val="20"/>
                  <w:u w:val="single"/>
                </w:rPr>
                <w:t>Specimen Warrant Certificate.</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333-21503</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December 9, 2016</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4.3</w:t>
            </w:r>
          </w:p>
        </w:tc>
        <w:tc>
          <w:tcPr>
            <w:tcW w:w="5716" w:type="dxa"/>
            <w:tcBorders/>
            <w:vAlign w:val="center"/>
          </w:tcPr>
          <w:p>
            <w:pPr>
              <w:pStyle w:val="TableContents"/>
              <w:bidi w:val="0"/>
              <w:spacing w:before="0" w:after="100"/>
              <w:ind w:left="0" w:right="0" w:hanging="0"/>
              <w:jc w:val="both"/>
              <w:rPr/>
            </w:pPr>
            <w:hyperlink r:id="rId8">
              <w:r>
                <w:rPr>
                  <w:rStyle w:val="InternetLink"/>
                  <w:rFonts w:ascii="Times New Roman;serif" w:hAnsi="Times New Roman;serif"/>
                  <w:b w:val="false"/>
                  <w:sz w:val="20"/>
                  <w:u w:val="single"/>
                </w:rPr>
                <w:t>Warrant Agreement, dated January 12, 2017, between the Registrant and Continental Stock Transfer &amp; Trust Company, as warrant agent.</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January 19, 2017</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4.4</w:t>
            </w:r>
          </w:p>
        </w:tc>
        <w:tc>
          <w:tcPr>
            <w:tcW w:w="5716" w:type="dxa"/>
            <w:tcBorders/>
            <w:vAlign w:val="center"/>
          </w:tcPr>
          <w:p>
            <w:pPr>
              <w:pStyle w:val="TableContents"/>
              <w:bidi w:val="0"/>
              <w:spacing w:before="0" w:after="100"/>
              <w:ind w:left="0" w:right="0" w:hanging="0"/>
              <w:jc w:val="both"/>
              <w:rPr/>
            </w:pPr>
            <w:hyperlink r:id="rId9">
              <w:r>
                <w:rPr>
                  <w:rStyle w:val="InternetLink"/>
                  <w:rFonts w:ascii="Times New Roman;serif" w:hAnsi="Times New Roman;serif"/>
                  <w:b w:val="false"/>
                  <w:sz w:val="20"/>
                  <w:u w:val="single"/>
                </w:rPr>
                <w:t>First Amendment to Warrant Agreement, dated January 15, 2020, by and among the Registrant, Continental Stock Transfer &amp; Trust Company and American Stock Transfer &amp; Trust Company, LLC.</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March 2, 2020</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4.5</w:t>
            </w:r>
          </w:p>
        </w:tc>
        <w:tc>
          <w:tcPr>
            <w:tcW w:w="5716" w:type="dxa"/>
            <w:tcBorders/>
            <w:vAlign w:val="center"/>
          </w:tcPr>
          <w:p>
            <w:pPr>
              <w:pStyle w:val="TableContents"/>
              <w:bidi w:val="0"/>
              <w:spacing w:before="0" w:after="100"/>
              <w:ind w:left="0" w:right="0" w:hanging="0"/>
              <w:jc w:val="both"/>
              <w:rPr/>
            </w:pPr>
            <w:hyperlink r:id="rId10">
              <w:r>
                <w:rPr>
                  <w:rStyle w:val="InternetLink"/>
                  <w:rFonts w:ascii="Times New Roman;serif" w:hAnsi="Times New Roman;serif"/>
                  <w:b w:val="false"/>
                  <w:sz w:val="20"/>
                  <w:u w:val="single"/>
                </w:rPr>
                <w:t>Second Amendment to Warrant Agreement, dated May 11, 2023, by and between the Registrant and American Stock Transfer &amp; Trust Company, LLC.</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May 11, 2023</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5716" w:type="dxa"/>
            <w:tcBorders/>
            <w:vAlign w:val="center"/>
          </w:tcPr>
          <w:p>
            <w:pPr>
              <w:pStyle w:val="TableContents"/>
              <w:bidi w:val="0"/>
              <w:spacing w:before="0" w:after="100"/>
              <w:ind w:left="0" w:right="0" w:hanging="0"/>
              <w:jc w:val="both"/>
              <w:rPr/>
            </w:pPr>
            <w:hyperlink r:id="rId11">
              <w:r>
                <w:rPr>
                  <w:rStyle w:val="InternetLink"/>
                  <w:rFonts w:ascii="Times New Roman;serif" w:hAnsi="Times New Roman;serif"/>
                  <w:b w:val="false"/>
                  <w:sz w:val="20"/>
                  <w:u w:val="single"/>
                </w:rPr>
                <w:t>Form of Notice of Grant of Restricted Stock Units (U.S. Participants) under the Verra Mobility Corporation 2018 Equity Incentive Plan.</w:t>
              </w:r>
            </w:hyperlink>
            <w:r>
              <w:rPr>
                <w:rFonts w:ascii="Times New Roman;serif" w:hAnsi="Times New Roman;serif"/>
                <w:b w:val="false"/>
                <w:sz w:val="20"/>
              </w:rPr>
              <w:br/>
              <w:br/>
            </w:r>
            <w:r>
              <w:rPr>
                <w:rFonts w:ascii="Times New Roman" w:hAnsi="Times New Roman"/>
                <w:sz w:val="20"/>
              </w:rPr>
              <w:t> </w:t>
            </w:r>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5716" w:type="dxa"/>
            <w:tcBorders/>
            <w:vAlign w:val="center"/>
          </w:tcPr>
          <w:p>
            <w:pPr>
              <w:pStyle w:val="TableContents"/>
              <w:bidi w:val="0"/>
              <w:spacing w:before="0" w:after="100"/>
              <w:ind w:left="0" w:right="0" w:hanging="0"/>
              <w:jc w:val="both"/>
              <w:rPr/>
            </w:pPr>
            <w:hyperlink r:id="rId12">
              <w:r>
                <w:rPr>
                  <w:rStyle w:val="InternetLink"/>
                  <w:rFonts w:ascii="Times New Roman;serif" w:hAnsi="Times New Roman;serif"/>
                  <w:b w:val="false"/>
                  <w:sz w:val="20"/>
                  <w:u w:val="single"/>
                </w:rPr>
                <w:t>Form of Notice of Grant of Restricted Stock Units (Non-U.S. Participants) under the Verra Mobility Corporation 2018 Equity Incentive Plan.</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10.2</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5716" w:type="dxa"/>
            <w:tcBorders/>
            <w:vAlign w:val="center"/>
          </w:tcPr>
          <w:p>
            <w:pPr>
              <w:pStyle w:val="TableContents"/>
              <w:bidi w:val="0"/>
              <w:spacing w:before="0" w:after="100"/>
              <w:ind w:left="0" w:right="0" w:hanging="0"/>
              <w:jc w:val="both"/>
              <w:rPr/>
            </w:pPr>
            <w:hyperlink r:id="rId13">
              <w:r>
                <w:rPr>
                  <w:rStyle w:val="InternetLink"/>
                  <w:rFonts w:ascii="Times New Roman;serif" w:hAnsi="Times New Roman;serif"/>
                  <w:b w:val="false"/>
                  <w:sz w:val="20"/>
                  <w:u w:val="single"/>
                </w:rPr>
                <w:t>Form of Notice of Grant of Stock Option (U.S. Participants) under the Verra Mobility Corporation 2018 Equity Incentive Plan.</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10.3</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5716" w:type="dxa"/>
            <w:tcBorders/>
            <w:vAlign w:val="center"/>
          </w:tcPr>
          <w:p>
            <w:pPr>
              <w:pStyle w:val="TableContents"/>
              <w:bidi w:val="0"/>
              <w:spacing w:before="0" w:after="100"/>
              <w:ind w:left="0" w:right="0" w:hanging="0"/>
              <w:jc w:val="both"/>
              <w:rPr/>
            </w:pPr>
            <w:hyperlink r:id="rId14">
              <w:r>
                <w:rPr>
                  <w:rStyle w:val="InternetLink"/>
                  <w:rFonts w:ascii="Times New Roman;serif" w:hAnsi="Times New Roman;serif"/>
                  <w:b w:val="false"/>
                  <w:sz w:val="20"/>
                  <w:u w:val="single"/>
                </w:rPr>
                <w:t>Form of Notice of Grant of Stock Option (Non-U.S. Participants) under the Verra Mobility Corporation 2018 Equity Incentive Plan.</w:t>
              </w:r>
            </w:hyperlink>
            <w:r>
              <w:rPr>
                <w:rFonts w:ascii="Times New Roman;serif" w:hAnsi="Times New Roman;serif"/>
                <w:b w:val="false"/>
                <w:sz w:val="20"/>
              </w:rPr>
              <w:br/>
              <w:br/>
            </w:r>
            <w:r>
              <w:rPr>
                <w:rFonts w:ascii="Times New Roman" w:hAnsi="Times New Roman"/>
                <w:sz w:val="20"/>
              </w:rPr>
              <w:t> </w:t>
            </w:r>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843" w:type="dxa"/>
            <w:tcBorders/>
            <w:vAlign w:val="center"/>
          </w:tcPr>
          <w:p>
            <w:pPr>
              <w:pStyle w:val="TableContents"/>
              <w:bidi w:val="0"/>
              <w:spacing w:before="0" w:after="100"/>
              <w:ind w:left="0" w:right="0" w:hanging="0"/>
              <w:jc w:val="center"/>
              <w:rPr/>
            </w:pPr>
            <w:r>
              <w:rPr/>
              <w:t> </w:t>
            </w:r>
          </w:p>
        </w:tc>
      </w:tr>
      <w:tr>
        <w:trPr/>
        <w:tc>
          <w:tcPr>
            <w:tcW w:w="721"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5716" w:type="dxa"/>
            <w:tcBorders/>
            <w:vAlign w:val="center"/>
          </w:tcPr>
          <w:p>
            <w:pPr>
              <w:pStyle w:val="TableContents"/>
              <w:bidi w:val="0"/>
              <w:spacing w:before="0" w:after="100"/>
              <w:ind w:left="0" w:right="0" w:hanging="0"/>
              <w:jc w:val="both"/>
              <w:rPr/>
            </w:pPr>
            <w:hyperlink r:id="rId15">
              <w:r>
                <w:rPr>
                  <w:rStyle w:val="InternetLink"/>
                  <w:rFonts w:ascii="Times New Roman;serif" w:hAnsi="Times New Roman;serif"/>
                  <w:b w:val="false"/>
                  <w:sz w:val="20"/>
                  <w:u w:val="single"/>
                </w:rPr>
                <w:t>Form of Notice of Grant of Performance Share Units and Award Agreement (U.S. Participants) under the Verra Mobility Corporation 2018 Equity Incentive Plan.</w:t>
              </w:r>
            </w:hyperlink>
          </w:p>
        </w:tc>
        <w:tc>
          <w:tcPr>
            <w:tcW w:w="52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04"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64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10.5</w:t>
            </w:r>
          </w:p>
        </w:tc>
        <w:tc>
          <w:tcPr>
            <w:tcW w:w="104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843" w:type="dxa"/>
            <w:tcBorders/>
            <w:vAlign w:val="center"/>
          </w:tcPr>
          <w:p>
            <w:pPr>
              <w:pStyle w:val="TableContents"/>
              <w:bidi w:val="0"/>
              <w:spacing w:before="0" w:after="100"/>
              <w:ind w:left="0" w:right="0" w:hanging="0"/>
              <w:jc w:val="center"/>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34"/>
        <w:gridCol w:w="6548"/>
        <w:gridCol w:w="422"/>
        <w:gridCol w:w="759"/>
        <w:gridCol w:w="466"/>
        <w:gridCol w:w="1088"/>
        <w:gridCol w:w="288"/>
      </w:tblGrid>
      <w:tr>
        <w:trPr/>
        <w:tc>
          <w:tcPr>
            <w:tcW w:w="634" w:type="dxa"/>
            <w:tcBorders/>
            <w:vAlign w:val="center"/>
          </w:tcPr>
          <w:p>
            <w:pPr>
              <w:pStyle w:val="TableContents"/>
              <w:bidi w:val="0"/>
              <w:spacing w:before="0" w:after="283"/>
              <w:jc w:val="left"/>
              <w:rPr>
                <w:sz w:val="4"/>
                <w:szCs w:val="4"/>
              </w:rPr>
            </w:pPr>
            <w:r>
              <w:rPr>
                <w:sz w:val="4"/>
                <w:szCs w:val="4"/>
              </w:rPr>
            </w:r>
          </w:p>
        </w:tc>
        <w:tc>
          <w:tcPr>
            <w:tcW w:w="65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6548" w:type="dxa"/>
            <w:tcBorders/>
            <w:vAlign w:val="center"/>
          </w:tcPr>
          <w:p>
            <w:pPr>
              <w:pStyle w:val="TableContents"/>
              <w:bidi w:val="0"/>
              <w:spacing w:before="0" w:after="100"/>
              <w:ind w:left="0" w:right="0" w:hanging="0"/>
              <w:jc w:val="both"/>
              <w:rPr/>
            </w:pPr>
            <w:hyperlink r:id="rId16">
              <w:r>
                <w:rPr>
                  <w:rStyle w:val="InternetLink"/>
                  <w:rFonts w:ascii="Times New Roman;serif" w:hAnsi="Times New Roman;serif"/>
                  <w:b w:val="false"/>
                  <w:sz w:val="20"/>
                  <w:u w:val="single"/>
                </w:rPr>
                <w:t>Form of Notice of Grant of Performance Share Units and Award Agreement (Non-U.S. Participants) under the Verra Mobility Corporation 2018 Equity Incentive Plan.</w:t>
              </w:r>
            </w:hyperlink>
            <w:r>
              <w:rPr>
                <w:rFonts w:ascii="Times New Roman;serif" w:hAnsi="Times New Roman;serif"/>
                <w:b w:val="false"/>
                <w:sz w:val="20"/>
              </w:rPr>
              <w:br/>
              <w:br/>
            </w:r>
            <w:r>
              <w:rPr>
                <w:rFonts w:ascii="Times New Roman" w:hAnsi="Times New Roman"/>
                <w:sz w:val="20"/>
              </w:rPr>
              <w:t> </w:t>
            </w:r>
          </w:p>
        </w:tc>
        <w:tc>
          <w:tcPr>
            <w:tcW w:w="422"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46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10.6</w:t>
            </w:r>
          </w:p>
        </w:tc>
        <w:tc>
          <w:tcPr>
            <w:tcW w:w="10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288" w:type="dxa"/>
            <w:tcBorders/>
            <w:vAlign w:val="center"/>
          </w:tcPr>
          <w:p>
            <w:pPr>
              <w:pStyle w:val="TableContents"/>
              <w:bidi w:val="0"/>
              <w:spacing w:before="0" w:after="100"/>
              <w:ind w:left="0" w:right="0" w:hanging="0"/>
              <w:jc w:val="center"/>
              <w:rPr/>
            </w:pPr>
            <w:r>
              <w:rPr/>
              <w:t> </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6548" w:type="dxa"/>
            <w:tcBorders/>
            <w:vAlign w:val="center"/>
          </w:tcPr>
          <w:p>
            <w:pPr>
              <w:pStyle w:val="TableContents"/>
              <w:bidi w:val="0"/>
              <w:spacing w:before="0" w:after="100"/>
              <w:ind w:left="0" w:right="0" w:hanging="0"/>
              <w:jc w:val="both"/>
              <w:rPr/>
            </w:pPr>
            <w:hyperlink r:id="rId17">
              <w:r>
                <w:rPr>
                  <w:rStyle w:val="InternetLink"/>
                  <w:rFonts w:ascii="Times New Roman;serif" w:hAnsi="Times New Roman;serif"/>
                  <w:b w:val="false"/>
                  <w:sz w:val="20"/>
                  <w:u w:val="single"/>
                </w:rPr>
                <w:t>Verra Mobility Corporation Second Amended and Restated Short-Term Incentive Plan.</w:t>
              </w:r>
            </w:hyperlink>
            <w:r>
              <w:rPr>
                <w:rFonts w:ascii="Times New Roman;serif" w:hAnsi="Times New Roman;serif"/>
                <w:b w:val="false"/>
                <w:sz w:val="20"/>
              </w:rPr>
              <w:br/>
              <w:br/>
            </w:r>
            <w:r>
              <w:rPr>
                <w:rFonts w:ascii="Times New Roman" w:hAnsi="Times New Roman"/>
                <w:sz w:val="20"/>
              </w:rPr>
              <w:t> </w:t>
            </w:r>
          </w:p>
        </w:tc>
        <w:tc>
          <w:tcPr>
            <w:tcW w:w="422"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46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10.7</w:t>
            </w:r>
          </w:p>
        </w:tc>
        <w:tc>
          <w:tcPr>
            <w:tcW w:w="10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February 17, 2023</w:t>
            </w:r>
          </w:p>
        </w:tc>
        <w:tc>
          <w:tcPr>
            <w:tcW w:w="288" w:type="dxa"/>
            <w:tcBorders/>
            <w:vAlign w:val="center"/>
          </w:tcPr>
          <w:p>
            <w:pPr>
              <w:pStyle w:val="TableContents"/>
              <w:bidi w:val="0"/>
              <w:spacing w:before="0" w:after="100"/>
              <w:ind w:left="0" w:right="0" w:hanging="0"/>
              <w:jc w:val="center"/>
              <w:rPr/>
            </w:pPr>
            <w:r>
              <w:rPr/>
              <w:t> </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6548" w:type="dxa"/>
            <w:tcBorders/>
            <w:vAlign w:val="center"/>
          </w:tcPr>
          <w:p>
            <w:pPr>
              <w:pStyle w:val="TableContents"/>
              <w:bidi w:val="0"/>
              <w:spacing w:before="0" w:after="100"/>
              <w:ind w:left="0" w:right="0" w:hanging="0"/>
              <w:jc w:val="both"/>
              <w:rPr/>
            </w:pPr>
            <w:hyperlink r:id="rId18">
              <w:r>
                <w:rPr>
                  <w:rStyle w:val="InternetLink"/>
                  <w:rFonts w:ascii="Times New Roman;serif" w:hAnsi="Times New Roman;serif"/>
                  <w:b w:val="false"/>
                  <w:sz w:val="20"/>
                  <w:u w:val="single"/>
                </w:rPr>
                <w:t>Amendment No. 2 to Amended and Restated First Lien Term Loan Credit Agreement, dated as of March 29, 2023.</w:t>
              </w:r>
            </w:hyperlink>
          </w:p>
        </w:tc>
        <w:tc>
          <w:tcPr>
            <w:tcW w:w="422"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759"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001-37979</w:t>
            </w:r>
          </w:p>
        </w:tc>
        <w:tc>
          <w:tcPr>
            <w:tcW w:w="466"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10.8</w:t>
            </w:r>
          </w:p>
        </w:tc>
        <w:tc>
          <w:tcPr>
            <w:tcW w:w="10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May 4, 2023</w:t>
            </w:r>
          </w:p>
        </w:tc>
        <w:tc>
          <w:tcPr>
            <w:tcW w:w="288" w:type="dxa"/>
            <w:tcBorders/>
            <w:vAlign w:val="center"/>
          </w:tcPr>
          <w:p>
            <w:pPr>
              <w:pStyle w:val="TableContents"/>
              <w:bidi w:val="0"/>
              <w:spacing w:before="0" w:after="100"/>
              <w:ind w:left="0" w:right="0" w:hanging="0"/>
              <w:jc w:val="center"/>
              <w:rPr/>
            </w:pPr>
            <w:r>
              <w:rPr/>
              <w:t> </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6548" w:type="dxa"/>
            <w:tcBorders/>
            <w:vAlign w:val="center"/>
          </w:tcPr>
          <w:p>
            <w:pPr>
              <w:pStyle w:val="TableContents"/>
              <w:bidi w:val="0"/>
              <w:spacing w:before="0" w:after="100"/>
              <w:ind w:left="0" w:right="0" w:hanging="0"/>
              <w:jc w:val="both"/>
              <w:rPr/>
            </w:pPr>
            <w:hyperlink w:anchor="vrrm-ex31_1.htm">
              <w:r>
                <w:rPr>
                  <w:rStyle w:val="InternetLink"/>
                  <w:rFonts w:ascii="Times New Roman;serif" w:hAnsi="Times New Roman;serif"/>
                  <w:b w:val="false"/>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6548" w:type="dxa"/>
            <w:tcBorders/>
            <w:vAlign w:val="center"/>
          </w:tcPr>
          <w:p>
            <w:pPr>
              <w:pStyle w:val="TableContents"/>
              <w:bidi w:val="0"/>
              <w:spacing w:before="0" w:after="100"/>
              <w:ind w:left="0" w:right="0" w:hanging="0"/>
              <w:jc w:val="both"/>
              <w:rPr/>
            </w:pPr>
            <w:hyperlink w:anchor="vrrm-ex31_2.htm">
              <w:r>
                <w:rPr>
                  <w:rStyle w:val="InternetLink"/>
                  <w:rFonts w:ascii="Times New Roman;serif" w:hAnsi="Times New Roman;serif"/>
                  <w:b w:val="false"/>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6548" w:type="dxa"/>
            <w:tcBorders/>
            <w:vAlign w:val="center"/>
          </w:tcPr>
          <w:p>
            <w:pPr>
              <w:pStyle w:val="TableContents"/>
              <w:bidi w:val="0"/>
              <w:spacing w:before="0" w:after="100"/>
              <w:ind w:left="0" w:right="0" w:hanging="0"/>
              <w:jc w:val="both"/>
              <w:rPr/>
            </w:pPr>
            <w:hyperlink w:anchor="vrrm-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6548" w:type="dxa"/>
            <w:tcBorders/>
            <w:vAlign w:val="center"/>
          </w:tcPr>
          <w:p>
            <w:pPr>
              <w:pStyle w:val="TableContents"/>
              <w:bidi w:val="0"/>
              <w:spacing w:before="0" w:after="100"/>
              <w:ind w:left="0" w:right="0" w:hanging="0"/>
              <w:jc w:val="both"/>
              <w:rPr/>
            </w:pPr>
            <w:hyperlink w:anchor="vrrm-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Inline XBRL Instance Document (the instance does not appear in the Interactive Data File because its XBRL tags are embedded within the Inline XBRL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Inline XBRL Taxonomy Extension Schema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634" w:type="dxa"/>
            <w:tcBorders/>
            <w:vAlign w:val="center"/>
          </w:tcPr>
          <w:p>
            <w:pPr>
              <w:pStyle w:val="TableContents"/>
              <w:bidi w:val="0"/>
              <w:spacing w:before="0" w:after="10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548" w:type="dxa"/>
            <w:tcBorders/>
            <w:vAlign w:val="center"/>
          </w:tcPr>
          <w:p>
            <w:pPr>
              <w:pStyle w:val="TableContents"/>
              <w:bidi w:val="0"/>
              <w:spacing w:before="0" w:after="100"/>
              <w:ind w:left="0" w:right="0" w:hanging="0"/>
              <w:jc w:val="both"/>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422" w:type="dxa"/>
            <w:tcBorders/>
            <w:vAlign w:val="center"/>
          </w:tcPr>
          <w:p>
            <w:pPr>
              <w:pStyle w:val="TableContents"/>
              <w:bidi w:val="0"/>
              <w:spacing w:before="0" w:after="100"/>
              <w:ind w:left="0" w:right="0" w:hanging="0"/>
              <w:jc w:val="center"/>
              <w:rPr/>
            </w:pPr>
            <w:r>
              <w:rPr/>
              <w:t> </w:t>
            </w:r>
          </w:p>
        </w:tc>
        <w:tc>
          <w:tcPr>
            <w:tcW w:w="759" w:type="dxa"/>
            <w:tcBorders/>
            <w:vAlign w:val="center"/>
          </w:tcPr>
          <w:p>
            <w:pPr>
              <w:pStyle w:val="TableContents"/>
              <w:bidi w:val="0"/>
              <w:spacing w:before="0" w:after="100"/>
              <w:ind w:left="0" w:right="0" w:hanging="0"/>
              <w:jc w:val="center"/>
              <w:rPr/>
            </w:pPr>
            <w:r>
              <w:rPr/>
              <w:t> </w:t>
            </w:r>
          </w:p>
        </w:tc>
        <w:tc>
          <w:tcPr>
            <w:tcW w:w="466" w:type="dxa"/>
            <w:tcBorders/>
            <w:vAlign w:val="center"/>
          </w:tcPr>
          <w:p>
            <w:pPr>
              <w:pStyle w:val="TableContents"/>
              <w:bidi w:val="0"/>
              <w:spacing w:before="0" w:after="100"/>
              <w:ind w:left="0" w:right="0" w:hanging="0"/>
              <w:jc w:val="center"/>
              <w:rPr/>
            </w:pPr>
            <w:r>
              <w:rPr/>
              <w:t> </w:t>
            </w:r>
          </w:p>
        </w:tc>
        <w:tc>
          <w:tcPr>
            <w:tcW w:w="1088" w:type="dxa"/>
            <w:tcBorders/>
            <w:vAlign w:val="center"/>
          </w:tcPr>
          <w:p>
            <w:pPr>
              <w:pStyle w:val="TableContents"/>
              <w:bidi w:val="0"/>
              <w:spacing w:before="0" w:after="100"/>
              <w:ind w:left="0" w:right="0" w:hanging="0"/>
              <w:jc w:val="center"/>
              <w:rPr/>
            </w:pPr>
            <w:r>
              <w:rPr/>
              <w:t> </w:t>
            </w:r>
          </w:p>
        </w:tc>
        <w:tc>
          <w:tcPr>
            <w:tcW w:w="288" w:type="dxa"/>
            <w:tcBorders/>
            <w:vAlign w:val="center"/>
          </w:tcPr>
          <w:p>
            <w:pPr>
              <w:pStyle w:val="TableContents"/>
              <w:bidi w:val="0"/>
              <w:spacing w:before="0" w:after="10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10205" w:type="dxa"/>
            <w:gridSpan w:val="7"/>
            <w:tcBorders/>
            <w:vAlign w:val="center"/>
          </w:tcPr>
          <w:p>
            <w:pPr>
              <w:pStyle w:val="TableContents"/>
              <w:bidi w:val="0"/>
              <w:spacing w:before="40" w:after="0"/>
              <w:ind w:left="0" w:right="0" w:hanging="0"/>
              <w:jc w:val="both"/>
              <w:rPr>
                <w:rFonts w:ascii="Times New Roman;serif" w:hAnsi="Times New Roman;serif"/>
                <w:b w:val="false"/>
                <w:sz w:val="20"/>
              </w:rPr>
            </w:pPr>
            <w:r>
              <w:rPr>
                <w:rFonts w:ascii="Times New Roman;serif" w:hAnsi="Times New Roman;serif"/>
                <w:b w:val="false"/>
                <w:sz w:val="20"/>
              </w:rPr>
              <w:t>* 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caps/>
          <w:sz w:val="20"/>
        </w:rPr>
      </w:pPr>
      <w:bookmarkStart w:id="20" w:name="signatures"/>
      <w:bookmarkEnd w:id="20"/>
      <w:r>
        <w:rPr>
          <w:rFonts w:ascii="Times New Roman;serif" w:hAnsi="Times New Roman;serif"/>
          <w:b/>
          <w:caps/>
          <w:sz w:val="20"/>
        </w:rPr>
        <w:t>Signatures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5056" w:type="dxa"/>
        <w:jc w:val="left"/>
        <w:tblInd w:w="0" w:type="dxa"/>
        <w:tblLayout w:type="fixed"/>
        <w:tblCellMar>
          <w:top w:w="28" w:type="dxa"/>
          <w:left w:w="28" w:type="dxa"/>
          <w:bottom w:w="28" w:type="dxa"/>
          <w:right w:w="28" w:type="dxa"/>
        </w:tblCellMar>
      </w:tblPr>
      <w:tblGrid>
        <w:gridCol w:w="1846"/>
        <w:gridCol w:w="461"/>
        <w:gridCol w:w="2749"/>
      </w:tblGrid>
      <w:tr>
        <w:trPr/>
        <w:tc>
          <w:tcPr>
            <w:tcW w:w="18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10"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VERRA MOBILITY CORPORATION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1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749" w:type="dxa"/>
            <w:tcBorders/>
            <w:vAlign w:val="center"/>
          </w:tcPr>
          <w:p>
            <w:pPr>
              <w:pStyle w:val="TableContents"/>
              <w:bidi w:val="0"/>
              <w:spacing w:before="0" w:after="0"/>
              <w:ind w:left="0" w:right="0" w:firstLine="144"/>
              <w:jc w:val="left"/>
              <w:rPr>
                <w:rFonts w:ascii="Times New Roman;serif" w:hAnsi="Times New Roman;serif"/>
                <w:b w:val="false"/>
                <w:sz w:val="20"/>
              </w:rPr>
            </w:pPr>
            <w:r>
              <w:rPr>
                <w:rFonts w:ascii="Times New Roman;serif" w:hAnsi="Times New Roman;serif"/>
                <w:b w:val="false"/>
                <w:sz w:val="20"/>
              </w:rPr>
              <w:t>/s/ Craig Conti</w:t>
            </w:r>
          </w:p>
        </w:tc>
      </w:tr>
      <w:tr>
        <w:trPr/>
        <w:tc>
          <w:tcPr>
            <w:tcW w:w="1846" w:type="dxa"/>
            <w:tcBorders/>
            <w:vAlign w:val="center"/>
          </w:tcPr>
          <w:p>
            <w:pPr>
              <w:pStyle w:val="TableContents"/>
              <w:bidi w:val="0"/>
              <w:spacing w:before="0" w:after="283"/>
              <w:ind w:left="0" w:right="0" w:firstLine="144"/>
              <w:jc w:val="left"/>
              <w:rPr>
                <w:sz w:val="4"/>
                <w:szCs w:val="4"/>
              </w:rPr>
            </w:pPr>
            <w:r>
              <w:rPr>
                <w:sz w:val="4"/>
                <w:szCs w:val="4"/>
              </w:rPr>
            </w:r>
          </w:p>
        </w:tc>
        <w:tc>
          <w:tcPr>
            <w:tcW w:w="461" w:type="dxa"/>
            <w:tcBorders/>
            <w:vAlign w:val="center"/>
          </w:tcPr>
          <w:p>
            <w:pPr>
              <w:pStyle w:val="TableContents"/>
              <w:bidi w:val="0"/>
              <w:spacing w:before="0" w:after="283"/>
              <w:ind w:left="0" w:right="0" w:hanging="0"/>
              <w:jc w:val="left"/>
              <w:rPr>
                <w:sz w:val="4"/>
                <w:szCs w:val="4"/>
              </w:rPr>
            </w:pPr>
            <w:r>
              <w:rPr>
                <w:sz w:val="4"/>
                <w:szCs w:val="4"/>
              </w:rPr>
            </w:r>
          </w:p>
        </w:tc>
        <w:tc>
          <w:tcPr>
            <w:tcW w:w="2749" w:type="dxa"/>
            <w:tcBorders>
              <w:top w:val="single" w:sz="8" w:space="0" w:color="000000"/>
            </w:tcBorders>
            <w:tcMar>
              <w:left w:w="0" w:type="dxa"/>
              <w:bottom w:w="0" w:type="dxa"/>
              <w:right w:w="0" w:type="dxa"/>
            </w:tcMar>
            <w:vAlign w:val="center"/>
          </w:tcPr>
          <w:p>
            <w:pPr>
              <w:pStyle w:val="TableContents"/>
              <w:bidi w:val="0"/>
              <w:spacing w:before="0" w:after="0"/>
              <w:ind w:left="0" w:right="0" w:firstLine="144"/>
              <w:jc w:val="left"/>
              <w:rPr>
                <w:rFonts w:ascii="Times New Roman;serif" w:hAnsi="Times New Roman;serif"/>
                <w:b w:val="false"/>
                <w:sz w:val="20"/>
              </w:rPr>
            </w:pPr>
            <w:r>
              <w:rPr>
                <w:rFonts w:ascii="Times New Roman;serif" w:hAnsi="Times New Roman;serif"/>
                <w:b w:val="false"/>
                <w:sz w:val="20"/>
              </w:rPr>
              <w:t>Craig Conti</w:t>
            </w:r>
          </w:p>
        </w:tc>
      </w:tr>
      <w:tr>
        <w:trPr/>
        <w:tc>
          <w:tcPr>
            <w:tcW w:w="1846" w:type="dxa"/>
            <w:tcBorders/>
            <w:vAlign w:val="center"/>
          </w:tcPr>
          <w:p>
            <w:pPr>
              <w:pStyle w:val="TableContents"/>
              <w:bidi w:val="0"/>
              <w:spacing w:before="0" w:after="283"/>
              <w:ind w:left="0" w:right="0" w:firstLine="144"/>
              <w:jc w:val="left"/>
              <w:rPr>
                <w:sz w:val="4"/>
                <w:szCs w:val="4"/>
              </w:rPr>
            </w:pPr>
            <w:r>
              <w:rPr>
                <w:sz w:val="4"/>
                <w:szCs w:val="4"/>
              </w:rPr>
            </w:r>
          </w:p>
        </w:tc>
        <w:tc>
          <w:tcPr>
            <w:tcW w:w="461" w:type="dxa"/>
            <w:tcBorders/>
            <w:vAlign w:val="center"/>
          </w:tcPr>
          <w:p>
            <w:pPr>
              <w:pStyle w:val="TableContents"/>
              <w:bidi w:val="0"/>
              <w:spacing w:before="0" w:after="283"/>
              <w:ind w:left="0" w:right="0" w:hanging="0"/>
              <w:jc w:val="left"/>
              <w:rPr>
                <w:sz w:val="4"/>
                <w:szCs w:val="4"/>
              </w:rPr>
            </w:pPr>
            <w:r>
              <w:rPr>
                <w:sz w:val="4"/>
                <w:szCs w:val="4"/>
              </w:rPr>
            </w:r>
          </w:p>
        </w:tc>
        <w:tc>
          <w:tcPr>
            <w:tcW w:w="2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61" w:type="dxa"/>
            <w:tcBorders/>
            <w:vAlign w:val="center"/>
          </w:tcPr>
          <w:p>
            <w:pPr>
              <w:pStyle w:val="TableContents"/>
              <w:bidi w:val="0"/>
              <w:spacing w:before="0" w:after="283"/>
              <w:ind w:left="0" w:right="0" w:hanging="0"/>
              <w:jc w:val="left"/>
              <w:rPr>
                <w:sz w:val="4"/>
                <w:szCs w:val="4"/>
              </w:rPr>
            </w:pPr>
            <w:r>
              <w:rPr>
                <w:sz w:val="4"/>
                <w:szCs w:val="4"/>
              </w:rPr>
            </w:r>
          </w:p>
        </w:tc>
        <w:tc>
          <w:tcPr>
            <w:tcW w:w="2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r>
        <w:trPr/>
        <w:tc>
          <w:tcPr>
            <w:tcW w:w="1846"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left"/>
              <w:rPr/>
            </w:pPr>
            <w:r>
              <w:rPr/>
              <w:t> </w:t>
            </w:r>
          </w:p>
        </w:tc>
        <w:tc>
          <w:tcPr>
            <w:tcW w:w="2749"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1" w:name="vrrm-ex31_1.htm"/>
      <w:bookmarkStart w:id="22" w:name="ksvrrmex31_1"/>
      <w:bookmarkEnd w:id="21"/>
      <w:bookmarkEnd w:id="2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20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Exchange Act Rules 13a-14(a) and 15d-14(a)</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 David Roberts, certify that:</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 have reviewed this Quarterly Report on Form 10-Q of Verra Mobility Corporation;</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200" w:after="0"/>
        <w:jc w:val="both"/>
        <w:rPr>
          <w:rFonts w:ascii="Times New Roman" w:hAnsi="Times New Roman"/>
          <w:b w:val="false"/>
          <w:sz w:val="20"/>
        </w:rPr>
      </w:pPr>
      <w:r>
        <w:rPr>
          <w:rFonts w:ascii="Times New Roman" w:hAnsi="Times New Roman"/>
          <w:b w:val="false"/>
          <w:sz w:val="20"/>
        </w:rPr>
        <w:t>4.</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 w:hAnsi="Times New Roman"/>
          <w:b w:val="false"/>
          <w:sz w:val="20"/>
        </w:rPr>
      </w:pPr>
      <w:r>
        <w:rPr>
          <w:rFonts w:ascii="Times New Roman" w:hAnsi="Times New Roman"/>
          <w:b w:val="false"/>
          <w:sz w:val="20"/>
        </w:rPr>
        <w:t>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0"/>
        <w:jc w:val="both"/>
        <w:rPr>
          <w:rFonts w:ascii="Times New Roman" w:hAnsi="Times New Roman"/>
          <w:b w:val="false"/>
          <w:sz w:val="20"/>
        </w:rPr>
      </w:pPr>
      <w:r>
        <w:rPr>
          <w:rFonts w:ascii="Times New Roman" w:hAnsi="Times New Roman"/>
          <w:b w:val="false"/>
          <w:sz w:val="20"/>
        </w:rPr>
        <w:t>5.</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714" w:type="dxa"/>
        <w:jc w:val="left"/>
        <w:tblInd w:w="0" w:type="dxa"/>
        <w:tblLayout w:type="fixed"/>
        <w:tblCellMar>
          <w:top w:w="28" w:type="dxa"/>
          <w:left w:w="28" w:type="dxa"/>
          <w:bottom w:w="28" w:type="dxa"/>
          <w:right w:w="28" w:type="dxa"/>
        </w:tblCellMar>
      </w:tblPr>
      <w:tblGrid>
        <w:gridCol w:w="1951"/>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9,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Roberts</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Roberts</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vrrm-ex31_2.htm"/>
      <w:bookmarkStart w:id="24" w:name="ksvrrmex31_2"/>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20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Exchange Act Rules 13a-14(a) and 15d-14(a)</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 Craig Conti, certify that:</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 have reviewed this Quarterly Report on Form 10-Q of Verra Mobility Corporation;</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200" w:after="0"/>
        <w:jc w:val="both"/>
        <w:rPr>
          <w:rFonts w:ascii="Times New Roman" w:hAnsi="Times New Roman"/>
          <w:b w:val="false"/>
          <w:sz w:val="20"/>
        </w:rPr>
      </w:pPr>
      <w:r>
        <w:rPr>
          <w:rFonts w:ascii="Times New Roman" w:hAnsi="Times New Roman"/>
          <w:b w:val="false"/>
          <w:sz w:val="20"/>
        </w:rPr>
        <w:t>4.</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 w:hAnsi="Times New Roman"/>
          <w:b w:val="false"/>
          <w:sz w:val="20"/>
        </w:rPr>
      </w:pPr>
      <w:r>
        <w:rPr>
          <w:rFonts w:ascii="Times New Roman" w:hAnsi="Times New Roman"/>
          <w:b w:val="false"/>
          <w:sz w:val="20"/>
        </w:rPr>
        <w:t>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0"/>
        <w:jc w:val="both"/>
        <w:rPr>
          <w:rFonts w:ascii="Times New Roman" w:hAnsi="Times New Roman"/>
          <w:b w:val="false"/>
          <w:sz w:val="20"/>
        </w:rPr>
      </w:pPr>
      <w:r>
        <w:rPr>
          <w:rFonts w:ascii="Times New Roman" w:hAnsi="Times New Roman"/>
          <w:b w:val="false"/>
          <w:sz w:val="20"/>
        </w:rPr>
        <w:t>5.</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514" w:type="dxa"/>
        <w:jc w:val="left"/>
        <w:tblInd w:w="0" w:type="dxa"/>
        <w:tblLayout w:type="fixed"/>
        <w:tblCellMar>
          <w:top w:w="28" w:type="dxa"/>
          <w:left w:w="28" w:type="dxa"/>
          <w:bottom w:w="28" w:type="dxa"/>
          <w:right w:w="28" w:type="dxa"/>
        </w:tblCellMar>
      </w:tblPr>
      <w:tblGrid>
        <w:gridCol w:w="1951"/>
        <w:gridCol w:w="406"/>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9,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Craig Conti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Craig Conti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vrrm-ex32_1.htm"/>
      <w:bookmarkStart w:id="26" w:name="ksvrrmex32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0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PRINCIPAL EXECUTIVE OFFICER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bidi w:val="0"/>
        <w:spacing w:before="200" w:after="0"/>
        <w:jc w:val="both"/>
        <w:rPr>
          <w:rFonts w:ascii="Times New Roman" w:hAnsi="Times New Roman"/>
          <w:sz w:val="20"/>
        </w:rPr>
      </w:pPr>
      <w:r>
        <w:rPr>
          <w:rFonts w:ascii="Times New Roman;serif" w:hAnsi="Times New Roman;serif"/>
          <w:b w:val="false"/>
          <w:sz w:val="20"/>
        </w:rPr>
        <w:t>In connection with the periodic report of Verra Mobility Corporation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on Form 10-Q for the period ended June 30, 2023 as filed with the Securities and Exchange Commission (the “</w:t>
      </w:r>
      <w:r>
        <w:rPr>
          <w:rFonts w:ascii="Times New Roman;serif" w:hAnsi="Times New Roman;serif"/>
          <w:b/>
          <w:i/>
          <w:sz w:val="20"/>
        </w:rPr>
        <w:t>Report</w:t>
      </w:r>
      <w:r>
        <w:rPr>
          <w:rFonts w:ascii="Times New Roman" w:hAnsi="Times New Roman"/>
          <w:sz w:val="20"/>
        </w:rPr>
        <w:t>”</w:t>
      </w:r>
      <w:r>
        <w:rPr>
          <w:rFonts w:ascii="Times New Roman;serif" w:hAnsi="Times New Roman;serif"/>
          <w:b w:val="false"/>
          <w:sz w:val="20"/>
        </w:rPr>
        <w:t>), I, David Roberts, President and Chief Executive Officer of the Company, hereby certify as of the date hereof, solely for purposes of Title 18, Chapter 63, Section 1350 of the United States Code, that to the best of my knowledge:</w:t>
      </w:r>
    </w:p>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as applicable, of the Securities Exchange Act of 1934, and</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 at the dates and for the periods indicated.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This Certification has not been, and shall not be deemed, “filed” with the Securities and Exchange Commission.</w:t>
      </w:r>
    </w:p>
    <w:p>
      <w:pPr>
        <w:pStyle w:val="TextBody"/>
        <w:bidi w:val="0"/>
        <w:spacing w:before="0" w:after="0"/>
        <w:jc w:val="left"/>
        <w:rPr/>
      </w:pPr>
      <w:r>
        <w:rPr/>
        <w:t> </w:t>
      </w:r>
    </w:p>
    <w:tbl>
      <w:tblPr>
        <w:tblW w:w="5714" w:type="dxa"/>
        <w:jc w:val="left"/>
        <w:tblInd w:w="0" w:type="dxa"/>
        <w:tblLayout w:type="fixed"/>
        <w:tblCellMar>
          <w:top w:w="28" w:type="dxa"/>
          <w:left w:w="28" w:type="dxa"/>
          <w:bottom w:w="28" w:type="dxa"/>
          <w:right w:w="28" w:type="dxa"/>
        </w:tblCellMar>
      </w:tblPr>
      <w:tblGrid>
        <w:gridCol w:w="1951"/>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9,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Roberts</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Roberts</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vrrm-ex32_2.htm"/>
      <w:bookmarkStart w:id="28" w:name="ksvrrmex32_2"/>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00" w:after="0"/>
        <w:jc w:val="center"/>
        <w:rPr>
          <w:rFonts w:ascii="Times New Roman;serif" w:hAnsi="Times New Roman;serif"/>
          <w:b/>
          <w:sz w:val="20"/>
        </w:rPr>
      </w:pPr>
      <w:r>
        <w:rPr>
          <w:rFonts w:ascii="Times New Roman;serif" w:hAnsi="Times New Roman;serif"/>
          <w:b/>
          <w:sz w:val="20"/>
        </w:rPr>
        <w:t>VERRA MOBILITY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PRINCIPAL FINANCIAL OFFICER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bidi w:val="0"/>
        <w:spacing w:before="200" w:after="0"/>
        <w:jc w:val="both"/>
        <w:rPr>
          <w:rFonts w:ascii="Times New Roman" w:hAnsi="Times New Roman"/>
          <w:sz w:val="20"/>
        </w:rPr>
      </w:pPr>
      <w:r>
        <w:rPr>
          <w:rFonts w:ascii="Times New Roman;serif" w:hAnsi="Times New Roman;serif"/>
          <w:b w:val="false"/>
          <w:sz w:val="20"/>
        </w:rPr>
        <w:t>In connection with the periodic report of Verra Mobility Corporation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on Form 10-Q for the period ended June 30, 2023 as filed with the Securities and Exchange Commission (the “</w:t>
      </w:r>
      <w:r>
        <w:rPr>
          <w:rFonts w:ascii="Times New Roman;serif" w:hAnsi="Times New Roman;serif"/>
          <w:b/>
          <w:i/>
          <w:sz w:val="20"/>
        </w:rPr>
        <w:t>Report</w:t>
      </w:r>
      <w:r>
        <w:rPr>
          <w:rFonts w:ascii="Times New Roman" w:hAnsi="Times New Roman"/>
          <w:sz w:val="20"/>
        </w:rPr>
        <w:t>”</w:t>
      </w:r>
      <w:r>
        <w:rPr>
          <w:rFonts w:ascii="Times New Roman;serif" w:hAnsi="Times New Roman;serif"/>
          <w:b w:val="false"/>
          <w:sz w:val="20"/>
        </w:rPr>
        <w:t>), I, Craig Conti, Chief Financial Officer of the Company, hereby certify as of the date hereof, solely for purposes of Title 18, Chapter 63, Section 1350 of the United States Code, that to the best of my knowledge:</w:t>
      </w:r>
    </w:p>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as applicable, of the Securities Exchange Act of 1934, and</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 at the dates and for the periods indicated.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This Certification has not been, and shall not be deemed, “filed” with the Securities and Exchange Commission.</w:t>
      </w:r>
    </w:p>
    <w:p>
      <w:pPr>
        <w:pStyle w:val="TextBody"/>
        <w:bidi w:val="0"/>
        <w:spacing w:before="0" w:after="0"/>
        <w:jc w:val="left"/>
        <w:rPr/>
      </w:pPr>
      <w:r>
        <w:rPr/>
        <w:t> </w:t>
      </w:r>
    </w:p>
    <w:tbl>
      <w:tblPr>
        <w:tblW w:w="4514" w:type="dxa"/>
        <w:jc w:val="left"/>
        <w:tblInd w:w="0" w:type="dxa"/>
        <w:tblLayout w:type="fixed"/>
        <w:tblCellMar>
          <w:top w:w="28" w:type="dxa"/>
          <w:left w:w="28" w:type="dxa"/>
          <w:bottom w:w="28" w:type="dxa"/>
          <w:right w:w="28" w:type="dxa"/>
        </w:tblCellMar>
      </w:tblPr>
      <w:tblGrid>
        <w:gridCol w:w="1951"/>
        <w:gridCol w:w="406"/>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Dated: August 9,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Craig Conti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Craig Conti</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2745/000110465918041476/a18-15692_1ex2d1.htm" TargetMode="External"/><Relationship Id="rId3" Type="http://schemas.openxmlformats.org/officeDocument/2006/relationships/hyperlink" Target="https://www.sec.gov/Archives/edgar/data/1682745/000104746918005773/a2236552zex-2_2.htm" TargetMode="External"/><Relationship Id="rId4" Type="http://schemas.openxmlformats.org/officeDocument/2006/relationships/hyperlink" Target="https://www.sec.gov/Archives/edgar/data/1682745/000156459018024644/vrrm-ex31_941.htm" TargetMode="External"/><Relationship Id="rId5" Type="http://schemas.openxmlformats.org/officeDocument/2006/relationships/hyperlink" Target="https://www.sec.gov/Archives/edgar/data/1682745/000156459018024644/vrrm-ex32_939.htm" TargetMode="External"/><Relationship Id="rId6" Type="http://schemas.openxmlformats.org/officeDocument/2006/relationships/hyperlink" Target="https://www.sec.gov/Archives/edgar/data/1682745/000104746916017126/a2230401zex-4_2.htm" TargetMode="External"/><Relationship Id="rId7" Type="http://schemas.openxmlformats.org/officeDocument/2006/relationships/hyperlink" Target="https://www.sec.gov/Archives/edgar/data/1682745/000104746916017126/a2230401zex-4_3.htm" TargetMode="External"/><Relationship Id="rId8" Type="http://schemas.openxmlformats.org/officeDocument/2006/relationships/hyperlink" Target="https://www.sec.gov/Archives/edgar/data/1682745/000110465917003086/a17-2559_1ex4d1.htm" TargetMode="External"/><Relationship Id="rId9" Type="http://schemas.openxmlformats.org/officeDocument/2006/relationships/hyperlink" Target="https://www.sec.gov/Archives/edgar/data/1682745/000156459020008153/vrrm-ex44_298.htm" TargetMode="External"/><Relationship Id="rId10" Type="http://schemas.openxmlformats.org/officeDocument/2006/relationships/hyperlink" Target="https://www.sec.gov/Archives/edgar/data/1682745/000095017023021298/vrrm-ex4_1.htm" TargetMode="External"/><Relationship Id="rId11" Type="http://schemas.openxmlformats.org/officeDocument/2006/relationships/hyperlink" Target="https://www.sec.gov/Archives/edgar/data/1682745/000095017023003133/vrrm-ex10_1.htm" TargetMode="External"/><Relationship Id="rId12" Type="http://schemas.openxmlformats.org/officeDocument/2006/relationships/hyperlink" Target="https://www.sec.gov/Archives/edgar/data/1682745/000095017023003133/vrrm-ex10_2.htm" TargetMode="External"/><Relationship Id="rId13" Type="http://schemas.openxmlformats.org/officeDocument/2006/relationships/hyperlink" Target="https://www.sec.gov/Archives/edgar/data/1682745/000095017023003133/vrrm-ex10_3.htm" TargetMode="External"/><Relationship Id="rId14" Type="http://schemas.openxmlformats.org/officeDocument/2006/relationships/hyperlink" Target="https://www.sec.gov/Archives/edgar/data/1682745/000095017023003133/vrrm-ex10_4.htm" TargetMode="External"/><Relationship Id="rId15" Type="http://schemas.openxmlformats.org/officeDocument/2006/relationships/hyperlink" Target="https://www.sec.gov/Archives/edgar/data/1682745/000095017023003133/vrrm-ex10_5.htm" TargetMode="External"/><Relationship Id="rId16" Type="http://schemas.openxmlformats.org/officeDocument/2006/relationships/hyperlink" Target="https://www.sec.gov/Archives/edgar/data/1682745/000095017023003133/vrrm-ex10_6.htm" TargetMode="External"/><Relationship Id="rId17" Type="http://schemas.openxmlformats.org/officeDocument/2006/relationships/hyperlink" Target="https://www.sec.gov/Archives/edgar/data/1682745/000095017023003133/vrrm-ex10_7.htm" TargetMode="External"/><Relationship Id="rId18" Type="http://schemas.openxmlformats.org/officeDocument/2006/relationships/hyperlink" Target="https://www.sec.gov/Archives/edgar/data/1682745/000095017023017970/vrrm-ex10_8.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23832</Words>
  <Characters>129250</Characters>
  <CharactersWithSpaces>156454</CharactersWithSpaces>
  <Paragraphs>12195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