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4871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87172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DAVIS DOUGLAS LEE</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2046 RIVERVIEW AUTO DRIVE, SUITE 300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VERRA MOBILITY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VRRM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0" w:lineRule="exact"/>
        <w:rPr>
          <w:sz w:val="24"/>
          <w:szCs w:val="24"/>
          <w:color w:val="auto"/>
        </w:rPr>
      </w:pPr>
    </w:p>
    <w:p>
      <w:pPr>
        <w:sectPr>
          <w:pgSz w:w="11900" w:h="16838" w:orient="portrait"/>
          <w:cols w:equalWidth="0" w:num="3">
            <w:col w:w="3300" w:space="600"/>
            <w:col w:w="3116" w:space="720"/>
            <w:col w:w="3344"/>
          </w:cols>
          <w:pgMar w:left="460" w:top="216" w:right="359" w:bottom="1440" w:gutter="0" w:footer="0" w:header="0"/>
          <w:type w:val="continuous"/>
        </w:sectPr>
      </w:pPr>
    </w:p>
    <w:p>
      <w:pPr>
        <w:spacing w:after="0" w:line="22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MESA</w:t>
      </w:r>
      <w:r>
        <w:rPr>
          <w:sz w:val="20"/>
          <w:szCs w:val="20"/>
          <w:color w:val="auto"/>
        </w:rPr>
        <w:tab/>
      </w:r>
      <w:r>
        <w:rPr>
          <w:rFonts w:ascii="Times New Roman" w:cs="Times New Roman" w:eastAsia="Times New Roman" w:hAnsi="Times New Roman"/>
          <w:sz w:val="17"/>
          <w:szCs w:val="17"/>
          <w:color w:val="0000FF"/>
        </w:rPr>
        <w:t>AZ</w:t>
      </w:r>
      <w:r>
        <w:rPr>
          <w:sz w:val="20"/>
          <w:szCs w:val="20"/>
          <w:color w:val="auto"/>
        </w:rPr>
        <w:tab/>
      </w:r>
      <w:r>
        <w:rPr>
          <w:rFonts w:ascii="Times New Roman" w:cs="Times New Roman" w:eastAsia="Times New Roman" w:hAnsi="Times New Roman"/>
          <w:sz w:val="16"/>
          <w:szCs w:val="16"/>
          <w:color w:val="0000FF"/>
        </w:rPr>
        <w:t>85201</w:t>
      </w:r>
    </w:p>
    <w:p>
      <w:pPr>
        <w:spacing w:after="0" w:line="31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180" w:space="72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jc w:val="center"/>
              <w:ind w:left="655"/>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2"/>
          </w:tcPr>
          <w:p>
            <w:pPr>
              <w:jc w:val="center"/>
              <w:ind w:left="675"/>
              <w:spacing w:after="0"/>
              <w:rPr>
                <w:sz w:val="20"/>
                <w:szCs w:val="20"/>
                <w:color w:val="auto"/>
              </w:rPr>
            </w:pPr>
            <w:r>
              <w:rPr>
                <w:rFonts w:ascii="Times New Roman" w:cs="Times New Roman" w:eastAsia="Times New Roman" w:hAnsi="Times New Roman"/>
                <w:sz w:val="17"/>
                <w:szCs w:val="17"/>
                <w:color w:val="0000FF"/>
                <w:w w:val="98"/>
              </w:rPr>
              <w:t>05/18/2026</w:t>
            </w:r>
          </w:p>
        </w:tc>
        <w:tc>
          <w:tcPr>
            <w:tcW w:w="5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7,949</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180"/>
              <w:spacing w:after="0" w:line="305"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56,064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26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7,949</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05/18/2026</w:t>
            </w:r>
          </w:p>
        </w:tc>
        <w:tc>
          <w:tcPr>
            <w:tcW w:w="1100" w:type="dxa"/>
            <w:vAlign w:val="bottom"/>
          </w:tcPr>
          <w:p>
            <w:pPr>
              <w:spacing w:after="0"/>
              <w:rPr>
                <w:sz w:val="12"/>
                <w:szCs w:val="12"/>
                <w:color w:val="auto"/>
              </w:rPr>
            </w:pPr>
          </w:p>
        </w:tc>
        <w:tc>
          <w:tcPr>
            <w:tcW w:w="760" w:type="dxa"/>
            <w:vAlign w:val="bottom"/>
          </w:tcPr>
          <w:p>
            <w:pPr>
              <w:jc w:val="center"/>
              <w:ind w:right="301"/>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60" w:type="dxa"/>
            <w:vAlign w:val="bottom"/>
          </w:tcPr>
          <w:p>
            <w:pPr>
              <w:spacing w:after="0"/>
              <w:rPr>
                <w:sz w:val="12"/>
                <w:szCs w:val="12"/>
                <w:color w:val="auto"/>
              </w:rPr>
            </w:pPr>
          </w:p>
        </w:tc>
        <w:tc>
          <w:tcPr>
            <w:tcW w:w="44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7,949</w:t>
            </w: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8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26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14,683</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05/19/2026</w:t>
            </w:r>
          </w:p>
        </w:tc>
        <w:tc>
          <w:tcPr>
            <w:tcW w:w="1100" w:type="dxa"/>
            <w:vAlign w:val="bottom"/>
          </w:tcPr>
          <w:p>
            <w:pPr>
              <w:spacing w:after="0"/>
              <w:rPr>
                <w:sz w:val="12"/>
                <w:szCs w:val="12"/>
                <w:color w:val="auto"/>
              </w:rPr>
            </w:pPr>
          </w:p>
        </w:tc>
        <w:tc>
          <w:tcPr>
            <w:tcW w:w="760" w:type="dxa"/>
            <w:vAlign w:val="bottom"/>
          </w:tcPr>
          <w:p>
            <w:pPr>
              <w:jc w:val="center"/>
              <w:ind w:right="281"/>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00"/>
              <w:spacing w:after="0" w:line="141" w:lineRule="exact"/>
              <w:rPr>
                <w:sz w:val="20"/>
                <w:szCs w:val="20"/>
                <w:color w:val="auto"/>
              </w:rPr>
            </w:pPr>
            <w:r>
              <w:rPr>
                <w:rFonts w:ascii="Times New Roman" w:cs="Times New Roman" w:eastAsia="Times New Roman" w:hAnsi="Times New Roman"/>
                <w:sz w:val="13"/>
                <w:szCs w:val="13"/>
                <w:color w:val="0000FF"/>
              </w:rPr>
              <w:t>14,683</w:t>
            </w:r>
          </w:p>
        </w:tc>
        <w:tc>
          <w:tcPr>
            <w:tcW w:w="4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23"/>
              <w:spacing w:after="0" w:line="141" w:lineRule="exact"/>
              <w:rPr>
                <w:sz w:val="20"/>
                <w:szCs w:val="20"/>
                <w:color w:val="auto"/>
              </w:rPr>
            </w:pPr>
            <w:r>
              <w:rPr>
                <w:rFonts w:ascii="Times New Roman" w:cs="Times New Roman" w:eastAsia="Times New Roman" w:hAnsi="Times New Roman"/>
                <w:sz w:val="13"/>
                <w:szCs w:val="13"/>
                <w:color w:val="0000FF"/>
              </w:rPr>
              <w:t>14,683</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-2176145</wp:posOffset>
            </wp:positionV>
            <wp:extent cx="29210" cy="2181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81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Verra Mobility Corporation Class A Common Stock.</w:t>
      </w:r>
    </w:p>
    <w:p>
      <w:pPr>
        <w:spacing w:after="0" w:line="41" w:lineRule="exact"/>
        <w:rPr>
          <w:rFonts w:ascii="Times New Roman" w:cs="Times New Roman" w:eastAsia="Times New Roman" w:hAnsi="Times New Roman"/>
          <w:sz w:val="13"/>
          <w:szCs w:val="13"/>
          <w:color w:val="008000"/>
        </w:rPr>
      </w:pPr>
    </w:p>
    <w:p>
      <w:pPr>
        <w:ind w:left="40" w:right="4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20, 2025, the Reporting Person was granted 7,949 restricted stock units, vesting in full on the earlier of (a) May 20, 2026, or (b) the date immediately prior to the next annual meeting of the Issuer's stockholders occurring after the date of grant.</w:t>
      </w:r>
    </w:p>
    <w:p>
      <w:pPr>
        <w:spacing w:after="0" w:line="19" w:lineRule="exact"/>
        <w:rPr>
          <w:rFonts w:ascii="Times New Roman" w:cs="Times New Roman" w:eastAsia="Times New Roman" w:hAnsi="Times New Roman"/>
          <w:sz w:val="13"/>
          <w:szCs w:val="13"/>
          <w:color w:val="008000"/>
        </w:rPr>
      </w:pPr>
    </w:p>
    <w:p>
      <w:pPr>
        <w:ind w:left="40" w:right="36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19, 2026, the Reporting Person was granted 14,683 restricted stock units, vesting in full on the earlier of (a) May 19, 2027, or (b) the date immediately prior to the next annual meeting of the Issuer's stockholders occurring after the date of grant.</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6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Douglas L. Davis,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-10160</wp:posOffset>
            </wp:positionV>
            <wp:extent cx="1024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Jonathan Keyser, as Attorney-</w:t>
      </w:r>
      <w:r>
        <w:rPr>
          <w:sz w:val="20"/>
          <w:szCs w:val="20"/>
          <w:color w:val="auto"/>
        </w:rPr>
        <w:tab/>
      </w:r>
      <w:r>
        <w:rPr>
          <w:rFonts w:ascii="Times New Roman" w:cs="Times New Roman" w:eastAsia="Times New Roman" w:hAnsi="Times New Roman"/>
          <w:sz w:val="16"/>
          <w:szCs w:val="16"/>
          <w:color w:val="0000FF"/>
        </w:rPr>
        <w:t>05/20/2026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-17780</wp:posOffset>
            </wp:positionV>
            <wp:extent cx="18738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38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-17780</wp:posOffset>
            </wp:positionV>
            <wp:extent cx="298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8450"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71" w:lineRule="exact"/>
        <w:rPr>
          <w:sz w:val="20"/>
          <w:szCs w:val="20"/>
          <w:color w:val="auto"/>
        </w:rPr>
      </w:pPr>
    </w:p>
    <w:p>
      <w:pPr>
        <w:jc w:val="both"/>
        <w:spacing w:after="0" w:line="263" w:lineRule="exact"/>
        <w:rPr>
          <w:sz w:val="20"/>
          <w:szCs w:val="20"/>
          <w:color w:val="auto"/>
        </w:rPr>
      </w:pPr>
      <w:r>
        <w:rPr>
          <w:rFonts w:ascii="Times New Roman" w:cs="Times New Roman" w:eastAsia="Times New Roman" w:hAnsi="Times New Roman"/>
          <w:sz w:val="19"/>
          <w:szCs w:val="19"/>
          <w:color w:val="auto"/>
        </w:rPr>
        <w:t>The undersigned hereby makes, constitutes and appoints each of Jon Keyser and Craig Conti of Verra Mobility Corporation (the “Company”), and Irina Abbas of Hogan Lovells US LLP, or any of them acting singly, and with full power of substitution, re-substitution and delegation, the undersigned’s true and lawful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(each of such persons and their substitutes and delegees being referred to herein as the "Attorney-in-Fact"), with full power to act for the undersigned and in the undersigned's name, place and stead, in the undersigned’s capacity as an officer, director or stockholder of the Company, to:</w:t>
      </w:r>
    </w:p>
    <w:p>
      <w:pPr>
        <w:spacing w:after="0" w:line="272" w:lineRule="exact"/>
        <w:rPr>
          <w:sz w:val="20"/>
          <w:szCs w:val="20"/>
          <w:color w:val="auto"/>
        </w:rPr>
      </w:pPr>
    </w:p>
    <w:p>
      <w:pPr>
        <w:jc w:val="both"/>
        <w:ind w:left="620" w:hanging="312"/>
        <w:spacing w:after="0" w:line="241"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383" w:lineRule="exact"/>
        <w:rPr>
          <w:rFonts w:ascii="Times New Roman" w:cs="Times New Roman" w:eastAsia="Times New Roman" w:hAnsi="Times New Roman"/>
          <w:sz w:val="19"/>
          <w:szCs w:val="19"/>
          <w:color w:val="auto"/>
        </w:rPr>
      </w:pPr>
    </w:p>
    <w:p>
      <w:pPr>
        <w:jc w:val="both"/>
        <w:ind w:left="620" w:hanging="312"/>
        <w:spacing w:after="0" w:line="241"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383" w:lineRule="exact"/>
        <w:rPr>
          <w:rFonts w:ascii="Times New Roman" w:cs="Times New Roman" w:eastAsia="Times New Roman" w:hAnsi="Times New Roman"/>
          <w:sz w:val="19"/>
          <w:szCs w:val="19"/>
          <w:color w:val="auto"/>
        </w:rPr>
      </w:pPr>
    </w:p>
    <w:p>
      <w:pPr>
        <w:ind w:left="620" w:hanging="312"/>
        <w:spacing w:after="0" w:line="264"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xml:space="preserve"> below;</w:t>
      </w:r>
    </w:p>
    <w:p>
      <w:pPr>
        <w:spacing w:after="0" w:line="361" w:lineRule="exact"/>
        <w:rPr>
          <w:rFonts w:ascii="Times New Roman" w:cs="Times New Roman" w:eastAsia="Times New Roman" w:hAnsi="Times New Roman"/>
          <w:sz w:val="19"/>
          <w:szCs w:val="19"/>
          <w:color w:val="auto"/>
        </w:rPr>
      </w:pPr>
    </w:p>
    <w:p>
      <w:pPr>
        <w:ind w:left="620" w:hanging="312"/>
        <w:spacing w:after="0"/>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File, submit or otherwise deliver SEC Filings to any securities exchange on which the Company’s securities may be listed or traded;</w:t>
      </w:r>
    </w:p>
    <w:p>
      <w:pPr>
        <w:spacing w:after="0" w:line="200" w:lineRule="exact"/>
        <w:rPr>
          <w:rFonts w:ascii="Times New Roman" w:cs="Times New Roman" w:eastAsia="Times New Roman" w:hAnsi="Times New Roman"/>
          <w:sz w:val="19"/>
          <w:szCs w:val="19"/>
          <w:color w:val="auto"/>
        </w:rPr>
      </w:pPr>
    </w:p>
    <w:p>
      <w:pPr>
        <w:spacing w:after="0" w:line="206" w:lineRule="exact"/>
        <w:rPr>
          <w:rFonts w:ascii="Times New Roman" w:cs="Times New Roman" w:eastAsia="Times New Roman" w:hAnsi="Times New Roman"/>
          <w:sz w:val="19"/>
          <w:szCs w:val="19"/>
          <w:color w:val="auto"/>
        </w:rPr>
      </w:pPr>
    </w:p>
    <w:p>
      <w:pPr>
        <w:jc w:val="both"/>
        <w:ind w:left="620" w:hanging="312"/>
        <w:spacing w:after="0" w:line="241"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383" w:lineRule="exact"/>
        <w:rPr>
          <w:rFonts w:ascii="Times New Roman" w:cs="Times New Roman" w:eastAsia="Times New Roman" w:hAnsi="Times New Roman"/>
          <w:sz w:val="19"/>
          <w:szCs w:val="19"/>
          <w:color w:val="auto"/>
        </w:rPr>
      </w:pPr>
    </w:p>
    <w:p>
      <w:pPr>
        <w:jc w:val="both"/>
        <w:ind w:left="620" w:hanging="312"/>
        <w:spacing w:after="0" w:line="244"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392" w:lineRule="exact"/>
        <w:rPr>
          <w:rFonts w:ascii="Times New Roman" w:cs="Times New Roman" w:eastAsia="Times New Roman" w:hAnsi="Times New Roman"/>
          <w:sz w:val="19"/>
          <w:szCs w:val="19"/>
          <w:color w:val="auto"/>
        </w:rPr>
      </w:pPr>
    </w:p>
    <w:p>
      <w:pPr>
        <w:jc w:val="both"/>
        <w:ind w:left="620" w:right="20" w:hanging="312"/>
        <w:spacing w:after="0" w:line="244"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00" w:lineRule="exact"/>
        <w:rPr>
          <w:sz w:val="20"/>
          <w:szCs w:val="20"/>
          <w:color w:val="auto"/>
        </w:rPr>
      </w:pPr>
    </w:p>
    <w:p>
      <w:pPr>
        <w:spacing w:after="0" w:line="20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9"/>
          <w:szCs w:val="19"/>
          <w:color w:val="auto"/>
        </w:rPr>
        <w:t>The undersigned acknowledges that:</w:t>
      </w:r>
    </w:p>
    <w:p>
      <w:pPr>
        <w:spacing w:after="0" w:line="241" w:lineRule="exact"/>
        <w:rPr>
          <w:sz w:val="20"/>
          <w:szCs w:val="20"/>
          <w:color w:val="auto"/>
        </w:rPr>
      </w:pPr>
    </w:p>
    <w:p>
      <w:pPr>
        <w:ind w:left="1080" w:hanging="299"/>
        <w:spacing w:after="0" w:line="250" w:lineRule="auto"/>
        <w:tabs>
          <w:tab w:leader="none" w:pos="108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Power of Attorney authorizes, but does not require, the Attorney-in-Fact to act in his or her discretion on information provided to such Attorney-in-Fact without independent verification of such information;</w:t>
      </w:r>
    </w:p>
    <w:p>
      <w:pPr>
        <w:spacing w:after="0" w:line="387" w:lineRule="exact"/>
        <w:rPr>
          <w:rFonts w:ascii="Times New Roman" w:cs="Times New Roman" w:eastAsia="Times New Roman" w:hAnsi="Times New Roman"/>
          <w:sz w:val="19"/>
          <w:szCs w:val="19"/>
          <w:color w:val="auto"/>
        </w:rPr>
      </w:pPr>
    </w:p>
    <w:p>
      <w:pPr>
        <w:ind w:left="1080" w:hanging="299"/>
        <w:spacing w:after="0" w:line="29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34" w:lineRule="exact"/>
        <w:rPr>
          <w:rFonts w:ascii="Times New Roman" w:cs="Times New Roman" w:eastAsia="Times New Roman" w:hAnsi="Times New Roman"/>
          <w:sz w:val="18"/>
          <w:szCs w:val="18"/>
          <w:color w:val="auto"/>
        </w:rPr>
      </w:pPr>
    </w:p>
    <w:p>
      <w:pPr>
        <w:jc w:val="both"/>
        <w:ind w:left="1080" w:hanging="299"/>
        <w:spacing w:after="0" w:line="247" w:lineRule="auto"/>
        <w:tabs>
          <w:tab w:leader="none" w:pos="108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85" w:lineRule="exact"/>
        <w:rPr>
          <w:rFonts w:ascii="Times New Roman" w:cs="Times New Roman" w:eastAsia="Times New Roman" w:hAnsi="Times New Roman"/>
          <w:sz w:val="19"/>
          <w:szCs w:val="19"/>
          <w:color w:val="auto"/>
        </w:rPr>
      </w:pPr>
    </w:p>
    <w:p>
      <w:pPr>
        <w:jc w:val="both"/>
        <w:ind w:left="1080" w:hanging="299"/>
        <w:spacing w:after="0" w:line="251" w:lineRule="auto"/>
        <w:tabs>
          <w:tab w:leader="none" w:pos="108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95" w:lineRule="exact"/>
        <w:rPr>
          <w:sz w:val="20"/>
          <w:szCs w:val="20"/>
          <w:color w:val="auto"/>
        </w:rPr>
      </w:pPr>
    </w:p>
    <w:p>
      <w:pPr>
        <w:jc w:val="both"/>
        <w:ind w:firstLine="779"/>
        <w:spacing w:after="0" w:line="265" w:lineRule="auto"/>
        <w:rPr>
          <w:sz w:val="20"/>
          <w:szCs w:val="20"/>
          <w:color w:val="auto"/>
        </w:rPr>
      </w:pPr>
      <w:r>
        <w:rPr>
          <w:rFonts w:ascii="Times New Roman" w:cs="Times New Roman" w:eastAsia="Times New Roman" w:hAnsi="Times New Roman"/>
          <w:sz w:val="19"/>
          <w:szCs w:val="19"/>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209" w:lineRule="exact"/>
        <w:rPr>
          <w:sz w:val="20"/>
          <w:szCs w:val="20"/>
          <w:color w:val="auto"/>
        </w:rPr>
      </w:pPr>
    </w:p>
    <w:p>
      <w:pPr>
        <w:jc w:val="both"/>
        <w:ind w:firstLine="779"/>
        <w:spacing w:after="0" w:line="265"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ectPr>
          <w:pgSz w:w="11900" w:h="16918" w:orient="portrait"/>
          <w:cols w:equalWidth="0" w:num="1">
            <w:col w:w="10980"/>
          </w:cols>
          <w:pgMar w:left="460" w:top="561" w:right="45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9"/>
          <w:szCs w:val="19"/>
          <w:color w:val="auto"/>
        </w:rPr>
        <w:t>IN WITNESS WHEREOF, the undersigned has executed this Power of Attorney as of May 8, 2026.</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/s/ Douglas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5512435</wp:posOffset>
            </wp:positionH>
            <wp:positionV relativeFrom="paragraph">
              <wp:posOffset>-4445</wp:posOffset>
            </wp:positionV>
            <wp:extent cx="9632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963295" cy="8255"/>
                    </a:xfrm>
                    <a:prstGeom prst="rect">
                      <a:avLst/>
                    </a:prstGeom>
                    <a:noFill/>
                  </pic:spPr>
                </pic:pic>
              </a:graphicData>
            </a:graphic>
          </wp:anchor>
        </w:drawing>
      </w:r>
    </w:p>
    <w:p>
      <w:pPr>
        <w:spacing w:after="0" w:line="10"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9"/>
          <w:szCs w:val="19"/>
          <w:color w:val="auto"/>
        </w:rPr>
        <w:t>Douglas Davis</w:t>
      </w:r>
    </w:p>
    <w:sectPr>
      <w:pgSz w:w="11900" w:h="16838" w:orient="portrait"/>
      <w:cols w:equalWidth="0" w:num="1">
        <w:col w:w="10020"/>
      </w:cols>
      <w:pgMar w:left="1240" w:top="361"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81000" TargetMode="External"/><Relationship Id="rId14" Type="http://schemas.openxmlformats.org/officeDocument/2006/relationships/hyperlink" Target="http://www.sec.gov/cgi-bin/browse-edgar?action=getcompany&amp;CIK=00016827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2026-05-20T16:21:12Z</dcterms:created>
  <dcterms:modified xsi:type="dcterms:W3CDTF">2026-05-20T16:21:12Z</dcterms:modified>
</cp:coreProperties>
</file>