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-228600</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96520</wp:posOffset>
            </wp:positionV>
            <wp:extent cx="1903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780" w:right="1700" w:hanging="3772"/>
        <w:spacing w:after="0" w:line="266" w:lineRule="auto"/>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300" w:right="1700" w:hanging="3292"/>
        <w:spacing w:after="0" w:line="336" w:lineRule="auto"/>
        <w:tabs>
          <w:tab w:leader="none" w:pos="36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80010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VERRA MOBILITY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Exact name of registrant as specified in its charter</w:t>
      </w:r>
      <w:r>
        <w:rPr>
          <w:rFonts w:ascii="Times New Roman" w:cs="Times New Roman" w:eastAsia="Times New Roman" w:hAnsi="Times New Roman"/>
          <w:sz w:val="17"/>
          <w:szCs w:val="17"/>
          <w:color w:val="auto"/>
        </w:rPr>
        <w:t>)</w:t>
      </w:r>
    </w:p>
    <w:p>
      <w:pPr>
        <w:spacing w:after="0" w:line="207" w:lineRule="exact"/>
        <w:rPr>
          <w:sz w:val="24"/>
          <w:szCs w:val="24"/>
          <w:color w:val="auto"/>
        </w:rPr>
      </w:pPr>
    </w:p>
    <w:tbl>
      <w:tblPr>
        <w:tblLayout w:type="fixed"/>
        <w:tblInd w:w="1400" w:type="dxa"/>
        <w:tblCellMar>
          <w:top w:w="0" w:type="dxa"/>
          <w:left w:w="0" w:type="dxa"/>
          <w:bottom w:w="0" w:type="dxa"/>
          <w:right w:w="0" w:type="dxa"/>
        </w:tblCellMar>
      </w:tblPr>
      <w:tr>
        <w:trPr>
          <w:trHeight w:val="190"/>
        </w:trPr>
        <w:tc>
          <w:tcPr>
            <w:tcW w:w="27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Delaware</w:t>
            </w:r>
          </w:p>
        </w:tc>
        <w:tc>
          <w:tcPr>
            <w:tcW w:w="300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jc w:val="right"/>
              <w:ind w:right="135"/>
              <w:spacing w:after="0" w:line="190" w:lineRule="exact"/>
              <w:rPr>
                <w:sz w:val="20"/>
                <w:szCs w:val="20"/>
                <w:color w:val="auto"/>
              </w:rPr>
            </w:pPr>
            <w:r>
              <w:rPr>
                <w:rFonts w:ascii="Times New Roman" w:cs="Times New Roman" w:eastAsia="Times New Roman" w:hAnsi="Times New Roman"/>
                <w:sz w:val="17"/>
                <w:szCs w:val="17"/>
                <w:b w:val="1"/>
                <w:bCs w:val="1"/>
                <w:color w:val="auto"/>
              </w:rPr>
              <w:t>81-3563824</w:t>
            </w:r>
          </w:p>
        </w:tc>
      </w:tr>
      <w:tr>
        <w:trPr>
          <w:trHeight w:val="203"/>
        </w:trPr>
        <w:tc>
          <w:tcPr>
            <w:tcW w:w="628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State or other jurisdiction of</w:t>
            </w:r>
          </w:p>
        </w:tc>
        <w:tc>
          <w:tcPr>
            <w:tcW w:w="142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I.R.S. Employer</w:t>
            </w:r>
          </w:p>
        </w:tc>
      </w:tr>
      <w:tr>
        <w:trPr>
          <w:trHeight w:val="226"/>
        </w:trPr>
        <w:tc>
          <w:tcPr>
            <w:tcW w:w="628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i w:val="1"/>
                <w:iCs w:val="1"/>
                <w:color w:val="auto"/>
                <w:w w:val="99"/>
              </w:rPr>
              <w:t>incorporation or organization</w:t>
            </w:r>
            <w:r>
              <w:rPr>
                <w:rFonts w:ascii="Times New Roman" w:cs="Times New Roman" w:eastAsia="Times New Roman" w:hAnsi="Times New Roman"/>
                <w:sz w:val="17"/>
                <w:szCs w:val="17"/>
                <w:color w:val="auto"/>
                <w:w w:val="99"/>
              </w:rPr>
              <w:t>)</w:t>
            </w:r>
          </w:p>
        </w:tc>
        <w:tc>
          <w:tcPr>
            <w:tcW w:w="1420" w:type="dxa"/>
            <w:vAlign w:val="bottom"/>
          </w:tcPr>
          <w:p>
            <w:pPr>
              <w:jc w:val="center"/>
              <w:ind w:left="75"/>
              <w:spacing w:after="0"/>
              <w:rPr>
                <w:sz w:val="20"/>
                <w:szCs w:val="20"/>
                <w:color w:val="auto"/>
              </w:rPr>
            </w:pPr>
            <w:r>
              <w:rPr>
                <w:rFonts w:ascii="Times New Roman" w:cs="Times New Roman" w:eastAsia="Times New Roman" w:hAnsi="Times New Roman"/>
                <w:sz w:val="17"/>
                <w:szCs w:val="17"/>
                <w:i w:val="1"/>
                <w:iCs w:val="1"/>
                <w:color w:val="auto"/>
              </w:rPr>
              <w:t>Identification No.</w:t>
            </w:r>
            <w:r>
              <w:rPr>
                <w:rFonts w:ascii="Times New Roman" w:cs="Times New Roman" w:eastAsia="Times New Roman" w:hAnsi="Times New Roman"/>
                <w:sz w:val="17"/>
                <w:szCs w:val="17"/>
                <w:color w:val="auto"/>
              </w:rPr>
              <w:t>)</w:t>
            </w:r>
          </w:p>
        </w:tc>
      </w:tr>
      <w:tr>
        <w:trPr>
          <w:trHeight w:val="381"/>
        </w:trPr>
        <w:tc>
          <w:tcPr>
            <w:tcW w:w="628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1150 North Alma School Road</w:t>
            </w:r>
          </w:p>
        </w:tc>
        <w:tc>
          <w:tcPr>
            <w:tcW w:w="142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85201</w:t>
            </w:r>
          </w:p>
        </w:tc>
      </w:tr>
      <w:tr>
        <w:trPr>
          <w:trHeight w:val="203"/>
        </w:trPr>
        <w:tc>
          <w:tcPr>
            <w:tcW w:w="628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Mesa, Arizona</w:t>
            </w:r>
          </w:p>
        </w:tc>
        <w:tc>
          <w:tcPr>
            <w:tcW w:w="142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Zip Code</w:t>
            </w:r>
            <w:r>
              <w:rPr>
                <w:rFonts w:ascii="Times New Roman" w:cs="Times New Roman" w:eastAsia="Times New Roman" w:hAnsi="Times New Roman"/>
                <w:sz w:val="17"/>
                <w:szCs w:val="17"/>
                <w:color w:val="auto"/>
                <w:w w:val="99"/>
              </w:rPr>
              <w:t>)</w:t>
            </w:r>
          </w:p>
        </w:tc>
      </w:tr>
      <w:tr>
        <w:trPr>
          <w:trHeight w:val="226"/>
        </w:trPr>
        <w:tc>
          <w:tcPr>
            <w:tcW w:w="6280" w:type="dxa"/>
            <w:vAlign w:val="bottom"/>
            <w:gridSpan w:val="3"/>
          </w:tcPr>
          <w:p>
            <w:pPr>
              <w:jc w:val="center"/>
              <w:ind w:right="3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Address of Principal Executive Offices</w:t>
            </w:r>
            <w:r>
              <w:rPr>
                <w:rFonts w:ascii="Times New Roman" w:cs="Times New Roman" w:eastAsia="Times New Roman" w:hAnsi="Times New Roman"/>
                <w:sz w:val="17"/>
                <w:szCs w:val="17"/>
                <w:color w:val="auto"/>
              </w:rPr>
              <w:t>)</w:t>
            </w:r>
          </w:p>
        </w:tc>
        <w:tc>
          <w:tcPr>
            <w:tcW w:w="1420" w:type="dxa"/>
            <w:vAlign w:val="bottom"/>
          </w:tcPr>
          <w:p>
            <w:pPr>
              <w:spacing w:after="0"/>
              <w:rPr>
                <w:sz w:val="19"/>
                <w:szCs w:val="19"/>
                <w:color w:val="auto"/>
              </w:rPr>
            </w:pPr>
          </w:p>
        </w:tc>
      </w:tr>
      <w:tr>
        <w:trPr>
          <w:trHeight w:val="246"/>
        </w:trPr>
        <w:tc>
          <w:tcPr>
            <w:tcW w:w="5720" w:type="dxa"/>
            <w:vAlign w:val="bottom"/>
            <w:gridSpan w:val="2"/>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rPr>
              <w:t>(480) 443-7000</w:t>
            </w:r>
          </w:p>
        </w:tc>
        <w:tc>
          <w:tcPr>
            <w:tcW w:w="5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6"/>
        </w:trPr>
        <w:tc>
          <w:tcPr>
            <w:tcW w:w="6280" w:type="dxa"/>
            <w:vAlign w:val="bottom"/>
            <w:gridSpan w:val="3"/>
          </w:tcPr>
          <w:p>
            <w:pPr>
              <w:jc w:val="center"/>
              <w:ind w:left="209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Registrant’s Telephone Number, Including Area Code</w:t>
            </w:r>
            <w:r>
              <w:rPr>
                <w:rFonts w:ascii="Times New Roman" w:cs="Times New Roman" w:eastAsia="Times New Roman" w:hAnsi="Times New Roman"/>
                <w:sz w:val="17"/>
                <w:szCs w:val="17"/>
                <w:color w:val="auto"/>
              </w:rPr>
              <w:t>)</w:t>
            </w:r>
          </w:p>
        </w:tc>
        <w:tc>
          <w:tcPr>
            <w:tcW w:w="14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348" w:right="339" w:bottom="1440" w:gutter="0" w:footer="0" w:header="0"/>
        </w:sectPr>
      </w:pPr>
    </w:p>
    <w:p>
      <w:pPr>
        <w:spacing w:after="0" w:line="84"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Symbol)</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48" w:lineRule="exact"/>
        <w:rPr>
          <w:sz w:val="24"/>
          <w:szCs w:val="24"/>
          <w:color w:val="auto"/>
        </w:rPr>
      </w:pPr>
    </w:p>
    <w:p>
      <w:pPr>
        <w:sectPr>
          <w:pgSz w:w="11900" w:h="16838" w:orient="portrait"/>
          <w:cols w:equalWidth="0" w:num="3">
            <w:col w:w="4520" w:space="720"/>
            <w:col w:w="1500" w:space="720"/>
            <w:col w:w="3780"/>
          </w:cols>
          <w:pgMar w:left="320" w:top="1348"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b w:val="1"/>
          <w:bCs w:val="1"/>
          <w:color w:val="auto"/>
        </w:rPr>
        <w:t>Class A 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VRRM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Nasdaq Capital Market</w:t>
      </w:r>
    </w:p>
    <w:p>
      <w:pPr>
        <w:spacing w:after="0" w:line="133" w:lineRule="exact"/>
        <w:rPr>
          <w:sz w:val="24"/>
          <w:szCs w:val="24"/>
          <w:color w:val="auto"/>
        </w:rPr>
      </w:pPr>
    </w:p>
    <w:p>
      <w:pPr>
        <w:sectPr>
          <w:pgSz w:w="11900" w:h="16838" w:orient="portrait"/>
          <w:cols w:equalWidth="0" w:num="3">
            <w:col w:w="4860" w:space="720"/>
            <w:col w:w="1940" w:space="720"/>
            <w:col w:w="3000"/>
          </w:cols>
          <w:pgMar w:left="320" w:top="1348" w:right="339" w:bottom="1440" w:gutter="0" w:footer="0" w:header="0"/>
          <w:type w:val="continuous"/>
        </w:sect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5120" w:type="dxa"/>
            <w:vAlign w:val="bottom"/>
          </w:tcPr>
          <w:p>
            <w:pPr>
              <w:ind w:left="2960"/>
              <w:spacing w:after="0"/>
              <w:rPr>
                <w:sz w:val="20"/>
                <w:szCs w:val="20"/>
                <w:color w:val="auto"/>
              </w:rPr>
            </w:pPr>
            <w:r>
              <w:rPr>
                <w:rFonts w:ascii="Times New Roman" w:cs="Times New Roman" w:eastAsia="Times New Roman" w:hAnsi="Times New Roman"/>
                <w:sz w:val="17"/>
                <w:szCs w:val="17"/>
                <w:color w:val="auto"/>
              </w:rPr>
              <w:t>Accelerated filer</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5120" w:type="dxa"/>
            <w:vAlign w:val="bottom"/>
          </w:tcPr>
          <w:p>
            <w:pPr>
              <w:ind w:left="29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20" w:type="dxa"/>
            <w:vAlign w:val="bottom"/>
          </w:tcPr>
          <w:p>
            <w:pPr>
              <w:ind w:left="2960"/>
              <w:spacing w:after="0"/>
              <w:rPr>
                <w:sz w:val="20"/>
                <w:szCs w:val="20"/>
                <w:color w:val="auto"/>
              </w:rPr>
            </w:pPr>
            <w:r>
              <w:rPr>
                <w:rFonts w:ascii="Times New Roman" w:cs="Times New Roman" w:eastAsia="Times New Roman" w:hAnsi="Times New Roman"/>
                <w:sz w:val="17"/>
                <w:szCs w:val="17"/>
                <w:color w:val="auto"/>
              </w:rPr>
              <w:t>Emerging growth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89" w:lineRule="exact"/>
        <w:rPr>
          <w:sz w:val="24"/>
          <w:szCs w:val="24"/>
          <w:color w:val="auto"/>
        </w:rPr>
      </w:pPr>
    </w:p>
    <w:p>
      <w:pPr>
        <w:ind w:right="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May 5, 2025, there were 159,428,683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40" w:type="dxa"/>
            <w:vAlign w:val="bottom"/>
            <w:gridSpan w:val="7"/>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VERRA MOBILITY CORPORATION</w:t>
            </w:r>
          </w:p>
        </w:tc>
        <w:tc>
          <w:tcPr>
            <w:tcW w:w="1680" w:type="dxa"/>
            <w:vAlign w:val="bottom"/>
          </w:tcPr>
          <w:p>
            <w:pPr>
              <w:spacing w:after="0"/>
              <w:rPr>
                <w:sz w:val="20"/>
                <w:szCs w:val="20"/>
                <w:color w:val="auto"/>
              </w:rPr>
            </w:pPr>
          </w:p>
        </w:tc>
      </w:tr>
      <w:tr>
        <w:trPr>
          <w:trHeight w:val="392"/>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60" w:type="dxa"/>
            <w:vAlign w:val="bottom"/>
            <w:gridSpan w:val="6"/>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68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20" w:type="dxa"/>
            <w:vAlign w:val="bottom"/>
            <w:gridSpan w:val="8"/>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2025</w:t>
            </w:r>
          </w:p>
        </w:tc>
        <w:tc>
          <w:tcPr>
            <w:tcW w:w="168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40" w:type="dxa"/>
            <w:vAlign w:val="bottom"/>
            <w:gridSpan w:val="7"/>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680" w:type="dxa"/>
            <w:vAlign w:val="bottom"/>
          </w:tcPr>
          <w:p>
            <w:pPr>
              <w:spacing w:after="0"/>
              <w:rPr>
                <w:sz w:val="24"/>
                <w:szCs w:val="24"/>
                <w:color w:val="auto"/>
              </w:rPr>
            </w:pPr>
          </w:p>
        </w:tc>
      </w:tr>
      <w:tr>
        <w:trPr>
          <w:trHeight w:val="391"/>
        </w:trPr>
        <w:tc>
          <w:tcPr>
            <w:tcW w:w="32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6360" w:type="dxa"/>
            <w:vAlign w:val="bottom"/>
            <w:gridSpan w:val="9"/>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tcBorders>
              <w:right w:val="single" w:sz="8" w:color="0000EE"/>
            </w:tcBorders>
            <w:gridSpan w:val="3"/>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29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II—OTHER INFORMATION</w:t>
            </w:r>
          </w:p>
        </w:tc>
        <w:tc>
          <w:tcPr>
            <w:tcW w:w="6660" w:type="dxa"/>
            <w:vAlign w:val="bottom"/>
            <w:gridSpan w:val="10"/>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Use of Proceeds, and Issuer Purchases of Equity Securities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4820" w:type="dxa"/>
            <w:vAlign w:val="bottom"/>
            <w:gridSpan w:val="7"/>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320" w:type="dxa"/>
            <w:vAlign w:val="bottom"/>
            <w:gridSpan w:val="8"/>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880" w:type="dxa"/>
            <w:vAlign w:val="bottom"/>
            <w:gridSpan w:val="11"/>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60" w:type="dxa"/>
            <w:vAlign w:val="bottom"/>
            <w:gridSpan w:val="1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SIGNATURES</w:t>
            </w:r>
          </w:p>
        </w:tc>
        <w:tc>
          <w:tcPr>
            <w:tcW w:w="8380" w:type="dxa"/>
            <w:vAlign w:val="bottom"/>
            <w:gridSpan w:val="16"/>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668"/>
        </w:trPr>
        <w:tc>
          <w:tcPr>
            <w:tcW w:w="6700" w:type="dxa"/>
            <w:vAlign w:val="bottom"/>
            <w:gridSpan w:val="16"/>
          </w:tcPr>
          <w:p>
            <w:pPr>
              <w:jc w:val="center"/>
              <w:ind w:left="4450"/>
              <w:spacing w:after="0"/>
              <w:rPr>
                <w:sz w:val="20"/>
                <w:szCs w:val="20"/>
                <w:color w:val="auto"/>
              </w:rPr>
            </w:pPr>
            <w:r>
              <w:rPr>
                <w:rFonts w:ascii="Times New Roman" w:cs="Times New Roman" w:eastAsia="Times New Roman" w:hAnsi="Times New Roman"/>
                <w:sz w:val="18"/>
                <w:szCs w:val="18"/>
                <w:color w:val="auto"/>
                <w:w w:val="88"/>
              </w:rPr>
              <w:t>2</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contains forward-looking statements within the meaning of Section 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All statements contained in this Report other than statements of historical fact, including statements regarding our future operating results and financial position, our business strategy and plans, products, services,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future events and trends discussed in this Report may not occur and actual results could differ materially and adversely from those anticipated or implied in the forward-looking statements. Factors that could cause actual results to differ include the risks and uncertainties described in Part I, Item 1A. “Risk Factors” of our Annual Report on Form 10-K for the year ended December 31, 2024 (our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Part II, Item 1A. of this Quarterly Report, and in other filings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which highlight, among other risks:</w:t>
      </w:r>
    </w:p>
    <w:p>
      <w:pPr>
        <w:spacing w:after="0" w:line="72" w:lineRule="exact"/>
        <w:rPr>
          <w:sz w:val="20"/>
          <w:szCs w:val="20"/>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industry and macroeconomic conditions, including the impact of government actions and regulations, such as tariffs and trade protection measures, on our customers or us may materially and adversely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in our Commercial Services and Government Solutions segments, including risks impacting these segments such as travel demand and legislation, and risks relating to our contract with NYCDOT (defined below), which comprises a material portion of our revenue. We extended our current contract with NYCDOT through December 31, 2025 to allow NYCDOT to continue to operate its automated enforcement program. On March 31, 2025, NYCDOT announced that it identified the Company as the vendor to manage New York City’s automated enforcement camera safety programs for an expected five-year period after the Company’s current contract expires in December 2025. The New York City automated enforcement program remains an active procurement. We are currently engaged in contract negotiations with NYCDOT and if the contract terms and pricing are materially different from our current contract, or if the parties ultimately fail to consummate a new agreement, it could have a material adverse effect on our business, financial condition and results of operations;</w:t>
      </w:r>
    </w:p>
    <w:p>
      <w:pPr>
        <w:spacing w:after="0" w:line="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specialized third-party providers;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government contracts, including legislative changes, termination rights, delays in payments, audits and investigations;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prevalence or political acceptance of, or an increase in governmental restrictions regarding, automated and other similar methods of photo enforcement, parking solutions or the use of tolling;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acquisition strategy or integrate acquisitions;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highly competitive and rapidly evolving market, including our ability to keep up with technological developments and changing customer preferences;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or breaches of our networks or systems, including as a result of cyber-attacks or other incidents;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acquire necessary intellectual property or adequately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litigation and other disputes and regulatory investigations;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substantial level of indebtedness.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operate in a very competitive and rapidly changing environment and new risks emerge from time to time. The forward-looking statements in this Report represent our views as of the date hereof. Except as may be required by law, we undertake no obligation to update any of these forward-looking statements for any reason or to conform these statements to actual results or revised expectations.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Report or any other report or document we file with the SEC. Any reference to our website in this Report is intended to be an inactive textual reference only.</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the terms “Verra Mobility,” the “Company,” “we,” “us,” and “our” as used in this Report refer to Verra Mobility Corporation, a Delaware corporation, and its subsidiaries taken as a whole.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2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108,453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77,560</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Pr>
          <w:p>
            <w:pPr>
              <w:spacing w:after="0"/>
              <w:rPr>
                <w:sz w:val="18"/>
                <w:szCs w:val="18"/>
                <w:color w:val="auto"/>
              </w:rPr>
            </w:pPr>
          </w:p>
        </w:tc>
      </w:tr>
      <w:tr>
        <w:trPr>
          <w:trHeight w:val="198"/>
        </w:trPr>
        <w:tc>
          <w:tcPr>
            <w:tcW w:w="7440" w:type="dxa"/>
            <w:vAlign w:val="bottom"/>
            <w:gridSpan w:val="2"/>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$18.7 million and</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$17.0 million at March 31, 2025 and December 31, 2024, respectively)</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212,109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206,503</w:t>
            </w:r>
          </w:p>
        </w:tc>
        <w:tc>
          <w:tcPr>
            <w:tcW w:w="120" w:type="dxa"/>
            <w:vAlign w:val="bottom"/>
            <w:shd w:val="clear" w:color="auto" w:fill="CFF0FC"/>
          </w:tcPr>
          <w:p>
            <w:pPr>
              <w:spacing w:after="0"/>
              <w:rPr>
                <w:sz w:val="20"/>
                <w:szCs w:val="20"/>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48,193</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120" w:type="dxa"/>
            <w:vAlign w:val="bottom"/>
          </w:tcPr>
          <w:p>
            <w:pPr>
              <w:spacing w:after="0"/>
              <w:rPr>
                <w:sz w:val="18"/>
                <w:szCs w:val="18"/>
                <w:color w:val="auto"/>
              </w:rPr>
            </w:pPr>
          </w:p>
        </w:tc>
      </w:tr>
      <w:tr>
        <w:trPr>
          <w:trHeight w:val="210"/>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426,051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393,999</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36,631</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154,108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141,601</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29,895</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216,013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232,297</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735,615</w:t>
            </w:r>
          </w:p>
        </w:tc>
        <w:tc>
          <w:tcPr>
            <w:tcW w:w="120" w:type="dxa"/>
            <w:vAlign w:val="bottom"/>
          </w:tcPr>
          <w:p>
            <w:pPr>
              <w:spacing w:after="0"/>
              <w:rPr>
                <w:sz w:val="18"/>
                <w:szCs w:val="18"/>
                <w:color w:val="auto"/>
              </w:rPr>
            </w:pPr>
          </w:p>
        </w:tc>
      </w:tr>
      <w:tr>
        <w:trPr>
          <w:trHeight w:val="216"/>
        </w:trPr>
        <w:tc>
          <w:tcPr>
            <w:tcW w:w="74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44,451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1,643,100</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1,614,489</w:t>
            </w:r>
          </w:p>
        </w:tc>
        <w:tc>
          <w:tcPr>
            <w:tcW w:w="120" w:type="dxa"/>
            <w:vAlign w:val="bottom"/>
          </w:tcPr>
          <w:p>
            <w:pPr>
              <w:spacing w:after="0"/>
              <w:rPr>
                <w:sz w:val="18"/>
                <w:szCs w:val="18"/>
                <w:color w:val="auto"/>
              </w:rPr>
            </w:pPr>
          </w:p>
        </w:tc>
      </w:tr>
      <w:tr>
        <w:trPr>
          <w:trHeight w:val="20"/>
        </w:trPr>
        <w:tc>
          <w:tcPr>
            <w:tcW w:w="22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4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91,224</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29,374</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73,980</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receivable agreement liability, current portion</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20" w:type="dxa"/>
            <w:vAlign w:val="bottom"/>
          </w:tcPr>
          <w:p>
            <w:pPr>
              <w:spacing w:after="0"/>
              <w:rPr>
                <w:sz w:val="18"/>
                <w:szCs w:val="18"/>
                <w:color w:val="auto"/>
              </w:rPr>
            </w:pPr>
          </w:p>
        </w:tc>
      </w:tr>
      <w:tr>
        <w:trPr>
          <w:trHeight w:val="210"/>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194,826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199,741</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1,034,211</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Tax receivable agreement liability, net of current portion</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42,977</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120" w:type="dxa"/>
            <w:vAlign w:val="bottom"/>
          </w:tcPr>
          <w:p>
            <w:pPr>
              <w:spacing w:after="0"/>
              <w:rPr>
                <w:sz w:val="18"/>
                <w:szCs w:val="18"/>
                <w:color w:val="auto"/>
              </w:rPr>
            </w:pPr>
          </w:p>
        </w:tc>
      </w:tr>
      <w:tr>
        <w:trPr>
          <w:trHeight w:val="216"/>
        </w:trPr>
        <w:tc>
          <w:tcPr>
            <w:tcW w:w="74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1,349,364</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440" w:type="dxa"/>
            <w:vAlign w:val="bottom"/>
            <w:gridSpan w:val="2"/>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 shares authorized with no shares issued and outstanding at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March 31, 2025 and December 31, 2024</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260,000 shares authorized with 159,422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 159,594 shares issued and outstanding at March 31, 2025 and December 31, 2024, respectively</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549,603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551,955</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(234,612)</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(269,287)</w:t>
            </w: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(15,432)</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(17,559)</w:t>
            </w:r>
          </w:p>
        </w:tc>
      </w:tr>
      <w:tr>
        <w:trPr>
          <w:trHeight w:val="209"/>
        </w:trPr>
        <w:tc>
          <w:tcPr>
            <w:tcW w:w="74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299,575</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265,125</w:t>
            </w:r>
          </w:p>
        </w:tc>
        <w:tc>
          <w:tcPr>
            <w:tcW w:w="120" w:type="dxa"/>
            <w:vAlign w:val="bottom"/>
            <w:tcBorders>
              <w:top w:val="single" w:sz="8" w:color="CFF0FC"/>
            </w:tcBorders>
          </w:tcPr>
          <w:p>
            <w:pPr>
              <w:spacing w:after="0"/>
              <w:rPr>
                <w:sz w:val="18"/>
                <w:szCs w:val="18"/>
                <w:color w:val="auto"/>
              </w:rPr>
            </w:pPr>
          </w:p>
        </w:tc>
      </w:tr>
      <w:tr>
        <w:trPr>
          <w:trHeight w:val="250"/>
        </w:trPr>
        <w:tc>
          <w:tcPr>
            <w:tcW w:w="7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1,643,100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1,614,489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-3659505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-3659505</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-1696720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-316230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15"/>
                <w:szCs w:val="15"/>
                <w:color w:val="auto"/>
              </w:rPr>
            </w:pPr>
          </w:p>
        </w:tc>
        <w:tc>
          <w:tcPr>
            <w:tcW w:w="366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48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211,902</w:t>
            </w:r>
          </w:p>
        </w:tc>
        <w:tc>
          <w:tcPr>
            <w:tcW w:w="32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202,721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11,352</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223,254</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209,730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service revenue, excluding depreciation and amortization</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4,783</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8,032</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5,286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73,739</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51,501</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48,171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Depreciation, amortization and (gain) loss on disposal of assets, net</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27,814</w:t>
            </w:r>
          </w:p>
        </w:tc>
        <w:tc>
          <w:tcPr>
            <w:tcW w:w="3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26,975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4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165,869</w:t>
            </w:r>
          </w:p>
        </w:tc>
        <w:tc>
          <w:tcPr>
            <w:tcW w:w="3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155,377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57,385</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16,636</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19,635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interest rate swap</w:t>
            </w:r>
          </w:p>
        </w:tc>
        <w:tc>
          <w:tcPr>
            <w:tcW w:w="420" w:type="dxa"/>
            <w:vAlign w:val="bottom"/>
          </w:tcPr>
          <w:p>
            <w:pPr>
              <w:spacing w:after="0"/>
              <w:rPr>
                <w:sz w:val="17"/>
                <w:szCs w:val="17"/>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(396)</w:t>
            </w: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420" w:type="dxa"/>
            <w:vAlign w:val="bottom"/>
          </w:tcPr>
          <w:p>
            <w:pPr>
              <w:spacing w:after="0"/>
              <w:rPr>
                <w:sz w:val="17"/>
                <w:szCs w:val="17"/>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(4,109)</w:t>
            </w:r>
          </w:p>
        </w:tc>
        <w:tc>
          <w:tcPr>
            <w:tcW w:w="4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(4,453)</w:t>
            </w:r>
          </w:p>
        </w:tc>
        <w:tc>
          <w:tcPr>
            <w:tcW w:w="0" w:type="dxa"/>
            <w:vAlign w:val="bottom"/>
          </w:tcPr>
          <w:p>
            <w:pPr>
              <w:spacing w:after="0"/>
              <w:rPr>
                <w:sz w:val="1"/>
                <w:szCs w:val="1"/>
                <w:color w:val="auto"/>
              </w:rPr>
            </w:pPr>
          </w:p>
        </w:tc>
      </w:tr>
      <w:tr>
        <w:trPr>
          <w:trHeight w:val="196"/>
        </w:trPr>
        <w:tc>
          <w:tcPr>
            <w:tcW w:w="716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other expenses</w:t>
            </w: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12,552</w:t>
            </w:r>
          </w:p>
        </w:tc>
        <w:tc>
          <w:tcPr>
            <w:tcW w:w="3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15,381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44,833</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4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12,494</w:t>
            </w:r>
          </w:p>
        </w:tc>
        <w:tc>
          <w:tcPr>
            <w:tcW w:w="3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9,823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32,339</w:t>
            </w:r>
          </w:p>
        </w:tc>
        <w:tc>
          <w:tcPr>
            <w:tcW w:w="320" w:type="dxa"/>
            <w:vAlign w:val="bottom"/>
          </w:tcPr>
          <w:p>
            <w:pPr>
              <w:spacing w:after="0"/>
              <w:rPr>
                <w:sz w:val="17"/>
                <w:szCs w:val="17"/>
                <w:color w:val="auto"/>
              </w:rPr>
            </w:pPr>
          </w:p>
        </w:tc>
        <w:tc>
          <w:tcPr>
            <w:tcW w:w="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60" w:type="dxa"/>
            <w:vAlign w:val="bottom"/>
            <w:gridSpan w:val="2"/>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Other comprehensive income (loss):</w:t>
            </w:r>
          </w:p>
        </w:tc>
        <w:tc>
          <w:tcPr>
            <w:tcW w:w="4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foreign currency translation adjustment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(3,260)</w:t>
            </w:r>
          </w:p>
        </w:tc>
        <w:tc>
          <w:tcPr>
            <w:tcW w:w="0" w:type="dxa"/>
            <w:vAlign w:val="bottom"/>
          </w:tcPr>
          <w:p>
            <w:pPr>
              <w:spacing w:after="0"/>
              <w:rPr>
                <w:sz w:val="1"/>
                <w:szCs w:val="1"/>
                <w:color w:val="auto"/>
              </w:rPr>
            </w:pPr>
          </w:p>
        </w:tc>
      </w:tr>
      <w:tr>
        <w:trPr>
          <w:trHeight w:val="236"/>
        </w:trPr>
        <w:tc>
          <w:tcPr>
            <w:tcW w:w="7160" w:type="dxa"/>
            <w:vAlign w:val="bottom"/>
            <w:tcBorders>
              <w:top w:val="single" w:sz="8" w:color="CFF0FC"/>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tc>
        <w:tc>
          <w:tcPr>
            <w:tcW w:w="420" w:type="dxa"/>
            <w:vAlign w:val="bottom"/>
            <w:tcBorders>
              <w:top w:val="single" w:sz="8" w:color="auto"/>
              <w:bottom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34,466</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25,889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16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Net income per share:</w:t>
            </w: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Basic</w:t>
            </w: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320" w:type="dxa"/>
            <w:vAlign w:val="bottom"/>
          </w:tcPr>
          <w:p>
            <w:pPr>
              <w:spacing w:after="0"/>
              <w:rPr>
                <w:sz w:val="17"/>
                <w:szCs w:val="17"/>
                <w:color w:val="auto"/>
              </w:rPr>
            </w:pP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Weighted average shares outstanding:</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159,544</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162,066</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168,726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5684520</wp:posOffset>
            </wp:positionH>
            <wp:positionV relativeFrom="paragraph">
              <wp:posOffset>-2558415</wp:posOffset>
            </wp:positionV>
            <wp:extent cx="939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-2558415</wp:posOffset>
            </wp:positionV>
            <wp:extent cx="10287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-1619250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-1353820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-796290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-779145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-933450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0" w:type="dxa"/>
            <w:vAlign w:val="bottom"/>
            <w:gridSpan w:val="3"/>
            <w:vMerge w:val="restart"/>
          </w:tcPr>
          <w:p>
            <w:pPr>
              <w:jc w:val="center"/>
              <w:ind w:left="804"/>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56"/>
        </w:trPr>
        <w:tc>
          <w:tcPr>
            <w:tcW w:w="9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60" w:type="dxa"/>
            <w:vAlign w:val="bottom"/>
          </w:tcPr>
          <w:p>
            <w:pPr>
              <w:spacing w:after="0"/>
              <w:rPr>
                <w:sz w:val="13"/>
                <w:szCs w:val="13"/>
                <w:color w:val="auto"/>
              </w:rPr>
            </w:pPr>
          </w:p>
        </w:tc>
        <w:tc>
          <w:tcPr>
            <w:tcW w:w="1140" w:type="dxa"/>
            <w:vAlign w:val="bottom"/>
            <w:tcBorders>
              <w:bottom w:val="single" w:sz="8" w:color="auto"/>
            </w:tcBorders>
          </w:tcPr>
          <w:p>
            <w:pPr>
              <w:jc w:val="right"/>
              <w:ind w:right="284"/>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b w:val="1"/>
                <w:bCs w:val="1"/>
                <w:color w:val="auto"/>
              </w:rPr>
              <w:t>Amount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4"/>
              <w:spacing w:after="0" w:line="156"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w w:val="98"/>
              </w:rPr>
              <w:t>Deficit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Loss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6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159,594</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w:t>
            </w:r>
          </w:p>
        </w:tc>
        <w:tc>
          <w:tcPr>
            <w:tcW w:w="3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551,955</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(269,287)</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(17,559)</w:t>
            </w: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265,125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32,339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32,339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 repurchases and retirement</w:t>
            </w:r>
          </w:p>
        </w:tc>
        <w:tc>
          <w:tcPr>
            <w:tcW w:w="13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(686)</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(2,372)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2,336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41"/>
        </w:trPr>
        <w:tc>
          <w:tcPr>
            <w:tcW w:w="3160" w:type="dxa"/>
            <w:vAlign w:val="bottom"/>
            <w:gridSpan w:val="2"/>
          </w:tcPr>
          <w:p>
            <w:pPr>
              <w:spacing w:after="0" w:line="141" w:lineRule="exact"/>
              <w:rPr>
                <w:sz w:val="20"/>
                <w:szCs w:val="20"/>
                <w:color w:val="auto"/>
              </w:rPr>
            </w:pPr>
            <w:r>
              <w:rPr>
                <w:rFonts w:ascii="Times New Roman" w:cs="Times New Roman" w:eastAsia="Times New Roman" w:hAnsi="Times New Roman"/>
                <w:sz w:val="15"/>
                <w:szCs w:val="15"/>
                <w:color w:val="auto"/>
              </w:rPr>
              <w:t>Vesting of restricted stock units ("</w:t>
            </w:r>
            <w:r>
              <w:rPr>
                <w:rFonts w:ascii="Times New Roman" w:cs="Times New Roman" w:eastAsia="Times New Roman" w:hAnsi="Times New Roman"/>
                <w:sz w:val="15"/>
                <w:szCs w:val="15"/>
                <w:b w:val="1"/>
                <w:bCs w:val="1"/>
                <w:i w:val="1"/>
                <w:iCs w:val="1"/>
                <w:color w:val="auto"/>
              </w:rPr>
              <w:t>RSU</w:t>
            </w:r>
            <w:r>
              <w:rPr>
                <w:rFonts w:ascii="Times New Roman" w:cs="Times New Roman" w:eastAsia="Times New Roman" w:hAnsi="Times New Roman"/>
                <w:sz w:val="15"/>
                <w:szCs w:val="15"/>
                <w:color w:val="auto"/>
              </w:rPr>
              <w:t>s") and</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performance share units ("</w:t>
            </w:r>
            <w:r>
              <w:rPr>
                <w:rFonts w:ascii="Times New Roman" w:cs="Times New Roman" w:eastAsia="Times New Roman" w:hAnsi="Times New Roman"/>
                <w:sz w:val="15"/>
                <w:szCs w:val="15"/>
                <w:b w:val="1"/>
                <w:bCs w:val="1"/>
                <w:i w:val="1"/>
                <w:iCs w:val="1"/>
                <w:color w:val="auto"/>
              </w:rPr>
              <w:t>PSU</w:t>
            </w:r>
            <w:r>
              <w:rPr>
                <w:rFonts w:ascii="Times New Roman" w:cs="Times New Roman" w:eastAsia="Times New Roman" w:hAnsi="Times New Roman"/>
                <w:sz w:val="15"/>
                <w:szCs w:val="15"/>
                <w:color w:val="auto"/>
              </w:rPr>
              <w:t>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16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(6,606)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(6,606)</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6,456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6,456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net of tax</w:t>
            </w: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FF0FC"/>
              <w:bottom w:val="single" w:sz="8" w:color="CFF0FC"/>
            </w:tcBorders>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March 31, 2025</w:t>
            </w: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159,422</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16</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549,603</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(234,612)</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(15,432)</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299,575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2024</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0" w:type="dxa"/>
            <w:vAlign w:val="bottom"/>
            <w:gridSpan w:val="3"/>
            <w:vMerge w:val="restart"/>
          </w:tcPr>
          <w:p>
            <w:pPr>
              <w:jc w:val="center"/>
              <w:ind w:left="804"/>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56"/>
        </w:trPr>
        <w:tc>
          <w:tcPr>
            <w:tcW w:w="9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60" w:type="dxa"/>
            <w:vAlign w:val="bottom"/>
          </w:tcPr>
          <w:p>
            <w:pPr>
              <w:spacing w:after="0"/>
              <w:rPr>
                <w:sz w:val="13"/>
                <w:szCs w:val="13"/>
                <w:color w:val="auto"/>
              </w:rPr>
            </w:pPr>
          </w:p>
        </w:tc>
        <w:tc>
          <w:tcPr>
            <w:tcW w:w="1140" w:type="dxa"/>
            <w:vAlign w:val="bottom"/>
            <w:tcBorders>
              <w:bottom w:val="single" w:sz="8" w:color="auto"/>
            </w:tcBorders>
          </w:tcPr>
          <w:p>
            <w:pPr>
              <w:jc w:val="right"/>
              <w:ind w:right="284"/>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b w:val="1"/>
                <w:bCs w:val="1"/>
                <w:color w:val="auto"/>
              </w:rPr>
              <w:t>Amount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4"/>
              <w:spacing w:after="0" w:line="156"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w w:val="98"/>
              </w:rPr>
              <w:t>Deficit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Loss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6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166,555</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w:t>
            </w:r>
          </w:p>
        </w:tc>
        <w:tc>
          <w:tcPr>
            <w:tcW w:w="3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557,513</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(125,887)</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(10,176)</w:t>
            </w: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421,467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29,149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29,149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 repurchases and retirement</w:t>
            </w:r>
          </w:p>
        </w:tc>
        <w:tc>
          <w:tcPr>
            <w:tcW w:w="13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(534)</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(1,789)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1,789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Vesting of RSUs and PSUs</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16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(4,608)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(4,608)</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5,558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 net of tax</w:t>
            </w: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(3,260)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(3,260)</w:t>
            </w:r>
          </w:p>
        </w:tc>
        <w:tc>
          <w:tcPr>
            <w:tcW w:w="0" w:type="dxa"/>
            <w:vAlign w:val="bottom"/>
          </w:tcPr>
          <w:p>
            <w:pPr>
              <w:spacing w:after="0"/>
              <w:rPr>
                <w:sz w:val="1"/>
                <w:szCs w:val="1"/>
                <w:color w:val="auto"/>
              </w:rPr>
            </w:pPr>
          </w:p>
        </w:tc>
      </w:tr>
      <w:tr>
        <w:trPr>
          <w:trHeight w:val="195"/>
        </w:trPr>
        <w:tc>
          <w:tcPr>
            <w:tcW w:w="3160" w:type="dxa"/>
            <w:vAlign w:val="bottom"/>
            <w:tcBorders>
              <w:top w:val="single" w:sz="8" w:color="CFF0FC"/>
              <w:bottom w:val="single" w:sz="8" w:color="CFF0FC"/>
            </w:tcBorders>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March 31, 2024</w:t>
            </w: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166,516</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17</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557,363</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(94,949)</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(13,436)</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448,995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-1902460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-1885315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-2014220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-1902460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-1885315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-2014220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-1902460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-1885315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-2014220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-1902460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-1885315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-2014220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-1902460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-1885315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-2014220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-1902460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-1885315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-2014220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-25400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-136525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-136525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-25400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-136525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-136525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-136525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800" w:type="dxa"/>
            <w:vAlign w:val="bottom"/>
            <w:vMerge w:val="restart"/>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58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(13,541)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(6,501)</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(40,783)</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09"/>
        </w:trPr>
        <w:tc>
          <w:tcPr>
            <w:tcW w:w="68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62,965</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receipts for interest rate swap</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(21,243)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(14,279)</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proceeds from the sale of assets</w:t>
            </w:r>
          </w:p>
        </w:tc>
        <w:tc>
          <w:tcPr>
            <w:tcW w:w="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(21,219)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(13,937)</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 of employee tax withholding related to RSUs and PSUs vesting</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(4,608)</w:t>
            </w:r>
          </w:p>
        </w:tc>
        <w:tc>
          <w:tcPr>
            <w:tcW w:w="0" w:type="dxa"/>
            <w:vAlign w:val="bottom"/>
          </w:tcPr>
          <w:p>
            <w:pPr>
              <w:spacing w:after="0"/>
              <w:rPr>
                <w:sz w:val="1"/>
                <w:szCs w:val="1"/>
                <w:color w:val="auto"/>
              </w:rPr>
            </w:pPr>
          </w:p>
        </w:tc>
      </w:tr>
      <w:tr>
        <w:trPr>
          <w:trHeight w:val="210"/>
        </w:trPr>
        <w:tc>
          <w:tcPr>
            <w:tcW w:w="6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114,531</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58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-2270760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73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the condensed consolidated balance sheets</w:t>
            </w: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108,453</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114,531</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8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Purchases of installation and service parts and property and equipment in accounts payable and</w:t>
            </w: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 at period-end</w:t>
            </w:r>
          </w:p>
        </w:tc>
        <w:tc>
          <w:tcPr>
            <w:tcW w:w="4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-985520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-968375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We are a leading provider of smart mobility technology solutions, principally operating throughout the United States, Australia, Europe and Canada. Our goal is to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The Company is organized into three operating segments: Commercial Services, Government Solutions and Parking Solutions (see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Commercial Services segment offers automated toll and violations management and title and registration solutions to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and other large fleet owners in North America. Through its established relationships with individual tolling authorities throughout the United States, the segment provides an automated and outsourced administrative solution for its customers while also providing a value-added convenience for vehicle drivers and benefits to tolling and issuing authorities. The toll and violations management solutions help ensure timely payment of tolls and violations incurred by the customers’ vehicles and perform timely transfers of liability on the customers’ behalf, and driver billing and collections, as applicable. It also manages regional toll transponder installation and vehicle association—a critical and highly complex process for RAC, Direct Fleet and FMC customers—to ensure that the transponders (and corresponding toll transactions) are associated with the correct vehicle. In Europe, the Commercial Services segment provides violations processing through Euro Parking Collection plc and consumer tolling services through Pagatelia S.L.U.</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Government Solutions segment offers photo enforcement solutions and services to its customers which include complete, end-to-end speed, red-light, school bus stop arm and bus lane enforcement solutions.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for this segment primarily involve the sale of traffic enforcement products and recurring maintenance services related to the equipment and software.</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Parking Solutions segment offers an integrated suite of parking software, transaction processing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its customers throughout the United States and Canada.</w:t>
      </w:r>
    </w:p>
    <w:p>
      <w:pPr>
        <w:spacing w:after="0" w:line="284"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prepared in accordance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GAAP requires management to make estimates and assumptions that affect the amounts reported in the unaudited condensed consolidated financial statements and accompanying notes. There have been no material changes in the Company's significant accounting policies from those disclosed in the Annual Report on Form 10-K for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Management believes that its estimates and assumptions are reasonable in the circumstances; however, actual results could differ materially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accounts receivable, net.</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Revenue from a single Government Solutions customer exceeded 10% of total revenue. 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15.4% and 16.6% of total revenue for the three months ended March 31, 2025 and 2024, respectively. NYCDOT represented 16.7% and 17.2% of total accounts receivable, net as of March 31, 2025 and December 31, 2024, respectively. There is no material reserve related to NYCDOT open receivables as amounts are deemed collectible based on current conditions and expectations. No other Government Solutions customer exceeded 10% of total accounts receivable, net.</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Significant customer revenues were generated through three of the Company’s Commercial Services customers, with each exceeding 10% of total revenue. Commercial Services Customer A represented 15.7% and 13.1% of total revenue for the three months ended March 31, 2025 and 2024, respectively. Commercial Services Customer B represented 11.9% and 11.5% of total revenue for the three months ended March 31, 2025 and 2024, respectively. Commercial Services Customer C represented 10.3% and 11.8% of total revenue for the three months ended March 31, 2025 and 2024, respectively. Commercial Services Customer A was 10.3% of total accounts receivable, net as of March 31, 2025. No Commercial Services customer exceeded 10% of total accounts receivable, net as of December 31, 2024.</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were no significant customer concentrations that exceeded 10% of total revenue or accounts receivable, net for the Parking Solutions segment as of or for any period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reviews historical credit losses and customer payment trends on receivables and develops loss estimates as of the balance sheet date, which includes adjustments for current and future expectations. It identifies pools of receivables based on the type of business, industry in which the customer operates and historical credit loss patterns. The Company uses collection assumptions (typically at the customer level) to estimate expected credit losses.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periodically evaluates the adequacy of its allowance for expected credit losses and adjusts appropriately.</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presents the activity in the allowance for credit losses by reportable segment for the three months ended March 31, 2025 and 2024,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6"/>
              <w:spacing w:after="0" w:line="193" w:lineRule="exact"/>
              <w:rPr>
                <w:sz w:val="20"/>
                <w:szCs w:val="20"/>
                <w:color w:val="auto"/>
              </w:rPr>
            </w:pPr>
            <w:r>
              <w:rPr>
                <w:rFonts w:ascii="Times New Roman" w:cs="Times New Roman" w:eastAsia="Times New Roman" w:hAnsi="Times New Roman"/>
                <w:sz w:val="14"/>
                <w:szCs w:val="14"/>
                <w:b w:val="1"/>
                <w:bCs w:val="1"/>
                <w:color w:val="auto"/>
                <w:w w:val="97"/>
              </w:rPr>
              <w:t>Services</w:t>
            </w:r>
            <w:r>
              <w:rPr>
                <w:rFonts w:ascii="Times New Roman" w:cs="Times New Roman" w:eastAsia="Times New Roman" w:hAnsi="Times New Roman"/>
                <w:sz w:val="19"/>
                <w:szCs w:val="19"/>
                <w:b w:val="1"/>
                <w:bCs w:val="1"/>
                <w:color w:val="auto"/>
                <w:w w:val="97"/>
                <w:vertAlign w:val="superscript"/>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16,038</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648</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17,018</w:t>
            </w:r>
          </w:p>
        </w:tc>
        <w:tc>
          <w:tcPr>
            <w:tcW w:w="0" w:type="dxa"/>
            <w:vAlign w:val="bottom"/>
          </w:tcPr>
          <w:p>
            <w:pPr>
              <w:spacing w:after="0"/>
              <w:rPr>
                <w:sz w:val="1"/>
                <w:szCs w:val="1"/>
                <w:color w:val="auto"/>
              </w:rPr>
            </w:pPr>
          </w:p>
        </w:tc>
      </w:tr>
      <w:tr>
        <w:trPr>
          <w:trHeight w:val="216"/>
        </w:trPr>
        <w:tc>
          <w:tcPr>
            <w:tcW w:w="3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Credit loss expense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8,115</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(6,179)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(6,423)</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16,674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1,654</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18,710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6"/>
              <w:spacing w:after="0" w:line="193" w:lineRule="exact"/>
              <w:rPr>
                <w:sz w:val="20"/>
                <w:szCs w:val="20"/>
                <w:color w:val="auto"/>
              </w:rPr>
            </w:pPr>
            <w:r>
              <w:rPr>
                <w:rFonts w:ascii="Times New Roman" w:cs="Times New Roman" w:eastAsia="Times New Roman" w:hAnsi="Times New Roman"/>
                <w:sz w:val="14"/>
                <w:szCs w:val="14"/>
                <w:b w:val="1"/>
                <w:bCs w:val="1"/>
                <w:color w:val="auto"/>
                <w:w w:val="97"/>
              </w:rPr>
              <w:t>Services</w:t>
            </w:r>
            <w:r>
              <w:rPr>
                <w:rFonts w:ascii="Times New Roman" w:cs="Times New Roman" w:eastAsia="Times New Roman" w:hAnsi="Times New Roman"/>
                <w:sz w:val="19"/>
                <w:szCs w:val="19"/>
                <w:b w:val="1"/>
                <w:bCs w:val="1"/>
                <w:color w:val="auto"/>
                <w:w w:val="97"/>
                <w:vertAlign w:val="superscript"/>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15,661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2,426</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18,513</w:t>
            </w:r>
          </w:p>
        </w:tc>
        <w:tc>
          <w:tcPr>
            <w:tcW w:w="0" w:type="dxa"/>
            <w:vAlign w:val="bottom"/>
          </w:tcPr>
          <w:p>
            <w:pPr>
              <w:spacing w:after="0"/>
              <w:rPr>
                <w:sz w:val="1"/>
                <w:szCs w:val="1"/>
                <w:color w:val="auto"/>
              </w:rPr>
            </w:pPr>
          </w:p>
        </w:tc>
      </w:tr>
      <w:tr>
        <w:trPr>
          <w:trHeight w:val="216"/>
        </w:trPr>
        <w:tc>
          <w:tcPr>
            <w:tcW w:w="3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17,709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20,575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-2073910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-2073910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-2073910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-1079500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-1079500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-1079500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p>
      <w:pPr>
        <w:jc w:val="both"/>
        <w:ind w:left="680" w:hanging="372"/>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primarily consists of receivables from drivers of rental cars for which the Company bills on behalf of its customers. Receivables not collected from drivers within a defined number of days are transferred to customers subject to applicable bad debt sharing agreements. The allowance for credit losses for driver-billed receivables was 82% and 91% of the total Commercial Services allowance for credit losses as of March 31, 2025 and 2024,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Deferred revenue represents amounts that have been invoiced in advance and are expected to be recognized as revenue in future periods, and it primarily relates to Government Solutions and Parking Solutions customers. As of March 31, 2025 and December 31, 2024, the Company had approximately $12.1 million and $11.8 million of deferred revenue in the Government Solutions segment, respectively. During the three months ended March 31, 2025 and 2024, the Company recognized $4.3 million and $3.0 million, respectively, of revenue excluding exchange rate impact, related to amounts that were included in deferred revenue as of December 31, 2024 and 2023. As of March 31, 2025 and December 31, 2024 the Company had approximately $18.1 million and $21.7 million of deferred revenue in the Parking Solutions segment, respectively. During the three months ended March 31, 2025 and 2024, the Company recognized $10.0 million and $8.6 million, respectively, of revenue related to amounts that were included in deferred revenue as of December 31, 2024 and 2023.</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The Company elected the practical expedients to omit disclosure for the amount of the transaction price allocated to remaining performance obligations with original expected contract length of one year or less and the amount that relates to variable consideration allocated to a wholly unsatisfied performance obligation to transfer a distinct good or service within a series of distinct goods or services that form a single performance obligation. As of March 31, 2025, total transaction price allocated to performance obligations in the Government Solutions segment that were unsatisfied or partially unsatisfied was $184.6 million, of which $71.7 million is expected to be recognized as revenue in the next twelve months and the rest over the remaining performance obligation period.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December 2022, the Company entered into a cancellable interest rate swap agreement to hedge its exposure to interest rate fluctuations associated with the LIBOR (now transitioned to Term Secured Overnight Financing Rate,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portion of the variable interest rate on its 2021 Term Loan (as defined below). Under the interest rate swap agreement, the Company paid a fixed rate of 5.17% and the counterparty paid a variable interest rate. The Company entered into an International Swaps and Derivatives Association, Inc. Master Agreement with the counterparty which provided for the net settlement of all, or a specified group, of derivative transactions through a single payment. The notional amount on the interest rate swap was $675.0 million. The Company had the option to effectively terminate the interest rate swap agreement starting in December 2023, and monthly thereafter until December 2025. The Company treated the interest rate swap as an economic hedge for accounting purposes and any changes in the fair value of the derivative instrument (including accrued interest) and related cash receipts or payments were recorded in the condensed consolidated statements of operations within the gain on interest rate swap line item. The Company exercised its option to cancel the interest rate swap agreement during the third quarter of fiscal year 2024. The following details the components of the gain on interest rate swap: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420" w:type="dxa"/>
            <w:vAlign w:val="bottom"/>
            <w:vMerge w:val="restart"/>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4420" w:type="dxa"/>
            <w:vAlign w:val="bottom"/>
            <w:vMerge w:val="continue"/>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440" w:type="dxa"/>
            <w:vAlign w:val="bottom"/>
            <w:tcBorders>
              <w:top w:val="single" w:sz="8" w:color="auto"/>
              <w:bottom w:val="single" w:sz="8" w:color="auto"/>
            </w:tcBorders>
          </w:tcPr>
          <w:p>
            <w:pPr>
              <w:jc w:val="right"/>
              <w:ind w:right="10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receipts</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gain on interest rate swap</w:t>
            </w:r>
          </w:p>
        </w:tc>
        <w:tc>
          <w:tcPr>
            <w:tcW w:w="3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4420" w:type="dxa"/>
            <w:vAlign w:val="bottom"/>
            <w:tcBorders>
              <w:top w:val="single" w:sz="8" w:color="CFF0FC"/>
            </w:tcBorders>
            <w:shd w:val="clear" w:color="auto" w:fill="CFF0FC"/>
          </w:tcPr>
          <w:p>
            <w:pPr>
              <w:spacing w:after="0" w:line="20" w:lineRule="exact"/>
              <w:rPr>
                <w:sz w:val="1"/>
                <w:szCs w:val="1"/>
                <w:color w:val="auto"/>
              </w:rPr>
            </w:pPr>
          </w:p>
        </w:tc>
        <w:tc>
          <w:tcPr>
            <w:tcW w:w="30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The effect of remeasurement to fair value was recorded within the operating activities section and the monthly cash proceeds received were recorded within the investing activities section in the condensed consolidated statements of cash flows. See Note 7,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further discussion on the fair value measurement of the interest rate swap.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 Disclosures</w:t>
      </w:r>
      <w:r>
        <w:rPr>
          <w:rFonts w:ascii="Times New Roman" w:cs="Times New Roman" w:eastAsia="Times New Roman" w:hAnsi="Times New Roman"/>
          <w:sz w:val="18"/>
          <w:szCs w:val="18"/>
          <w:color w:val="auto"/>
        </w:rPr>
        <w:t>. The ASU requires companies to disclose specific categories in the rate reconciliation,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disclosure for reconciling items that exceed proscribed thresholds, and enhance disclosure regarding income taxes paid and sources of income (loss) from continuing operations including the tax expense (or benefit) disaggregated by federal, state and foreign taxes. The guidance is effective for fiscal years beginning after December 15, 2024. The Company is currently evaluating the impact of this standard on its financial statements and disclosures.</w:t>
      </w:r>
    </w:p>
    <w:p>
      <w:pPr>
        <w:spacing w:after="0" w:line="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ASU requires public companies to disclose, in the notes to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information about certain costs and expenses at each interim and annual reporting period at a disaggregated level. The guidance is effective for fiscal years beginning after December 15, 2026 and interim periods within fiscal years beginning after December 15, 2027. Early adoption is permitted. The Company is currently evaluating the impact of this standard on its financial statements and disclosures.</w:t>
      </w:r>
    </w:p>
    <w:p>
      <w:pPr>
        <w:spacing w:after="0" w:line="289"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2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5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tolls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to fulfill a customer contract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00" w:type="dxa"/>
            <w:vAlign w:val="bottom"/>
            <w:shd w:val="clear" w:color="auto" w:fill="CFF0FC"/>
          </w:tcPr>
          <w:p>
            <w:pPr>
              <w:spacing w:after="0"/>
              <w:rPr>
                <w:sz w:val="18"/>
                <w:szCs w:val="18"/>
                <w:color w:val="auto"/>
              </w:rPr>
            </w:pPr>
          </w:p>
        </w:tc>
      </w:tr>
      <w:tr>
        <w:trPr>
          <w:trHeight w:val="210"/>
        </w:trPr>
        <w:tc>
          <w:tcPr>
            <w:tcW w:w="7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carrying amount of goodwill by reportable segment: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4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420,167</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213,382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102,066</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735,615</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422,022</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213,484</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102,066</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737,572</w:t>
            </w:r>
          </w:p>
        </w:tc>
        <w:tc>
          <w:tcPr>
            <w:tcW w:w="100" w:type="dxa"/>
            <w:vAlign w:val="bottom"/>
            <w:shd w:val="clear" w:color="auto" w:fill="CFF0FC"/>
          </w:tcPr>
          <w:p>
            <w:pPr>
              <w:spacing w:after="0"/>
              <w:rPr>
                <w:sz w:val="19"/>
                <w:szCs w:val="19"/>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0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-24765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consist of the following as of the respective period-ends: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7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4.9 years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5.2 years</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 years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3.3 years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558,764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363,713</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3.5 years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557,958</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 years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20,934</w:t>
            </w:r>
          </w:p>
        </w:tc>
        <w:tc>
          <w:tcPr>
            <w:tcW w:w="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 years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602,939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386,926</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601,784</w:t>
            </w:r>
          </w:p>
        </w:tc>
        <w:tc>
          <w:tcPr>
            <w:tcW w:w="18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369,487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76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10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180" w:type="dxa"/>
            <w:vAlign w:val="bottom"/>
            <w:tcBorders>
              <w:top w:val="single" w:sz="8" w:color="CFF0FC"/>
            </w:tcBorders>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(386,926)</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0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(369,487)</w:t>
            </w:r>
          </w:p>
        </w:tc>
        <w:tc>
          <w:tcPr>
            <w:tcW w:w="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216,013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232,297</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000" w:type="dxa"/>
            <w:vAlign w:val="bottom"/>
            <w:tcBorders>
              <w:top w:val="single" w:sz="8" w:color="CFF0FC"/>
            </w:tcBorders>
          </w:tcPr>
          <w:p>
            <w:pPr>
              <w:spacing w:after="0"/>
              <w:rPr>
                <w:sz w:val="24"/>
                <w:szCs w:val="24"/>
                <w:color w:val="auto"/>
              </w:rPr>
            </w:pPr>
          </w:p>
        </w:tc>
        <w:tc>
          <w:tcPr>
            <w:tcW w:w="276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-1242060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-1224915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-1242060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-933450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-916305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-933450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-916305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ind w:left="380"/>
        <w:spacing w:after="0"/>
        <w:rPr>
          <w:sz w:val="20"/>
          <w:szCs w:val="20"/>
          <w:color w:val="auto"/>
        </w:rPr>
      </w:pPr>
      <w:r>
        <w:rPr>
          <w:rFonts w:ascii="Times New Roman" w:cs="Times New Roman" w:eastAsia="Times New Roman" w:hAnsi="Times New Roman"/>
          <w:sz w:val="18"/>
          <w:szCs w:val="18"/>
          <w:color w:val="auto"/>
        </w:rPr>
        <w:t>Amortization expense was $16.7 million for both the three months ended March 31, 2025 and 2024.</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Estimated amortization expense in future years is expected to be: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8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9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57,412</w:t>
            </w:r>
          </w:p>
        </w:tc>
        <w:tc>
          <w:tcPr>
            <w:tcW w:w="100" w:type="dxa"/>
            <w:vAlign w:val="bottom"/>
          </w:tcPr>
          <w:p>
            <w:pPr>
              <w:spacing w:after="0"/>
              <w:rPr>
                <w:sz w:val="18"/>
                <w:szCs w:val="18"/>
                <w:color w:val="auto"/>
              </w:rPr>
            </w:pPr>
          </w:p>
        </w:tc>
      </w:tr>
      <w:tr>
        <w:trPr>
          <w:trHeight w:val="216"/>
        </w:trPr>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28,310</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22,354</w:t>
            </w:r>
          </w:p>
        </w:tc>
        <w:tc>
          <w:tcPr>
            <w:tcW w:w="100" w:type="dxa"/>
            <w:vAlign w:val="bottom"/>
          </w:tcPr>
          <w:p>
            <w:pPr>
              <w:spacing w:after="0"/>
              <w:rPr>
                <w:sz w:val="18"/>
                <w:szCs w:val="18"/>
                <w:color w:val="auto"/>
              </w:rPr>
            </w:pPr>
          </w:p>
        </w:tc>
      </w:tr>
      <w:tr>
        <w:trPr>
          <w:trHeight w:val="216"/>
        </w:trPr>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100" w:type="dxa"/>
            <w:vAlign w:val="bottom"/>
            <w:shd w:val="clear" w:color="auto" w:fill="CFF0FC"/>
          </w:tcPr>
          <w:p>
            <w:pPr>
              <w:spacing w:after="0"/>
              <w:rPr>
                <w:sz w:val="18"/>
                <w:szCs w:val="18"/>
                <w:color w:val="auto"/>
              </w:rPr>
            </w:pP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38,920</w:t>
            </w:r>
          </w:p>
        </w:tc>
        <w:tc>
          <w:tcPr>
            <w:tcW w:w="100" w:type="dxa"/>
            <w:vAlign w:val="bottom"/>
          </w:tcPr>
          <w:p>
            <w:pPr>
              <w:spacing w:after="0"/>
              <w:rPr>
                <w:sz w:val="18"/>
                <w:szCs w:val="18"/>
                <w:color w:val="auto"/>
              </w:rPr>
            </w:pPr>
          </w:p>
        </w:tc>
      </w:tr>
      <w:tr>
        <w:trPr>
          <w:trHeight w:val="249"/>
        </w:trPr>
        <w:tc>
          <w:tcPr>
            <w:tcW w:w="96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216,013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consist of the following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17,711</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deferred tax liabilities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due to customers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deposits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Self-insurance liability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73,980</w:t>
            </w: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Net</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table provides a summary of the Company’s long-term debt, net at: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2021 Term Loan, due 2028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original issue discounts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long-term debt,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693,314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695,568</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(9,035)</w:t>
            </w:r>
          </w:p>
        </w:tc>
      </w:tr>
      <w:tr>
        <w:trPr>
          <w:trHeight w:val="210"/>
        </w:trPr>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1,032,844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1,034,211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460"/>
          </w:cols>
          <w:pgMar w:left="320" w:top="1417" w:right="33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115"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In March 2021,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the Company’s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$900.0 million, maturing on March 24, 2028. In connection with the 2021 Term Loan borrowings, the Company had $4.6 million of offering discount costs and $4.5 million in deferred financing costs, both of which were capitalized and are being amortized over the remaining life of the 2021 Term Loan.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4" w:name="page15"/>
    <w:bookmarkEnd w:id="14"/>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February 2024, VM Consolidated entered into a third amendment to the 2021 Term Loan (the “</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and in October 2024, a fourth amendment to the 2021 Term Loan (the “</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to refinance the 2021 Term Loan (the “</w:t>
      </w:r>
      <w:r>
        <w:rPr>
          <w:rFonts w:ascii="Times New Roman" w:cs="Times New Roman" w:eastAsia="Times New Roman" w:hAnsi="Times New Roman"/>
          <w:sz w:val="18"/>
          <w:szCs w:val="18"/>
          <w:b w:val="1"/>
          <w:bCs w:val="1"/>
          <w:i w:val="1"/>
          <w:iCs w:val="1"/>
          <w:color w:val="auto"/>
        </w:rPr>
        <w:t>Refinancing Transactions</w:t>
      </w:r>
      <w:r>
        <w:rPr>
          <w:rFonts w:ascii="Times New Roman" w:cs="Times New Roman" w:eastAsia="Times New Roman" w:hAnsi="Times New Roman"/>
          <w:sz w:val="18"/>
          <w:szCs w:val="18"/>
          <w:color w:val="auto"/>
        </w:rPr>
        <w:t>”). Pursuant to the Third and Fourth Amendments, the interest rate was reduced by an aggregate 1.00% to SOFR plus 2.25% from SOFR plus 3.25%, with the SOFR floor unchanged at 0.00%. The credit spread adjustment, ranging from 0.11448% to 0.71513%, was eliminated. In addition, the 2021 Term Loan was amended to remove a provision for principal repayments which were previously required to be paid in quarterly installments. The Company evaluated the Refinancing Transactions on a lender-by-lender basis and accounted accordingly for debt extinguishment and debt modification costs (for the portion of the transactions that did not meet the accounting criteria for debt extinguishment).</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March 31, 2025 and 2024, the Company made early repayments of $2.3 million on the 2021 Term Loan, and as a result the total principal outstanding was $693.3 million as of March 31, 2025.</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recorded less than $0.1 million of loss on extinguishment of debt during the three months ended March 31, 2025 related to the write-off of pre-existing deferred financing costs and discounts in connection with the early repayment. It recognized a loss on extinguishment of debt of $0.6 million for the three months ended March 31, 2024, related to the write-off of pre-existing deferred financing costs and discounts in connection with the refinancing of the 2021 Term Loan in February 2024.</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2021 Term Loan bears interest based at the Company’s option, on either (i) SOFR plus an applicable margin of 2.25% per annum, or (ii) an alternate base rate plus an applicable margin of 1.25% per annum. As of March 31, 2025, the interest rate on the 2021 Term Loan was 6.6%.</w:t>
      </w:r>
    </w:p>
    <w:p>
      <w:pPr>
        <w:spacing w:after="0" w:line="54"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73"/>
        </w:trPr>
        <w:tc>
          <w:tcPr>
            <w:tcW w:w="872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9"/>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5"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the Company incurred $5.7 million in lender and third-party costs, which were capitalized as deferred financing costs and are being amortized over the remaining life of the Senior Notes.</w:t>
      </w:r>
    </w:p>
    <w:p>
      <w:pPr>
        <w:spacing w:after="0" w:line="6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The Company may redeem all or a portion of the Senior Notes at the redemption prices set forth below in percentages by year, plus accrued and unpaid interest: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5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7"/>
              </w:rPr>
              <w:t>101.375%</w:t>
            </w:r>
          </w:p>
        </w:tc>
      </w:tr>
      <w:tr>
        <w:trPr>
          <w:trHeight w:val="234"/>
        </w:trPr>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 and thereafter</w:t>
            </w:r>
          </w:p>
        </w:tc>
        <w:tc>
          <w:tcPr>
            <w:tcW w:w="25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100.000%</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1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has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SOFR plus an applicable margin, or (2) an alternate base rate, plus an applicable margin. The margin percentage applied to (1) SOFR is either 1.25%, 1.50%, or 1.75%, or (2) the base rate is either 0.25%, 0.50%, or 0.75%, depending on the Company’s average availability to borrow under the commitment. There is a credit spread adjustment of 0.10% for a one-month duration, 0.15% for a three-month duration, and 0.25% for a six-month duration, in addition to SOFR and the applicable margin percentages. There were no outstanding borrowings on the Revolver as of March 31, 2025 or December 31, 2024. The availability to borrow was $74.4 million, net of $0.6 million of outstanding letters of credit at March 31,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the Company is also required to pay participation and fronting fees at 1.38% on $0.6 million of outstanding letters of credit as of March 31, 2025.</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March 31, 2025, the Company was compliant with all debt covenants in its debt agreements.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$16.6 million and $19.6 million for the three months ended March 31, 2025 and 2024, respectively.</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effective interest rate on the Company’s outstanding borrowings was 6.2% as of March 31, 2025 and as of December 31, 2024.</w:t>
      </w:r>
    </w:p>
    <w:p>
      <w:pPr>
        <w:spacing w:after="0" w:line="329"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Fair value is based on observable inputs such as quoted prices for identical assets or liabilities in active markets.</w:t>
      </w:r>
    </w:p>
    <w:p>
      <w:pPr>
        <w:spacing w:after="0" w:line="198" w:lineRule="exact"/>
        <w:rPr>
          <w:sz w:val="20"/>
          <w:szCs w:val="20"/>
          <w:color w:val="auto"/>
        </w:rPr>
      </w:pPr>
    </w:p>
    <w:p>
      <w:pPr>
        <w:ind w:left="76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Fair value is determined using quoted prices for similar assets or liabilities in active markets,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inputs other than quoted prices that are directly or indirectly observable.</w:t>
      </w:r>
    </w:p>
    <w:p>
      <w:pPr>
        <w:spacing w:after="0" w:line="118" w:lineRule="exact"/>
        <w:rPr>
          <w:sz w:val="20"/>
          <w:szCs w:val="20"/>
          <w:color w:val="auto"/>
        </w:rPr>
      </w:pPr>
    </w:p>
    <w:p>
      <w:pPr>
        <w:ind w:left="76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Fair value is determined using one or more significant inputs that are unobservable in active markets at the measurement date,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model, discounted cash flow, or similar technique.</w:t>
      </w:r>
    </w:p>
    <w:p>
      <w:pPr>
        <w:spacing w:after="0" w:line="5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long-term debt, net was calculated based upon available market information. The carrying value and the estimated fair value of long-term debt, net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in</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24"/>
        </w:trPr>
        <w:tc>
          <w:tcPr>
            <w:tcW w:w="10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3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19"/>
              <w:spacing w:after="0" w:line="12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19"/>
              <w:spacing w:after="0" w:line="12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0"/>
                <w:szCs w:val="10"/>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10"/>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685,667</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695,914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687,203</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699,916</w:t>
            </w: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347,177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334,688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347,008</w:t>
            </w:r>
          </w:p>
        </w:tc>
        <w:tc>
          <w:tcPr>
            <w:tcW w:w="2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341,250</w:t>
            </w:r>
          </w:p>
        </w:tc>
      </w:tr>
    </w:tbl>
    <w:p>
      <w:pPr>
        <w:spacing w:after="0" w:line="2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an equity investment measured at cost with a carrying value of $1.9 million as of both March 31, 2025 and December 31, 2024,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three months ended March 31, 2025 and 2024.</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recurring fair value measurement of the interest rate swap was valued based on observable inputs for similar assets and liabilities including swaption values and other observable inputs for interest rates and yield curves and was classified within level 2 of the fair value hierarchy. The following presents the changes in the fair value of the interest rate swap in the gross balances within the below line items for the three months ended March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7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740" w:type="dxa"/>
            <w:vAlign w:val="bottom"/>
            <w:tcBorders>
              <w:top w:val="single" w:sz="8" w:color="auto"/>
              <w:bottom w:val="single" w:sz="8" w:color="auto"/>
            </w:tcBorders>
          </w:tcPr>
          <w:p>
            <w:pPr>
              <w:jc w:val="right"/>
              <w:ind w:right="1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30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8"/>
                <w:szCs w:val="18"/>
                <w:color w:val="auto"/>
              </w:rPr>
            </w:pPr>
          </w:p>
        </w:tc>
      </w:tr>
      <w:tr>
        <w:trPr>
          <w:trHeight w:val="216"/>
        </w:trPr>
        <w:tc>
          <w:tcPr>
            <w:tcW w:w="81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00" w:type="dxa"/>
            <w:vAlign w:val="bottom"/>
            <w:tcBorders>
              <w:bottom w:val="single" w:sz="8" w:color="auto"/>
            </w:tcBorders>
            <w:shd w:val="clear" w:color="auto" w:fill="CFF0FC"/>
          </w:tcPr>
          <w:p>
            <w:pPr>
              <w:spacing w:after="0"/>
              <w:rPr>
                <w:sz w:val="18"/>
                <w:szCs w:val="18"/>
                <w:color w:val="auto"/>
              </w:rPr>
            </w:pPr>
          </w:p>
        </w:tc>
        <w:tc>
          <w:tcPr>
            <w:tcW w:w="2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00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30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r>
      <w:tr>
        <w:trPr>
          <w:trHeight w:val="216"/>
        </w:trPr>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00" w:type="dxa"/>
            <w:vAlign w:val="bottom"/>
            <w:shd w:val="clear" w:color="auto" w:fill="CFF0FC"/>
          </w:tcPr>
          <w:p>
            <w:pPr>
              <w:spacing w:after="0"/>
              <w:rPr>
                <w:sz w:val="18"/>
                <w:szCs w:val="18"/>
                <w:color w:val="auto"/>
              </w:rPr>
            </w:pPr>
          </w:p>
        </w:tc>
        <w:tc>
          <w:tcPr>
            <w:tcW w:w="2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8100" w:type="dxa"/>
            <w:vAlign w:val="bottom"/>
            <w:tcBorders>
              <w:top w:val="single" w:sz="8" w:color="CFF0FC"/>
            </w:tcBorders>
            <w:gridSpan w:val="2"/>
          </w:tcPr>
          <w:p>
            <w:pPr>
              <w:ind w:left="8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top w:val="single" w:sz="8" w:color="CFF0FC"/>
            </w:tcBorders>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right="20" w:firstLine="435"/>
        <w:spacing w:after="0" w:line="282" w:lineRule="auto"/>
        <w:rPr>
          <w:sz w:val="20"/>
          <w:szCs w:val="20"/>
          <w:color w:val="auto"/>
        </w:rPr>
      </w:pPr>
      <w:r>
        <w:rPr>
          <w:rFonts w:ascii="Times New Roman" w:cs="Times New Roman" w:eastAsia="Times New Roman" w:hAnsi="Times New Roman"/>
          <w:sz w:val="18"/>
          <w:szCs w:val="18"/>
          <w:color w:val="auto"/>
        </w:rPr>
        <w:t>The Company separately classified the current and non-current components based on the value of settlements due within 12 months (current) and greater than 12 months (non-current). The Company exercised its option to cancel the interest rate swap during the third quarter of fiscal year 2024.</w:t>
      </w:r>
    </w:p>
    <w:p>
      <w:pPr>
        <w:spacing w:after="0" w:line="266"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basic and diluted net income per share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jc w:val="right"/>
              <w:ind w:right="7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45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12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159,544</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4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3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162,066</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excluded from diluted net income per share:</w:t>
            </w: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share units</w:t>
            </w: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stock units</w:t>
            </w: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antidilutive shares excluded</w:t>
            </w:r>
          </w:p>
        </w:tc>
        <w:tc>
          <w:tcPr>
            <w:tcW w:w="4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-1139190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7" w:name="page18"/>
    <w:bookmarkEnd w:id="17"/>
    <w:p>
      <w:pPr>
        <w:ind w:left="380"/>
        <w:spacing w:after="0"/>
        <w:rPr>
          <w:sz w:val="20"/>
          <w:szCs w:val="20"/>
          <w:color w:val="auto"/>
        </w:rPr>
      </w:pPr>
      <w:r>
        <w:rPr>
          <w:rFonts w:ascii="Times New Roman" w:cs="Times New Roman" w:eastAsia="Times New Roman" w:hAnsi="Times New Roman"/>
          <w:sz w:val="18"/>
          <w:szCs w:val="18"/>
          <w:color w:val="auto"/>
        </w:rPr>
        <w:t>The Company’s effective income tax rate was 27.9% and 25.2% for the three months ended March 31, 2025 and 2024,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11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 November 2022, the Company’s Board of Directors authorized a share repurchase program for up to an aggregate amount of $100.0 million of the Company's outstanding shares of Class A common stock, par value $0.0001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over an 18-month period.</w:t>
      </w:r>
    </w:p>
    <w:p>
      <w:pPr>
        <w:spacing w:after="0" w:line="5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paid $8.1 million to repurchase 449,432 shares of its Class A Common Stock through open market transactions during fiscal year 2023. On September 5, 2023, the Company used the remaining availability under the share repurchase program for an accelerated share repurchase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and paid approximately $91.9 million to receive an initial delivery of 4,131,551 shares of its Class A Common Stock in accordance with an ASR agreement with a third-party financial institution. The final settlement occurred on January 12, 2024, at which time, the Company received an additional 534,499 shares of Class A Common Stock calculated using a volume-weighted average price over the term of the ASR agreement. In connection with the settlement, the Company reduced the par value from common stock and $1.8 million from additional paid-in capital calculated using an average share price, with an offset of $1.8 million to accumulated deficit on the condensed consolidated statements of stockholders' equity.</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October 2023, the Company’s Board of Directors authorized a new share repurchase program for up to an aggregate amount of $100.0 million of its outstanding shares of Class A Common Stock over an 18-month period. After the Company repurchased an aggregate 3.5 million shares for approximately $87.3 million in fiscal year 2024, the Company's Board of Directors authorized the repurchase of up to an additional $100 million of its outstanding shares under the existing October 2023 program, providing the Company with approximately $112.7 million available for repurchases.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December 11, 2024, the Company entered into an ASR agreement with a third-party financial institution and paid $112.7 million to receive an initial delivery of 3,821,958 shares of its Class A Common Stock. The final settlement occurred on March 3, 2025, at which time, the Company received an additional 685,934 shares of Class A Common Stock calculated using a volume-weighted average price over the term of the ASR agreement. In connection with the settlement, the Company reduced the par value from common stock and $2.4 million from additional paid-in capital calculated using an average share price, with an offset of $2.4 million to accumulated deficit on the condensed consolidated statements of stockholders' equity. In addition, the Company recorded less than $0.1 million within accrued liabilities related to the excise taxes payable on net share repurchases on the condensed consolidated balance sheets as of March 31, 2025. All repurchased shares were subsequently retired. As of March 31, 2025, less than $0.1 million remained available under the share repurchase authorization.</w:t>
      </w:r>
    </w:p>
    <w:p>
      <w:pPr>
        <w:spacing w:after="0" w:line="296"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details the components of stock-based compensation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380" w:type="dxa"/>
            <w:vAlign w:val="bottom"/>
            <w:vMerge w:val="restart"/>
          </w:tcPr>
          <w:p>
            <w:pPr>
              <w:spacing w:after="0"/>
              <w:rPr>
                <w:sz w:val="15"/>
                <w:szCs w:val="15"/>
                <w:color w:val="auto"/>
              </w:rPr>
            </w:pPr>
          </w:p>
        </w:tc>
        <w:tc>
          <w:tcPr>
            <w:tcW w:w="2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38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8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3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20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1000" w:type="dxa"/>
            <w:vAlign w:val="bottom"/>
            <w:tcBorders>
              <w:top w:val="single" w:sz="8" w:color="CFF0FC"/>
            </w:tcBorders>
          </w:tcPr>
          <w:p>
            <w:pPr>
              <w:spacing w:after="0"/>
              <w:rPr>
                <w:sz w:val="24"/>
                <w:szCs w:val="24"/>
                <w:color w:val="auto"/>
              </w:rPr>
            </w:pPr>
          </w:p>
        </w:tc>
        <w:tc>
          <w:tcPr>
            <w:tcW w:w="3380" w:type="dxa"/>
            <w:vAlign w:val="bottom"/>
            <w:tcBorders>
              <w:top w:val="single" w:sz="8" w:color="CFF0FC"/>
            </w:tcBorders>
          </w:tcPr>
          <w:p>
            <w:pPr>
              <w:spacing w:after="0"/>
              <w:rPr>
                <w:sz w:val="24"/>
                <w:szCs w:val="24"/>
                <w:color w:val="auto"/>
              </w:rPr>
            </w:pPr>
          </w:p>
        </w:tc>
        <w:tc>
          <w:tcPr>
            <w:tcW w:w="2120" w:type="dxa"/>
            <w:vAlign w:val="bottom"/>
            <w:tcBorders>
              <w:top w:val="single" w:sz="8" w:color="CFF0FC"/>
            </w:tcBorders>
          </w:tcPr>
          <w:p>
            <w:pPr>
              <w:jc w:val="right"/>
              <w:ind w:right="690"/>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-1002665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-985520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12.  Tax Receivable Agreement</w:t>
      </w:r>
    </w:p>
    <w:p>
      <w:pPr>
        <w:spacing w:after="0" w:line="11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October 2018, the Company entered into a Tax Receivable Agreement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with PE Greenlight Holdings, LLC. On August 3, 2022, PE Greenlight Holdings, LLC sold and transferred to Lakeside Smart Holdco L.P (“</w:t>
      </w:r>
      <w:r>
        <w:rPr>
          <w:rFonts w:ascii="Times New Roman" w:cs="Times New Roman" w:eastAsia="Times New Roman" w:hAnsi="Times New Roman"/>
          <w:sz w:val="18"/>
          <w:szCs w:val="18"/>
          <w:b w:val="1"/>
          <w:bCs w:val="1"/>
          <w:i w:val="1"/>
          <w:iCs w:val="1"/>
          <w:color w:val="auto"/>
        </w:rPr>
        <w:t>Lakeside</w:t>
      </w:r>
      <w:r>
        <w:rPr>
          <w:rFonts w:ascii="Times New Roman" w:cs="Times New Roman" w:eastAsia="Times New Roman" w:hAnsi="Times New Roman"/>
          <w:sz w:val="18"/>
          <w:szCs w:val="18"/>
          <w:color w:val="auto"/>
        </w:rPr>
        <w:t>”), all of its rights, remaining interests and obligations as of that date under the TRA. The TRA provides for the payment to Lakeside of 50.0% of the net cash savings, if any, in U.S. federal, state and local income tax that the Company actually realizes (or is deemed to realize in certain circumstances) under the agreement. The Company generally retains the benefit of the remaining 50.0% of these cash savings. The Company estimated the potential maximum benefit to be paid will be approximately $70.0 million, and recorded an initial liability and corresponding charge to equity at the inception of the TRA.</w:t>
      </w:r>
    </w:p>
    <w:p>
      <w:pPr>
        <w:spacing w:after="0" w:line="7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March 31, 2025, the TRA liability was $48.1 million of which approximately $5.1 million was the current portion and $43.0 million was the non-current portion, both of which are included in the respective tax receivable agreement liability line items on the condensed consolidated balance sheets.</w:t>
      </w:r>
    </w:p>
    <w:p>
      <w:pPr>
        <w:spacing w:after="0" w:line="266"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rFonts w:ascii="Times New Roman" w:cs="Times New Roman" w:eastAsia="Times New Roman" w:hAnsi="Times New Roman"/>
          <w:sz w:val="18"/>
          <w:szCs w:val="18"/>
          <w:b w:val="1"/>
          <w:bCs w:val="1"/>
          <w:color w:val="auto"/>
        </w:rPr>
      </w:pPr>
    </w:p>
    <w:p>
      <w:pPr>
        <w:ind w:left="380" w:right="400"/>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$2.3 million of bank guarantees at March 31, 2025 required to support bids and contracts with certain international customers. The Company is subject to tax audits in the normal course of business and does not have material contingencies recorded related to such audits.</w:t>
      </w:r>
    </w:p>
    <w:p>
      <w:pPr>
        <w:spacing w:after="0" w:line="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accrued estimated amounts related to legal proceedings as of March 31, 2025 and December 31, 2024 within accrued liabilities on the condensed consolidated balance sheets. The ultimate cost of litigation or settlement of one or more of the following cases could be materially different than the amount of the current estimates and accruals and could have a material adverse impact on the Company's consolidated financial position, results of operations, or cash flows.</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 safety camera vendor, Redflex Traffic Systems, Inc. in April 2016. The Company acquired Redflex Traffic Systems, Inc. as part of its June 2021 purchase of Redflex Holdings Limited.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The parties entered into a settlement agreement and preliminary approval was granted by the court in April 2025. A final settlement amount has not yet been determined and requires final approval from the court.</w:t>
      </w:r>
    </w:p>
    <w:p>
      <w:pPr>
        <w:spacing w:after="0" w:line="75"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i w:val="1"/>
          <w:iCs w:val="1"/>
          <w:color w:val="auto"/>
        </w:rPr>
        <w:t>PlusPass Inc. (“</w:t>
      </w:r>
      <w:r>
        <w:rPr>
          <w:rFonts w:ascii="Times New Roman" w:cs="Times New Roman" w:eastAsia="Times New Roman" w:hAnsi="Times New Roman"/>
          <w:sz w:val="18"/>
          <w:szCs w:val="18"/>
          <w:b w:val="1"/>
          <w:bCs w:val="1"/>
          <w:i w:val="1"/>
          <w:iCs w:val="1"/>
          <w:color w:val="auto"/>
        </w:rPr>
        <w:t>PlusPass</w:t>
      </w:r>
      <w:r>
        <w:rPr>
          <w:rFonts w:ascii="Times New Roman" w:cs="Times New Roman" w:eastAsia="Times New Roman" w:hAnsi="Times New Roman"/>
          <w:sz w:val="18"/>
          <w:szCs w:val="18"/>
          <w:i w:val="1"/>
          <w:iCs w:val="1"/>
          <w:color w:val="auto"/>
        </w:rPr>
        <w:t xml:space="preserve">”) v. Verra Mobility Corporation, et al. </w:t>
      </w:r>
      <w:r>
        <w:rPr>
          <w:rFonts w:ascii="Times New Roman" w:cs="Times New Roman" w:eastAsia="Times New Roman" w:hAnsi="Times New Roman"/>
          <w:sz w:val="18"/>
          <w:szCs w:val="18"/>
          <w:color w:val="auto"/>
        </w:rPr>
        <w:t>is a lawsuit filed in the United States District Court, Central District of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Verra Mobility, The Gores Group LLC, Platinum Equity LLC and ATS Processing Services, Inc., in November 2020. In February 2024, Verra Mobility and PlusPass entered into a confidential business arrangement pursuant to which Verra Mobility (i) acquired certain assets from PlusPass and (ii) fully and finally resolved all litigation and disputes between the parties, including the payment of the settlement amount during the first quarter of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has three operating and reportable segments, Commercial Services, Government Solutions and Parking Solutions. Commercial Services offers toll and violation management solutions and title and registration services to RACs, Direct Fleets, FMCs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w:t>
      </w:r>
    </w:p>
    <w:p>
      <w:pPr>
        <w:spacing w:after="0" w:line="68"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The operating and reportable segments were determined based on how the Company's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regularly reviews the operating results of the various components of the Company for which discrete financial information is available, including based on the nature of the products and services and the type of customer. The Company defines the CODM as its Chief Executive Officer. The Company's CODM primarily uses actual revenues and segment profit (defined below) as compared to previously budgeted amounts to evaluate the operating performance, allocate resources and deploy capital to the segments.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w:t>
      </w:r>
    </w:p>
    <w:p>
      <w:pPr>
        <w:spacing w:after="0" w:line="77"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in the fourth quarter of fiscal year 2024, and as a result, updated the presentation of financial information by reportable segment. In addition, the CODM does not use discrete asset information to evaluate operating performance at the segment level, as such, the Company has not reported assets disaggregated by reportable segment.</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set forth financial information by segment for the respective periods: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right"/>
              <w:ind w:right="528"/>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1"/>
                <w:szCs w:val="11"/>
                <w:color w:val="auto"/>
              </w:rPr>
            </w:pPr>
          </w:p>
        </w:tc>
        <w:tc>
          <w:tcPr>
            <w:tcW w:w="130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80" w:type="dxa"/>
            <w:vAlign w:val="bottom"/>
          </w:tcPr>
          <w:p>
            <w:pPr>
              <w:spacing w:after="0"/>
              <w:rPr>
                <w:sz w:val="11"/>
                <w:szCs w:val="11"/>
                <w:color w:val="auto"/>
              </w:rPr>
            </w:pPr>
          </w:p>
        </w:tc>
        <w:tc>
          <w:tcPr>
            <w:tcW w:w="124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101,389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93,982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101,389</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101,822</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20,043</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(3,968)</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09"/>
        </w:trPr>
        <w:tc>
          <w:tcPr>
            <w:tcW w:w="5060" w:type="dxa"/>
            <w:vAlign w:val="bottom"/>
            <w:tcBorders>
              <w:top w:val="single" w:sz="8" w:color="CFF0F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63,097</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95,440</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16,636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vMerge w:val="restart"/>
          </w:tcPr>
          <w:p>
            <w:pPr>
              <w:jc w:val="right"/>
              <w:ind w:right="1013"/>
              <w:spacing w:after="0"/>
              <w:rPr>
                <w:sz w:val="20"/>
                <w:szCs w:val="20"/>
                <w:color w:val="auto"/>
              </w:rPr>
            </w:pPr>
            <w:r>
              <w:rPr>
                <w:rFonts w:ascii="Times New Roman" w:cs="Times New Roman" w:eastAsia="Times New Roman" w:hAnsi="Times New Roman"/>
                <w:sz w:val="18"/>
                <w:szCs w:val="18"/>
                <w:color w:val="auto"/>
                <w:w w:val="99"/>
              </w:rPr>
              <w:t>20</w:t>
            </w: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-1662430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-1662430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-1662430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-1662430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(1) This consists of depreciation and amortization expense and stock-based compensation to reconcile to total income before income taxes.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10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right"/>
              <w:ind w:right="528"/>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1"/>
                <w:szCs w:val="11"/>
                <w:color w:val="auto"/>
              </w:rPr>
            </w:pPr>
          </w:p>
        </w:tc>
        <w:tc>
          <w:tcPr>
            <w:tcW w:w="130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80" w:type="dxa"/>
            <w:vAlign w:val="bottom"/>
          </w:tcPr>
          <w:p>
            <w:pPr>
              <w:spacing w:after="0"/>
              <w:rPr>
                <w:sz w:val="11"/>
                <w:szCs w:val="11"/>
                <w:color w:val="auto"/>
              </w:rPr>
            </w:pPr>
          </w:p>
        </w:tc>
        <w:tc>
          <w:tcPr>
            <w:tcW w:w="124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5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95,889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90,275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202,721</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20" w:type="dxa"/>
            <w:vAlign w:val="bottom"/>
          </w:tcPr>
          <w:p>
            <w:pPr>
              <w:spacing w:after="0"/>
              <w:rPr>
                <w:sz w:val="18"/>
                <w:szCs w:val="18"/>
                <w:color w:val="auto"/>
              </w:rPr>
            </w:pPr>
          </w:p>
        </w:tc>
      </w:tr>
      <w:tr>
        <w:trPr>
          <w:trHeight w:val="210"/>
        </w:trPr>
        <w:tc>
          <w:tcPr>
            <w:tcW w:w="50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95,889</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94,187</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209,730</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69,574</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42,151</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(4,370)</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(4,453)</w:t>
            </w:r>
          </w:p>
        </w:tc>
      </w:tr>
      <w:tr>
        <w:trPr>
          <w:trHeight w:val="209"/>
        </w:trPr>
        <w:tc>
          <w:tcPr>
            <w:tcW w:w="5060" w:type="dxa"/>
            <w:vAlign w:val="bottom"/>
            <w:tcBorders>
              <w:top w:val="single" w:sz="8" w:color="CFF0F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60,812</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29,182</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120" w:type="dxa"/>
            <w:vAlign w:val="bottom"/>
            <w:tcBorders>
              <w:top w:val="single" w:sz="8" w:color="CFF0FC"/>
            </w:tcBorders>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0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19,635</w:t>
            </w:r>
          </w:p>
        </w:tc>
        <w:tc>
          <w:tcPr>
            <w:tcW w:w="120" w:type="dxa"/>
            <w:vAlign w:val="bottom"/>
            <w:shd w:val="clear" w:color="auto" w:fill="CFF0FC"/>
          </w:tcPr>
          <w:p>
            <w:pPr>
              <w:spacing w:after="0"/>
              <w:rPr>
                <w:sz w:val="17"/>
                <w:szCs w:val="17"/>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33,972</w:t>
            </w:r>
          </w:p>
        </w:tc>
        <w:tc>
          <w:tcPr>
            <w:tcW w:w="120" w:type="dxa"/>
            <w:vAlign w:val="bottom"/>
          </w:tcPr>
          <w:p>
            <w:pPr>
              <w:spacing w:after="0"/>
              <w:rPr>
                <w:sz w:val="18"/>
                <w:szCs w:val="18"/>
                <w:color w:val="auto"/>
              </w:rPr>
            </w:pPr>
          </w:p>
        </w:tc>
      </w:tr>
      <w:tr>
        <w:trPr>
          <w:trHeight w:val="250"/>
        </w:trPr>
        <w:tc>
          <w:tcPr>
            <w:tcW w:w="506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-890905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-890905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-890905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140" w:firstLine="517"/>
        <w:spacing w:after="0" w:line="282" w:lineRule="auto"/>
        <w:tabs>
          <w:tab w:leader="none" w:pos="8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primarily consists of depreciation and amortization expense, stock-based compensation and other costs to reconcile to total income before income taxes.</w:t>
      </w:r>
    </w:p>
    <w:p>
      <w:pPr>
        <w:spacing w:after="0" w:line="160" w:lineRule="exact"/>
        <w:rPr>
          <w:sz w:val="20"/>
          <w:szCs w:val="20"/>
          <w:color w:val="auto"/>
        </w:rPr>
      </w:pPr>
    </w:p>
    <w:p>
      <w:pPr>
        <w:ind w:firstLine="374"/>
        <w:spacing w:after="0" w:line="284" w:lineRule="auto"/>
        <w:rPr>
          <w:sz w:val="20"/>
          <w:szCs w:val="20"/>
          <w:color w:val="auto"/>
        </w:rPr>
      </w:pPr>
      <w:r>
        <w:rPr>
          <w:rFonts w:ascii="Times New Roman" w:cs="Times New Roman" w:eastAsia="Times New Roman" w:hAnsi="Times New Roman"/>
          <w:sz w:val="18"/>
          <w:szCs w:val="18"/>
          <w:color w:val="auto"/>
        </w:rPr>
        <w:t xml:space="preserve">The Company provides information on credit loss expense (income) by reportable segment,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additional details.</w:t>
      </w:r>
    </w:p>
    <w:p>
      <w:pPr>
        <w:spacing w:after="0" w:line="5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Company primarily operates within the United States, Australia, Canada, United Kingdom and in various other countries in Europe and Asia. The following table details the revenues from international operations for the respective periods: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820" w:type="dxa"/>
            <w:vAlign w:val="bottom"/>
            <w:vMerge w:val="restart"/>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4820" w:type="dxa"/>
            <w:vAlign w:val="bottom"/>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10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0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58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132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58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4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5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4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Annual Report, and our financial statements and the related notes included in Part I, Item 1 “Financial Statements” of this Report. This discussion contains forward-looking statements based upon current expectations that involve risks and uncertainties. Please refer to the section in this Report entitled “Cautionary Note Regarding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as well as governments, universities, parking operators, healthcare facilities, transportation hubs and violation-issuing authorities. Our vision is to continue to develop and use technology and data intelligence to make transportation safer, smarter and more connected globally.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three operating and reportable segments, Commercial Services, Government Solutions and Parking Solutions:</w:t>
      </w:r>
    </w:p>
    <w:p>
      <w:pPr>
        <w:spacing w:after="0" w:line="117"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Services segment offers toll and violation management solutions and title and registration services for commercial fleet customers, including RACs and FMCs in North America. In Europe, we provide tolling and violations processing services.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Solutions segment offers photo enforcement solutions and services to its customers. We provide complete, end-to-end speed, red-light, school bus stop arm and bus lane enforcement solutions. Our international operations primarily involve the sale of traffic enforcement products and recurring maintenance services related to the equipment and software.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Parking Solutions segment provides an integrated suite of parking software, transaction processing and hardware solutions to universities, municipalities, commercial parking operators and health care facilities in the United States and Canada.</w:t>
      </w:r>
    </w:p>
    <w:p>
      <w:pPr>
        <w:spacing w:after="0" w:line="270"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We operate under long-term contracts and a reoccurring service revenue model. We continue to execute our strategy to grow revenue organically year over year and focus on initiatives that support our long-term strategy. During the periods presented, we:</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revenue by $13.5 million, or 6.4%, from $209.7 million in the three months ended March 31, 2024 to $223.3 million in the same period in 2025. The increase was mainly due to service revenue resulting from increased travel volume in the Commercial Services segment and the growth from bus lane enforcement programs, back-office software-as-a-service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programs and higher product sales in the Government Solutions segment.</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cash flows from operating activities of $63.0 million and $34.3 million for the three months ended March 31, 2025 and 2024, respectively. Our cash on hand was $108.5 million as of March 31, 2025.</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Lowered interest expense by $3.0 million for the three months ended March 31, 2025 compared to the same period in 2024 due to debt refinancing in fiscal year 2024, further discussed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NYCDOT Contract</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March 31, 2025, NYCDOT announced that it identified the Company as the vendor to manage New York City’s automated enforcement camera safety programs for an expected five-year period after our current contract expires in December 2025. The New York City automated enforcement program remains an active procurement. We are currently engaged in contract negotiations with NYCDOT and if the contract terms and pricing are materially different from our current contract, or if the parties ultimately fail to consummate a new agreement, it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over an 18-month period. After we repurchased an aggregate 3.5 million shares for approximately $87.3 million in fiscal year 2024, our Board of Directors authorized the repurchase of up to an additional $100 million of our outstanding shares under the existing October 2023 program, providing us with approximately $112.7 million available for repurchases. On December 11, 2024, we entered into an ASR agreement with a third-party financial institution and paid $112.7 million to receive an initial delivery of 3,821,958 shares of our Class A Common Stock. The final settlement occurred on March 3, 2025, at which time, we received an additional 685,934 shares calculated using a volume-weighted average price over the term of the ASR agreement. All repurchased shares were subsequently retired.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Results of Operations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opportunities for us but also pose risks and challenges, including those discussed below and in our Annual Report on Form 10-K titled “Risk Factors” and in Part II, Item 1A of this Quarterly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Conditions</w:t>
      </w:r>
    </w:p>
    <w:p>
      <w:pPr>
        <w:spacing w:after="0" w:line="16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business is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the inflationary impact on items such as wages and travel-related costs, future travel demand, legislation regarding the adoption, expansion or prohibition of automated enforcement and traffic safety technology by local or state governments, and the impact of the government regulations and actions, including tariffs and trade protection measures. We continue to monitor the potential favorable or unfavorable impacts of these and other factors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Travel Demand</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Commercial Services segment is largely impacted by its customer demand which in turn is impacted by a variety of factors including seasonality, demand for business and leisure travel, reductions in the level of air travel, higher airfare costs, increases in energy prices, general international, national and local economic conditions and cycles, and consumer confidence, as well as other factors affecting travel levels, such as military conflicts, terrorist incidents, natural disasters and epidemic diseases.</w:t>
      </w:r>
    </w:p>
    <w:p>
      <w:pPr>
        <w:spacing w:after="0" w:line="68"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color w:val="auto"/>
        </w:rPr>
        <w:t>We monitor the Transportation and Security Administration passenger volume (“</w:t>
      </w:r>
      <w:r>
        <w:rPr>
          <w:rFonts w:ascii="Times New Roman" w:cs="Times New Roman" w:eastAsia="Times New Roman" w:hAnsi="Times New Roman"/>
          <w:sz w:val="18"/>
          <w:szCs w:val="18"/>
          <w:b w:val="1"/>
          <w:bCs w:val="1"/>
          <w:i w:val="1"/>
          <w:iCs w:val="1"/>
          <w:color w:val="auto"/>
        </w:rPr>
        <w:t>TSA Passenger Volume</w:t>
      </w:r>
      <w:r>
        <w:rPr>
          <w:rFonts w:ascii="Times New Roman" w:cs="Times New Roman" w:eastAsia="Times New Roman" w:hAnsi="Times New Roman"/>
          <w:sz w:val="18"/>
          <w:szCs w:val="18"/>
          <w:color w:val="auto"/>
        </w:rPr>
        <w:t>”) as one of several measures for Commercial Services revenue growth. TSA Passenger Volume measures the number of passengers screened by the TSA at United States airports, which correlates to the number of vehicles rented by travelers and toll road usage. TSA Passenger Volume in the first quarter of 2025 was 1% greater than TSA Passenger Volume for the same period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Tolling Penetration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Commercial Services segment, which offers automated toll and violations management solutions to fleet customers, is impacted by the number of toll roads in the United States and the geographic concentration of such roads. We monitor the expansion and penetration of toll roadways across the United States and the percentage of toll roads that rely on cashless or all-electronic infrastructure.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Enabling Legislation</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Government Solutions segment is positively impacted, in significant part, by enabling legislation that permits photo enforcement programs at the state and local level in the United States. Accordingly, we depend on national, state and local governments authorizing the use of automated photo enforcement and not otherwise materially restricting its use.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Our Commercial Services segment generates service revenue primarily through the operation and management of tolling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spacing w:after="0" w:line="1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72"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color w:val="auto"/>
        </w:rPr>
        <w:t>Our Parking Solutions segment generates service revenue mainly from offering software as a service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subscription fees, professional services and citation processing services related to parking management solutions to its customers.</w:t>
      </w:r>
    </w:p>
    <w:p>
      <w:pPr>
        <w:spacing w:after="0" w:line="157"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are generated by the sale of photo enforcement equipment in the Government Solutions segment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in the Parking Solutions segment. Customer buying patterns vary greatly from period to period related to product sales.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service costs, collection and other third-party costs in our segments.</w:t>
      </w:r>
    </w:p>
    <w:p>
      <w:pPr>
        <w:spacing w:after="0" w:line="158"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consists of the cost to acquire and install photo enforcement equipment purchased by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customers and costs to develop hardware sold to Parking Solutions customers.</w:t>
      </w:r>
    </w:p>
    <w:p>
      <w:pPr>
        <w:spacing w:after="0" w:line="158"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primarily include payroll and payroll-related costs (including stock-based compensation), subcontractor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payment processing and other operational costs, including print, postage and communication costs.</w:t>
      </w:r>
    </w:p>
    <w:p>
      <w:pPr>
        <w:spacing w:after="0" w:line="158"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include payroll and payroll-related costs (including stock-based compensation), real estate lease expense, insurance costs, professional services fees and general corporate expenses.</w:t>
      </w:r>
    </w:p>
    <w:p>
      <w:pPr>
        <w:spacing w:after="0" w:line="15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rFonts w:ascii="Times New Roman" w:cs="Times New Roman" w:eastAsia="Times New Roman" w:hAnsi="Times New Roman"/>
          <w:sz w:val="18"/>
          <w:szCs w:val="18"/>
          <w:color w:val="auto"/>
        </w:rPr>
        <w:t>. Depreciation, amortization and (gain) loss on disposal of assets, net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This includes interest expense and amortization of deferred financing costs and discounts and is net of interest income.</w:t>
      </w:r>
    </w:p>
    <w:p>
      <w:pPr>
        <w:spacing w:after="0" w:line="225"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Interest Rate Swap. </w:t>
      </w:r>
      <w:r>
        <w:rPr>
          <w:rFonts w:ascii="Times New Roman" w:cs="Times New Roman" w:eastAsia="Times New Roman" w:hAnsi="Times New Roman"/>
          <w:sz w:val="18"/>
          <w:szCs w:val="18"/>
          <w:color w:val="auto"/>
        </w:rPr>
        <w:t>Gain on interest rate swap related to the changes associated with the derivative instrument re-measured to fair value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the reporting period and the related periodic cash receipts or payments.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4" w:name="page25"/>
    <w:bookmarkEnd w:id="24"/>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consists of the write-off of pre-existing original issue discounts and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costs associated with debt extinguishment.</w:t>
      </w:r>
    </w:p>
    <w:p>
      <w:pPr>
        <w:spacing w:after="0" w:line="158"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primarily consists of volume rebates earned from total spend on credit card transactions, gains or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transactions and other non-operating expenses.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to Three Months Ended March 31, 2024</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8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4"/>
          </w:tcPr>
          <w:p>
            <w:pPr>
              <w:jc w:val="center"/>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7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7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211,902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202,721</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94.9%</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96.7%</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9,181</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7,009</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223,254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209,730</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100.0%</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13,524</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Cost of service revenue, excluding depreciation and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4,305</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04"/>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8,032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5,286</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3.6%</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2,746</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51.9%</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73,739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70,640</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51,501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48,171</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23.1%</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3,330</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27,814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26,975</w:t>
            </w:r>
          </w:p>
        </w:tc>
        <w:tc>
          <w:tcPr>
            <w:tcW w:w="22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12.5%</w:t>
            </w:r>
          </w:p>
        </w:tc>
        <w:tc>
          <w:tcPr>
            <w:tcW w:w="1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 of assets, net</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165,869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155,377</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74.3%</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74.1%</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10,492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57,385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54,353</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16,636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19,635</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7.5%</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(2,999)</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interest rate swap</w:t>
            </w:r>
          </w:p>
        </w:tc>
        <w:tc>
          <w:tcPr>
            <w:tcW w:w="2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(396)</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0.0%</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(570)</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(95.8)%</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(4,109)</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(4,453)</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other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12,552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15,381</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5.6%</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(2,829)</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44,833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38,972</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12,494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9,823</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5.6%</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2,671</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27.2%</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32,339</w:t>
            </w:r>
          </w:p>
        </w:tc>
        <w:tc>
          <w:tcPr>
            <w:tcW w:w="24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29,149</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-1216660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-1216660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-1216660</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-1216660</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-1216660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-427990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-427990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-427990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-427990</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-427990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-162560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-162560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-162560</wp:posOffset>
            </wp:positionV>
            <wp:extent cx="137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-162560</wp:posOffset>
            </wp:positionV>
            <wp:extent cx="137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-162560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$9.2 million, or 4.5%, to $211.9 million for the three months ended March 31, 2025 from $202.7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2024, representing 94.9% and 96.7% of total revenue, respectively. The following table depicts service revenue by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8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gridSpan w:val="4"/>
          </w:tcPr>
          <w:p>
            <w:pPr>
              <w:jc w:val="center"/>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70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Service revenue</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Commercial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95,889</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Government Solutions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93,982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90,275</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7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Parking Solutions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16,557</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service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211,902</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202,721</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94.9%</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96.7%</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669"/>
        </w:trPr>
        <w:tc>
          <w:tcPr>
            <w:tcW w:w="100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-959485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-942340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-959485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-942340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-959485</wp:posOffset>
            </wp:positionV>
            <wp:extent cx="1111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-942340</wp:posOffset>
            </wp:positionV>
            <wp:extent cx="111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-959485</wp:posOffset>
            </wp:positionV>
            <wp:extent cx="1111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-942340</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-959485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-942340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5" w:name="page26"/>
    <w:bookmarkEnd w:id="25"/>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Commercial Services service revenue increased by $5.5 million, or 5.7%, from $95.9 million for the three months ended March 31, 2024 to $101.4 million for the three months ended March 31, 2025. The increase was primarily due to increased travel volume, product adoption and increased tolling activity compared to the prior year. These factors contributed to a $4.3 million growth in RAC tolling revenue and an increase in enrolled vehicles as well as higher tolling activity for our FMC customers contributed to a $2.1 million growth in FMC revenue during the three months ended March 31, 2025, compared to the same period in 2024. These increases were partially offset by lower revenue from processing violations compared to the same period in 2024.</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Government Solutions service revenue increased by $3.7 million, or 4.1%, from $90.3 million for the three months ended March 31, 2024, to $94.0 million for the three months ended March 31, 2025. The increase was primarily driven by $3.2 million from the expansion of bus lane enforcement programs and back-office SaaS programs and the remaining increase from school bus stop arm enforcement programs.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Parking Solutions service revenue decreased slightly to $16.5 million for the three months ended March 31, 2025, from $16.6 million for the three months ended March 31, 2024. The increased revenue from SaaS product offerings was offset by a decrease in professional services related to parking management solutions.</w:t>
      </w:r>
    </w:p>
    <w:p>
      <w:pPr>
        <w:spacing w:after="0" w:line="17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approximately $11.3 million and $7.0 million for the three months ended March 31, 2025 and 2024,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sales increased by $4.3 million, which was due to a $3.9 million increase in product sales to international customers in the Government Solutions segment and the remaining increase in product sales from the Parking Solutions segment. Customer buying patterns vary greatly from period to period related to product sales.</w:t>
      </w:r>
    </w:p>
    <w:p>
      <w:pPr>
        <w:spacing w:after="0" w:line="18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$4.3 million for the three months ended March 31, 2024 to $4.8 million for the three months ended March 31, 2025, mainly due to increased recurring service and third-party costs for our segments.</w:t>
      </w:r>
    </w:p>
    <w:p>
      <w:pPr>
        <w:spacing w:after="0" w:line="173"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$2.7 million from $5.3 million in the three months ended March 31, 2024 to $8.0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three months ended March 31, 2025, which was in line with the increase in product sales discussed above.</w:t>
      </w:r>
    </w:p>
    <w:p>
      <w:pPr>
        <w:spacing w:after="0" w:line="15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$3.1 million, or 4.4%, from $70.6 million for the three months ended March 31,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$73.7 million for the three months ended March 31, 2025. The increase in 2025 compared to the prior period was primarily in the Government Solutions business for approximately $3.4 million due to increases in subcontractor costs, wages and operational equipment costs, partially offset by a decrease in operating expenses in the Parking Solutions business. Operating expenses as a percentage of total revenue decreased from 33.7% to 33.0% for the three months ended March 31, 2024 and 2025, respectively. The following table presents operating expenses by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gridSpan w:val="4"/>
          </w:tcPr>
          <w:p>
            <w:pPr>
              <w:jc w:val="center"/>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0" w:type="dxa"/>
            <w:vAlign w:val="bottom"/>
            <w:vMerge w:val="restart"/>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220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Commercial Services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Government Solutions</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Parking Solutions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(891)</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expenses by segment</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72,641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69,574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32.5%</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73,739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70,640</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33.0%</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629"/>
        </w:trPr>
        <w:tc>
          <w:tcPr>
            <w:tcW w:w="1000" w:type="dxa"/>
            <w:vAlign w:val="bottom"/>
            <w:tcBorders>
              <w:top w:val="single" w:sz="8" w:color="CFF0FC"/>
            </w:tcBorders>
          </w:tcPr>
          <w:p>
            <w:pPr>
              <w:spacing w:after="0"/>
              <w:rPr>
                <w:sz w:val="24"/>
                <w:szCs w:val="24"/>
                <w:color w:val="auto"/>
              </w:rPr>
            </w:pPr>
          </w:p>
        </w:tc>
        <w:tc>
          <w:tcPr>
            <w:tcW w:w="220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-934085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-916940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-934085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-916940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-934085</wp:posOffset>
            </wp:positionV>
            <wp:extent cx="1111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-916940</wp:posOffset>
            </wp:positionV>
            <wp:extent cx="1111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-934085</wp:posOffset>
            </wp:positionV>
            <wp:extent cx="1111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-916940</wp:posOffset>
            </wp:positionV>
            <wp:extent cx="1111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-934085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-916940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to $51.5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compared to $48.2 million for the same period in 2024. This is primarily due to a $2.9 million increase in credit loss expense, $2.3 million in increased consulting fees, partially offset by a decrease in transaction expenses compared to the same period in the prior year. Selling, general and administrative expenses as a percentage of total revenue increased slightly from 23.0% to 23.1% for the three months ended March 31, 2024 and 2025, respectively. The following table presents selling, general and administrative expenses by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gridSpan w:val="4"/>
          </w:tcPr>
          <w:p>
            <w:pPr>
              <w:jc w:val="center"/>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16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by segment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42,151</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48,171</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-25400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1111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1111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111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7"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$0.8 million to $27.8 million for the three months ended March 31, 2025 from $27.0 million for the same period in 2024. This was primarily due to an increase in depreciation expense for the Parking Solutions business in the 2025 period.</w:t>
      </w:r>
    </w:p>
    <w:p>
      <w:pPr>
        <w:spacing w:after="0" w:line="17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decreased by $3.0 million from $19.6 million for the three months ended March 31, 2024 to $16.6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2025. This was primarily attributable to voluntary principal prepayments made during 2024 and 2025 reducing the balance of the 2021 Term Loan and a 50 basis-point reduction in the interest rate from refinancing our debt in October 2024 coupled with decreasing SOFR rates.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below.</w:t>
      </w:r>
    </w:p>
    <w:p>
      <w:pPr>
        <w:spacing w:after="0" w:line="18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Interest Rate Swap. </w:t>
      </w:r>
      <w:r>
        <w:rPr>
          <w:rFonts w:ascii="Times New Roman" w:cs="Times New Roman" w:eastAsia="Times New Roman" w:hAnsi="Times New Roman"/>
          <w:sz w:val="18"/>
          <w:szCs w:val="18"/>
          <w:color w:val="auto"/>
        </w:rPr>
        <w:t>We recorded a $0.4 million gain during the three months ended March 31, 2024, of which $0.1 million is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derivative instrument re-measured to fair value at the end of the reporting period and $0.3 million related to the monthly cash proceeds on the interest rate swap. We exercised our option to cancel the interest rate swap agreement effective the end of the third quarter of 2024.</w:t>
      </w:r>
    </w:p>
    <w:p>
      <w:pPr>
        <w:spacing w:after="0" w:line="17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recorded less than $0.1 million of loss on extinguishment of debt during the three months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write-off of pre-existing deferred financing costs and discounts in connection with the early repayment on the 2021 Term Loan. We recorded a $0.6 million loss on extinguishment of debt during the three months ended March 31, 2024 related to the write-off of pre-existing deferred financing costs and discounts in connection with the refinancing of the 2021 Term Loan in February 2024.</w:t>
      </w:r>
    </w:p>
    <w:p>
      <w:pPr>
        <w:spacing w:after="0" w:line="18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$4.1 million for the three months ended March 31, 2025 compared to approximately $4.5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The decrease was from non-operating costs including foreign currency transaction losses mainly in the Commercial Services business.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27" w:name="page28"/>
    <w:bookmarkEnd w:id="27"/>
    <w:p>
      <w:pPr>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$12.5 million representing an effective tax rate of 27.9%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a tax provision of $9.8 million, with an effective tax rate of 25.2% for the same period in 2024.</w:t>
      </w:r>
    </w:p>
    <w:p>
      <w:pPr>
        <w:spacing w:after="0" w:line="15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$32.3 million for the three months ended March 31, 2025, as compared to a net income of $29.1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The $3.2 million increase in net income was primarily due to the decrease in interest expense and the other statement of operations activity discussed above.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principal sources of liquidity are cash flows from operations and the available borrowing under our Revolver (defined below).</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provided by operating activities and our ability to borrow under our Revolver will be sufficient to meet operating cash requirements, service debt obligations and fund potential share repurchases for at least the next 12 months and thereafter for the foreseeable future.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w:t>
      </w:r>
    </w:p>
    <w:p>
      <w:pPr>
        <w:spacing w:after="0" w:line="183"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have incurred significant long-term debt as a result of acquisitions completed in prior years. Should we pursue strategic acquisitions, we may need to raise additional capital, which may be in the form of additional long-term debt, borrowings on our Revolver, or equity financings, all of which may not be available to us on favorable terms or at all.</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the ability to borrow under our Revolver to meet obligations as they come due. As of March 31, 2025, we had $74.4 million available for borrowing, net of letters of credit, under our Revolver. Our cash on hand was $108.5 million as of March 31, 2025.</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fiscal year 2024, we refinanced the 2021 Term Loan (as defined below) which reduced the interest rate by an aggregate 1.00% and eliminated the applicable credit spread adjustment. We made an early repayment of approximately $2.3 million on our 2021 Term Loan during the three months ended March 31, 2025, and as a result, the total principal outstanding on the 2021 Term Loan was $693.3 million as of March 31, 2025.</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March 31, 2025, the Tax Receivable Agreement liability was approximately $48.1 million. We expect to make payments of approximately $5.2 million per year for the next 10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over an 18-month period. After we repurchased an aggregate 3.5 million shares for approximately $87.3 million in fiscal year 2024, our Board of Directors authorized the repurchase of up to an additional $100 million of our outstanding shares in December 2024 under the existing October 2023 program, providing us with approximately $112.7 million available for repurchases.</w:t>
      </w:r>
    </w:p>
    <w:p>
      <w:pPr>
        <w:spacing w:after="0" w:line="176"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On December 11, 2024, we entered into an accelerated share repurchase agreement (the “</w:t>
      </w:r>
      <w:r>
        <w:rPr>
          <w:rFonts w:ascii="Times New Roman" w:cs="Times New Roman" w:eastAsia="Times New Roman" w:hAnsi="Times New Roman"/>
          <w:sz w:val="18"/>
          <w:szCs w:val="18"/>
          <w:b w:val="1"/>
          <w:bCs w:val="1"/>
          <w:i w:val="1"/>
          <w:iCs w:val="1"/>
          <w:color w:val="auto"/>
        </w:rPr>
        <w:t>ASR Agreement</w:t>
      </w:r>
      <w:r>
        <w:rPr>
          <w:rFonts w:ascii="Times New Roman" w:cs="Times New Roman" w:eastAsia="Times New Roman" w:hAnsi="Times New Roman"/>
          <w:sz w:val="18"/>
          <w:szCs w:val="18"/>
          <w:color w:val="auto"/>
        </w:rPr>
        <w:t>”) with a third-party financial institution and paid $112.7 million to receive an initial delivery of 3,821,958 shares of our Class A Common Stock. The final settlement occurred on March 3, 2025, at which time, we received an additional 685,934 shares of Class A Common Stock calculated using a volume-weighted average price over the term of the ASR Agreement. All repurchased shares were subsequently retired. As of March 31, 2025, less than $0.1 million remained available under the share repurchase authorization.</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captions indicated on our statements of cash flows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240" w:type="dxa"/>
            <w:vAlign w:val="bottom"/>
            <w:vMerge w:val="restart"/>
          </w:tcPr>
          <w:p>
            <w:pPr>
              <w:spacing w:after="0"/>
              <w:rPr>
                <w:sz w:val="15"/>
                <w:szCs w:val="15"/>
                <w:color w:val="auto"/>
              </w:rPr>
            </w:pPr>
          </w:p>
        </w:tc>
        <w:tc>
          <w:tcPr>
            <w:tcW w:w="3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62,965</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34,332</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(13,937)</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(8,734)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(6,281)</w:t>
            </w:r>
          </w:p>
        </w:tc>
        <w:tc>
          <w:tcPr>
            <w:tcW w:w="0" w:type="dxa"/>
            <w:vAlign w:val="bottom"/>
          </w:tcPr>
          <w:p>
            <w:pPr>
              <w:spacing w:after="0"/>
              <w:rPr>
                <w:sz w:val="1"/>
                <w:szCs w:val="1"/>
                <w:color w:val="auto"/>
              </w:rPr>
            </w:pPr>
          </w:p>
        </w:tc>
      </w:tr>
      <w:tr>
        <w:trPr>
          <w:trHeight w:val="648"/>
        </w:trPr>
        <w:tc>
          <w:tcPr>
            <w:tcW w:w="1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8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8" w:name="page29"/>
    <w:bookmarkEnd w:id="28"/>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increased by approximately $28.7 million from $34.3 million for the three months ended March 31, 2024 to $63.0 million for the three months ended March 31, 2025. Net income year over year increased by $3.2 million, from $29.1 million in 2024 to $32.3 million in 2025. The aggregate adjustments to reconcile net income to net cash provided by operating activities increased $2.2 million mainly due to increased credit loss expense, stock-based compensation and depreciation expense, which were partially offset by a change in deferred income taxes. The aggregate changes in operating assets and liabilities increased by $23.2 million in 2025 compared to the prior year primarily due to a reduction in the net use of working capital, of which, the majority is attributable to a large payment that reduced accounts payable and other current liabilities in the first quarter of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$21.2 million and $13.9 million for the three months ended March 31, 2025 and 2024, respectively. The increase in cash used was primarily driven by a $7.0 million increase for purchases of installation and service parts and property and equipment mainly for the Government Solutions business compared to the same period in the prior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$8.7 million and $6.3 million for the three months ended March 31, 2025 and 2024, respectively. The increased use in cash from financing activities was mainly due to $2.0 million of higher payments for employee tax withholding related to RSUs and PSUs vesting in 2025 compared to the prior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115"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color w:val="auto"/>
        </w:rPr>
        <w:t>In March 2021,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our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$900.0 million, maturing on March 24, 2028. In connection with the 2021 Term Loan borrowings, we had $4.6 million of offering discount costs and $4.5 million in deferred financing costs, both of which were capitalized and are being amortized over the remaining life of the 2021 Term Loan.</w:t>
      </w:r>
    </w:p>
    <w:p>
      <w:pPr>
        <w:spacing w:after="0" w:line="176"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February 2024, VM Consolidated entered into a third amendment to the 2021 Term Loan (the “</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and in October 2024, a fourth amendment to the 2021 Term Loan (the “</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to refinance the 2021 Term Loan (the “</w:t>
      </w:r>
      <w:r>
        <w:rPr>
          <w:rFonts w:ascii="Times New Roman" w:cs="Times New Roman" w:eastAsia="Times New Roman" w:hAnsi="Times New Roman"/>
          <w:sz w:val="18"/>
          <w:szCs w:val="18"/>
          <w:b w:val="1"/>
          <w:bCs w:val="1"/>
          <w:i w:val="1"/>
          <w:iCs w:val="1"/>
          <w:color w:val="auto"/>
        </w:rPr>
        <w:t>Refinancing Transactions</w:t>
      </w:r>
      <w:r>
        <w:rPr>
          <w:rFonts w:ascii="Times New Roman" w:cs="Times New Roman" w:eastAsia="Times New Roman" w:hAnsi="Times New Roman"/>
          <w:sz w:val="18"/>
          <w:szCs w:val="18"/>
          <w:color w:val="auto"/>
        </w:rPr>
        <w:t>”). Pursuant to the Third and Fourth Amendments, the interest rate was reduced by an aggregate 1.00% to Term Secured Overnight Financing Rate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plus 2.25% from SOFR plus 3.25% with the SOFR floor unchanged at 0.00%. The credit spread adjustment, ranging from 0.11448% to 0.71513%, was eliminated. In addition, the 2021 Term Loan was amended to remove a provision for principal repayments which were previously required to be paid in quarterly installments.</w:t>
      </w:r>
    </w:p>
    <w:p>
      <w:pPr>
        <w:spacing w:after="0" w:line="18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March 31, 2025 and 2024, we made early repayments of $2.3 million on the 2021 Term Loan, and as a result the total principal outstanding was $693.3 million as of March 31, 2025.</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recorded less than $0.1 million of loss on extinguishment of debt during the three months ended March 31, 2025 related to the write-off of pre-existing deferred financing costs and discounts in connection with the early repayment. We recognized a loss on extinguishment of debt of $0.6 million for the three months ended March 31, 2024, related to the write-off of pre-existing deferred financing costs and discounts in connection with the refinancing of the 2021 Term Loan in February 2024.</w:t>
      </w:r>
    </w:p>
    <w:p>
      <w:pPr>
        <w:spacing w:after="0" w:line="18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2021 Term Loan bears interest based at our option, on either (i) SOFR plus an applicable margin of 2.25% per annum, or (ii) an alternate base rate plus an applicable margin of 1.25% per annum. As of March 31, 2025, the interest rate on the 2021 Term Loan was 6.6%.</w:t>
      </w:r>
    </w:p>
    <w:p>
      <w:pPr>
        <w:spacing w:after="0" w:line="16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73"/>
        </w:trPr>
        <w:tc>
          <w:tcPr>
            <w:tcW w:w="872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9"/>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5"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we incurred $5.7 million in lender and third-party costs, which were capitalized as deferred financing costs and are being amortized over the remaining life of the Senior Notes.</w:t>
      </w:r>
    </w:p>
    <w:p>
      <w:pPr>
        <w:spacing w:after="0" w:line="6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We may redeem all or a portion of the Senior Notes at the redemption prices set forth below in percentages by year, plus accrued and unpaid interest: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5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7"/>
              </w:rPr>
              <w:t>101.375%</w:t>
            </w:r>
          </w:p>
        </w:tc>
      </w:tr>
      <w:tr>
        <w:trPr>
          <w:trHeight w:val="234"/>
        </w:trPr>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 and thereafter</w:t>
            </w:r>
          </w:p>
        </w:tc>
        <w:tc>
          <w:tcPr>
            <w:tcW w:w="25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100.000%</w:t>
            </w: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22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have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SOFR plus an applicable margin, or (2) an alternate base rate, plus an applicable margin. The margin percentage applied to (1) SOFR is either 1.25%, 1.50%, or 1.75%, or (2) the base rate is either 0.25%, 0.50%, or 0.75%, depending on our average availability to borrow under the commitment. There is a credit spread adjustment of 0.10% for a one-month duration, 0.15% for a three-month duration, and 0.25% for a six-month duration, in addition to SOFR and the applicable margin percentages. There were no outstanding borrowings on the Revolver as of March 31, 2025 or December 31, 2024. The availability to borrow was $74.4 million, net of $0.6 million of outstanding letters of credit at March 31, 2025.</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we are also required to pay participation and fronting fees at 1.38% on $0.6 million of outstanding letters of credit as of March 31, 2025.</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our assets are pledged as collateral to secure our indebtedness under the 2021 Term Loan. At March 31, 2025, we were compliant with all debt covenants in our debt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recorded interest expense, including amortization of deferred financing costs and discounts, of $16.6 million and $19.6 million for the three months ended March 31, 2025 and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have any material off-balance sheet financing arrangements as of March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Please refer to our Annual Report for our critical accounting policies, estimates and judgments. We believe that our estimates and assumptions are reasonable in the circumstances; however, actual results could differ materially from those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color w:val="auto"/>
        </w:rPr>
        <w:t xml:space="preserve">We are exposed to interest rate risk due to the variable interest rate on the 2021 Term Loan described in Part I, Item 2.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Interest rate risk represents our exposure to fluctuations in interest rates associated with the variable rate debt represented by the 2021 Term Loan, which has an outstanding balance of $693.3 million at March 31, 2025. The 2021 Term Loan bears interest based, at our option, on either (i) SOFR plus an applicable margin of 2.25% per annum, or (ii) an alternate base rate plus an applicable margin of 1.25% per annum. As of March 31, 2025, the interest rate on the 2021 Term Loan was 6.6%.</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Based on the March 31, 2025 balance outstanding, each 1% movement in interest rates will result in an approximately $6.9 million change in annual interest expense.</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 cancellable interest rate swap agreement to hedge our exposure to interest rate fluctuations associated with the LIBOR (now transitioned to SOFR) portion of the variable interest rate on our 2021 Term Loan. We exercised our option to cancel the interest rate swap effective the end of the third quarter of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evaluated the effectiveness of our disclosure controls and procedures as of March 31, 2025. Based upon such evaluation, our principal executive officer and principal financial officer have concluded that our disclosure controls and procedures were effective at the reasonable assurance level as of such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or 15d-15(f) of the Exchange Act) that occurred during the quarter ended March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 safety camera vendor, Redflex Traffic Systems, Inc. in April 2016. The Company acquired Redflex Traffic Systems, Inc. as part of its June 2021 purchase of Redflex Holdings Limited.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The parties entered into a settlement agreement and preliminary approval was granted by the court in April 2025. A final settlement amount has not yet been determined and requires final approval from the court.</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We have accrued estimated amounts related to legal proceedings as of March 31, 2025 and December 31, 2024 within accrued liabilities on the condensed consolidated balance sheets. The information contained in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of this Quarterly Report on Form 10-Q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Factors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Part I, Item 1A. “Risk Factors” in our Annual Report includes a discussion of our risk factors. Other than the risk factor below, there have been no material changes from the risk factors described in our Annual Report. We may disclose changes to such risk factors or disclose additional risk factors from time to time in our future SEC filings.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Services and Government Solutions segments have several large customers, including NYCDOT, that account for a significant portion of our revenue, and a reduction in demand or loss of one or more of such customers could have a material adverse effect on our business.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business experiences varying levels of customer concentration. For example, in our Government Solutions segment, NYCDOT represented approximately 15.4% and 16.6% of our total revenues for the three months ended March 31, 2025 and 2024, respectively, and 16.7% and 17.2% of total accounts receivable, net as of March 31, 2025 and December 31, 2024, respectively. Our contract with NYCDOT expired on December 31, 2024, and we extended our current contract with NYCDOT through December 31, 2025 to allow NYCDOT to continue to operate its automated enforcement program until NYCDOT’s competitive procurement process is completed. On March 31, 2025, NYCDOT announced that it identified the Company as the vendor to manage New York City’s automated enforcement camera safety programs for an expected five-year period after the Company’s current contract expires in December 2025. The New York City automated enforcement program remains an active procurement. We are currently engaged in contract negotiations with NYCDOT and if the contract terms and pricing are materially different from our current contract, or if the parties ultimately fail to consummate a new agreement, it could have a material adverse effect on our business, financial condition and results of operations. We may continue to rely on a small number of customers in our Government Solutions segment to represent a significant portion of our total revenues in any given period. The loss of any of our top Government Solutions customers could have a material adverse effect on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also experience customer concentration in our Commercial Services segment. Three of our Commercial Services customers collectively accounted for 37.9% and 36.4% of our total revenue for the three months ended March 31, 2025 and 2024, respectively. If any of these customers were to reduce their demand, the demand fluctuates, or one of more of these customers terminates their agreements with us, it would have a material adverse impact on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details the purchases of our Class A Common Stock during the three months ended March 31, 2025:</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3"/>
                <w:szCs w:val="13"/>
                <w:color w:val="auto"/>
              </w:rPr>
            </w:pPr>
          </w:p>
        </w:tc>
        <w:tc>
          <w:tcPr>
            <w:tcW w:w="26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 Dollar Value of Shares that</w:t>
            </w:r>
          </w:p>
        </w:tc>
        <w:tc>
          <w:tcPr>
            <w:tcW w:w="0" w:type="dxa"/>
            <w:vAlign w:val="bottom"/>
          </w:tcPr>
          <w:p>
            <w:pPr>
              <w:spacing w:after="0"/>
              <w:rPr>
                <w:sz w:val="1"/>
                <w:szCs w:val="1"/>
                <w:color w:val="auto"/>
              </w:rPr>
            </w:pPr>
          </w:p>
        </w:tc>
      </w:tr>
      <w:tr>
        <w:trPr>
          <w:trHeight w:val="68"/>
        </w:trPr>
        <w:tc>
          <w:tcPr>
            <w:tcW w:w="3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vMerge w:val="restart"/>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gridSpan w:val="3"/>
            <w:vMerge w:val="restart"/>
          </w:tcPr>
          <w:p>
            <w:pPr>
              <w:jc w:val="right"/>
              <w:ind w:right="14"/>
              <w:spacing w:after="0" w:line="146"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220" w:type="dxa"/>
            <w:vAlign w:val="bottom"/>
          </w:tcPr>
          <w:p>
            <w:pPr>
              <w:spacing w:after="0"/>
              <w:rPr>
                <w:sz w:val="5"/>
                <w:szCs w:val="5"/>
                <w:color w:val="auto"/>
              </w:rPr>
            </w:pPr>
          </w:p>
        </w:tc>
        <w:tc>
          <w:tcPr>
            <w:tcW w:w="190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40" w:type="dxa"/>
            <w:vAlign w:val="bottom"/>
          </w:tcPr>
          <w:p>
            <w:pPr>
              <w:spacing w:after="0"/>
              <w:rPr>
                <w:sz w:val="5"/>
                <w:szCs w:val="5"/>
                <w:color w:val="auto"/>
              </w:rPr>
            </w:pPr>
          </w:p>
        </w:tc>
        <w:tc>
          <w:tcPr>
            <w:tcW w:w="2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3240" w:type="dxa"/>
            <w:vAlign w:val="bottom"/>
            <w:vMerge w:val="restart"/>
          </w:tcPr>
          <w:p>
            <w:pPr>
              <w:ind w:left="1420"/>
              <w:spacing w:after="0" w:line="160"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6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00" w:type="dxa"/>
            <w:vAlign w:val="bottom"/>
            <w:gridSpan w:val="3"/>
            <w:vMerge w:val="restart"/>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May Yet to be Purchased Under the</w:t>
            </w:r>
          </w:p>
        </w:tc>
        <w:tc>
          <w:tcPr>
            <w:tcW w:w="0" w:type="dxa"/>
            <w:vAlign w:val="bottom"/>
          </w:tcPr>
          <w:p>
            <w:pPr>
              <w:spacing w:after="0"/>
              <w:rPr>
                <w:sz w:val="1"/>
                <w:szCs w:val="1"/>
                <w:color w:val="auto"/>
              </w:rPr>
            </w:pPr>
          </w:p>
        </w:tc>
      </w:tr>
      <w:tr>
        <w:trPr>
          <w:trHeight w:val="81"/>
        </w:trPr>
        <w:tc>
          <w:tcPr>
            <w:tcW w:w="3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restart"/>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jc w:val="right"/>
              <w:ind w:right="214"/>
              <w:spacing w:after="0" w:line="81" w:lineRule="exact"/>
              <w:rPr>
                <w:sz w:val="20"/>
                <w:szCs w:val="20"/>
                <w:color w:val="auto"/>
              </w:rPr>
            </w:pPr>
            <w:r>
              <w:rPr>
                <w:rFonts w:ascii="Times New Roman" w:cs="Times New Roman" w:eastAsia="Times New Roman" w:hAnsi="Times New Roman"/>
                <w:sz w:val="8"/>
                <w:szCs w:val="8"/>
                <w:b w:val="1"/>
                <w:bCs w:val="1"/>
                <w:color w:val="auto"/>
              </w:rPr>
              <w:t>(1)</w:t>
            </w:r>
          </w:p>
        </w:tc>
        <w:tc>
          <w:tcPr>
            <w:tcW w:w="220" w:type="dxa"/>
            <w:vAlign w:val="bottom"/>
          </w:tcPr>
          <w:p>
            <w:pPr>
              <w:spacing w:after="0"/>
              <w:rPr>
                <w:sz w:val="7"/>
                <w:szCs w:val="7"/>
                <w:color w:val="auto"/>
              </w:rPr>
            </w:pPr>
          </w:p>
        </w:tc>
        <w:tc>
          <w:tcPr>
            <w:tcW w:w="19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740" w:type="dxa"/>
            <w:vAlign w:val="bottom"/>
          </w:tcPr>
          <w:p>
            <w:pPr>
              <w:jc w:val="right"/>
              <w:ind w:right="535"/>
              <w:spacing w:after="0" w:line="68" w:lineRule="exact"/>
              <w:rPr>
                <w:sz w:val="20"/>
                <w:szCs w:val="20"/>
                <w:color w:val="auto"/>
              </w:rPr>
            </w:pPr>
            <w:r>
              <w:rPr>
                <w:rFonts w:ascii="Times New Roman" w:cs="Times New Roman" w:eastAsia="Times New Roman" w:hAnsi="Times New Roman"/>
                <w:sz w:val="7"/>
                <w:szCs w:val="7"/>
                <w:b w:val="1"/>
                <w:bCs w:val="1"/>
                <w:color w:val="auto"/>
              </w:rPr>
              <w:t>(1)</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Programs </w:t>
            </w:r>
            <w:r>
              <w:rPr>
                <w:rFonts w:ascii="Times New Roman" w:cs="Times New Roman" w:eastAsia="Times New Roman" w:hAnsi="Times New Roman"/>
                <w:sz w:val="19"/>
                <w:szCs w:val="19"/>
                <w:b w:val="1"/>
                <w:bCs w:val="1"/>
                <w:color w:val="auto"/>
                <w:w w:val="95"/>
                <w:vertAlign w:val="superscript"/>
              </w:rPr>
              <w:t>(1)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January 1, 2025 - January 31, 2025</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February 1, 2025 - February 28, 2025</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March 1, 2025 - March 31, 2025</w:t>
            </w:r>
          </w:p>
        </w:tc>
        <w:tc>
          <w:tcPr>
            <w:tcW w:w="1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685,934</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20" w:type="dxa"/>
            <w:vAlign w:val="bottom"/>
            <w:tcBorders>
              <w:bottom w:val="single" w:sz="8" w:color="CFF0FC"/>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685,934</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21,379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685,934</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685,934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-156210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-156210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-156210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-156210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jc w:val="both"/>
        <w:ind w:firstLine="517"/>
        <w:spacing w:after="0" w:line="255" w:lineRule="auto"/>
        <w:tabs>
          <w:tab w:leader="none" w:pos="7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over an 18-month period. After we repurchased an aggregate 3.5 million shares for approximately $87.3 million in fiscal year 2024, our Board of Directors authorized the repurchase of up to an additional $100 million of our outstanding shares under the existing October 2023 program, providing us with approximately $112.7 million available for repurchases. On December 11, 2024, we entered into an ASR agreement with a third-party financial institution and paid $112.7 million to receive an initial delivery of 3,821,958 shares of our Class A Common Stock. The final settlement occurred on March 3, 2025, at which time, we received an additional 685,934 shares calculated using a volume-weighted average price over the term of the ASR agreement. As of March 31, 2025, less than $0.1 million remained available under the share repurchase authorization.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have any sales of unregistered equity securities during the three months ended March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executive officers adopted or terminated a Rule 10b5-1 trading arrangement or a non-Rule 10b5-1 trading arrangement (as each term is defined in Item 408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9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4980" w:type="dxa"/>
            <w:vAlign w:val="bottom"/>
            <w:gridSpan w:val="9"/>
          </w:tcPr>
          <w:p>
            <w:pPr>
              <w:spacing w:after="0" w:line="16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Second Amended and Restated Certificate of Incorporation of</w:t>
              </w:r>
            </w:hyperlink>
          </w:p>
        </w:tc>
        <w:tc>
          <w:tcPr>
            <w:tcW w:w="820" w:type="dxa"/>
            <w:vAlign w:val="bottom"/>
          </w:tcPr>
          <w:p>
            <w:pPr>
              <w:jc w:val="center"/>
              <w:ind w:right="13"/>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35"/>
              <w:spacing w:after="0" w:line="169" w:lineRule="exact"/>
              <w:rPr>
                <w:sz w:val="20"/>
                <w:szCs w:val="20"/>
                <w:color w:val="auto"/>
              </w:rPr>
            </w:pPr>
            <w:r>
              <w:rPr>
                <w:rFonts w:ascii="Times New Roman" w:cs="Times New Roman" w:eastAsia="Times New Roman" w:hAnsi="Times New Roman"/>
                <w:sz w:val="18"/>
                <w:szCs w:val="18"/>
                <w:color w:val="auto"/>
                <w:w w:val="99"/>
              </w:rPr>
              <w:t>001-37979</w:t>
            </w: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6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October 22, 2018</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Verra Mobility Corporation.</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980" w:type="dxa"/>
            <w:vAlign w:val="bottom"/>
            <w:gridSpan w:val="9"/>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Amended and Restated Bylaws of Verra Mobility Corporation.</w:t>
              </w:r>
            </w:hyperlink>
          </w:p>
        </w:tc>
        <w:tc>
          <w:tcPr>
            <w:tcW w:w="82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001-37979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980" w:type="dxa"/>
            <w:vAlign w:val="bottom"/>
            <w:gridSpan w:val="9"/>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Amendment No. 2 to Verra Mobility Corporation Amended and</w:t>
              </w:r>
            </w:hyperlink>
          </w:p>
        </w:tc>
        <w:tc>
          <w:tcPr>
            <w:tcW w:w="82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001-37979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Restated 2018 Equity Incentive Plan.</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980" w:type="dxa"/>
            <w:vAlign w:val="bottom"/>
            <w:gridSpan w:val="9"/>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of Notice of Grant of Performance Share Units and Award</w:t>
              </w:r>
            </w:hyperlink>
          </w:p>
        </w:tc>
        <w:tc>
          <w:tcPr>
            <w:tcW w:w="82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001-37979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9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Agreement  (U.S.  Participants)  under  the  Verra  Mobility</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9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Corporation 2018 Equity Incentive Plan.</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EE"/>
            </w:tcBorders>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980" w:type="dxa"/>
            <w:vAlign w:val="bottom"/>
            <w:gridSpan w:val="9"/>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Notice of Grant of Performance Share Units and Award</w:t>
              </w:r>
            </w:hyperlink>
          </w:p>
        </w:tc>
        <w:tc>
          <w:tcPr>
            <w:tcW w:w="82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001-37979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Agreement  (Non-U.S.  Participants)  under  the  Verra  Mobility</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Corporation 2018 Equity Incentive Plan.</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EE"/>
            </w:tcBorders>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1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86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8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does not appear in</w:t>
            </w: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50" w:lineRule="exact"/>
        <w:rPr>
          <w:sz w:val="20"/>
          <w:szCs w:val="20"/>
          <w:color w:val="auto"/>
        </w:rPr>
      </w:pPr>
    </w:p>
    <w:p>
      <w:pPr>
        <w:ind w:firstLine="8"/>
        <w:spacing w:after="0" w:line="282"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VERRA MOBILITY CORPORATION</w:t>
            </w:r>
          </w:p>
        </w:tc>
      </w:tr>
      <w:tr>
        <w:trPr>
          <w:trHeight w:val="44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78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Craig Conti</w:t>
            </w:r>
          </w:p>
        </w:tc>
      </w:tr>
      <w:tr>
        <w:trPr>
          <w:trHeight w:val="191"/>
        </w:trPr>
        <w:tc>
          <w:tcPr>
            <w:tcW w:w="34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Craig Conti</w:t>
            </w:r>
          </w:p>
        </w:tc>
      </w:tr>
      <w:tr>
        <w:trPr>
          <w:trHeight w:val="216"/>
        </w:trPr>
        <w:tc>
          <w:tcPr>
            <w:tcW w:w="3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864"/>
        </w:trPr>
        <w:tc>
          <w:tcPr>
            <w:tcW w:w="3440" w:type="dxa"/>
            <w:vAlign w:val="bottom"/>
          </w:tcPr>
          <w:p>
            <w:pPr>
              <w:spacing w:after="0"/>
              <w:rPr>
                <w:sz w:val="24"/>
                <w:szCs w:val="24"/>
                <w:color w:val="auto"/>
              </w:rPr>
            </w:pPr>
          </w:p>
        </w:tc>
        <w:tc>
          <w:tcPr>
            <w:tcW w:w="28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35</w:t>
            </w:r>
          </w:p>
        </w:tc>
        <w:tc>
          <w:tcPr>
            <w:tcW w:w="500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Roberts, certify that:</w:t>
      </w:r>
    </w:p>
    <w:p>
      <w:pPr>
        <w:spacing w:after="0" w:line="18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2025</w:t>
            </w:r>
          </w:p>
        </w:tc>
        <w:tc>
          <w:tcPr>
            <w:tcW w:w="3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Roberts</w:t>
            </w:r>
          </w:p>
        </w:tc>
      </w:tr>
      <w:tr>
        <w:trPr>
          <w:trHeight w:val="191"/>
        </w:trPr>
        <w:tc>
          <w:tcPr>
            <w:tcW w:w="40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Roberts</w:t>
            </w:r>
          </w:p>
        </w:tc>
      </w:tr>
      <w:tr>
        <w:trPr>
          <w:trHeight w:val="234"/>
        </w:trPr>
        <w:tc>
          <w:tcPr>
            <w:tcW w:w="4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303"/>
        </w:trPr>
        <w:tc>
          <w:tcPr>
            <w:tcW w:w="40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Conti, certify that:</w:t>
      </w:r>
    </w:p>
    <w:p>
      <w:pPr>
        <w:spacing w:after="0" w:line="185"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2025</w:t>
            </w:r>
          </w:p>
        </w:tc>
        <w:tc>
          <w:tcPr>
            <w:tcW w:w="31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Conti</w:t>
            </w:r>
          </w:p>
        </w:tc>
      </w:tr>
      <w:tr>
        <w:trPr>
          <w:trHeight w:val="191"/>
        </w:trPr>
        <w:tc>
          <w:tcPr>
            <w:tcW w:w="40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4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40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the period ended March 31, 2025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David Roberts, President and Chief Executive Officer of the Company, hereby certify, pursuant to 17 U.S.C. Section 1350, as adopted pursuant to Section 906 of the Sarbanes-Oxley Act of 2002, that to the best of my knowledge:</w:t>
      </w:r>
    </w:p>
    <w:p>
      <w:pPr>
        <w:spacing w:after="0" w:line="72"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Roberts</w:t>
            </w:r>
          </w:p>
        </w:tc>
      </w:tr>
      <w:tr>
        <w:trPr>
          <w:trHeight w:val="191"/>
        </w:trPr>
        <w:tc>
          <w:tcPr>
            <w:tcW w:w="34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Roberts</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303"/>
        </w:trPr>
        <w:tc>
          <w:tcPr>
            <w:tcW w:w="34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the period ended March 31, 2025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Craig Conti, Chief Financial Officer of the Company, hereby certify, pursuant to 17 U.S.C. Section 1350, as adopted pursuant to Section 906 of the Sarbanes-Oxley Act of 2002, that to the best of my knowledge:</w:t>
      </w:r>
    </w:p>
    <w:p>
      <w:pPr>
        <w:spacing w:after="0" w:line="67"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Conti</w:t>
            </w:r>
          </w:p>
        </w:tc>
      </w:tr>
      <w:tr>
        <w:trPr>
          <w:trHeight w:val="191"/>
        </w:trPr>
        <w:tc>
          <w:tcPr>
            <w:tcW w:w="34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34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6"/>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decimal"/>
      <w:start w:val="8"/>
    </w:lvl>
  </w:abstractNum>
  <w:abstractNum w:abstractNumId="12">
    <w:nsid w:val="3F2DBA31"/>
    <w:multiLevelType w:val="hybridMultilevel"/>
    <w:lvl w:ilvl="0">
      <w:lvlJc w:val="left"/>
      <w:lvlText w:val="%1."/>
      <w:numFmt w:val="decimal"/>
      <w:start w:val="9"/>
    </w:lvl>
  </w:abstractNum>
  <w:abstractNum w:abstractNumId="13">
    <w:nsid w:val="7C83E458"/>
    <w:multiLevelType w:val="hybridMultilevel"/>
    <w:lvl w:ilvl="0">
      <w:lvlJc w:val="left"/>
      <w:lvlText w:val="%1."/>
      <w:numFmt w:val="decimal"/>
      <w:start w:val="11"/>
    </w:lvl>
  </w:abstractNum>
  <w:abstractNum w:abstractNumId="14">
    <w:nsid w:val="257130A3"/>
    <w:multiLevelType w:val="hybridMultilevel"/>
    <w:lvl w:ilvl="0">
      <w:lvlJc w:val="left"/>
      <w:lvlText w:val="%1."/>
      <w:numFmt w:val="decimal"/>
      <w:start w:val="13"/>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31" Type="http://schemas.openxmlformats.org/officeDocument/2006/relationships/hyperlink" Target="https://www.sec.gov/Archives/edgar/data/1682745/000156459018024644/vrrm-ex31_941.htm" TargetMode="External"/><Relationship Id="rId232" Type="http://schemas.openxmlformats.org/officeDocument/2006/relationships/hyperlink" Target="https://www.sec.gov/ix?doc=/Archives/edgar/data/1682745/000095017023062035/vrrm-20231108.htm" TargetMode="External"/><Relationship Id="rId233" Type="http://schemas.openxmlformats.org/officeDocument/2006/relationships/hyperlink" Target="https://www.sec.gov/Archives/edgar/data/1682745/000095017025029180/vrrm-ex10_16.htm" TargetMode="External"/><Relationship Id="rId234" Type="http://schemas.openxmlformats.org/officeDocument/2006/relationships/hyperlink" Target="https://www.sec.gov/Archives/edgar/data/1682745/000095017025029180/vrrm-ex10_36.htm" TargetMode="External"/><Relationship Id="rId235" Type="http://schemas.openxmlformats.org/officeDocument/2006/relationships/hyperlink" Target="https://www.sec.gov/Archives/edgar/data/1682745/000095017025029180/vrrm-ex10_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2025-05-07T15:56:46Z</dcterms:created>
  <dcterms:modified xsi:type="dcterms:W3CDTF">2025-05-07T15:56:46Z</dcterms:modified>
</cp:coreProperties>
</file>