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30, 2026</w:t>
      </w:r>
    </w:p>
    <w:p>
      <w:pPr>
        <w:spacing w:after="0" w:line="3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VERRA MOBILITY CORPORATION</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320" w:type="dxa"/>
        <w:tblCellMar>
          <w:top w:w="0" w:type="dxa"/>
          <w:left w:w="0" w:type="dxa"/>
          <w:bottom w:w="0" w:type="dxa"/>
          <w:right w:w="0" w:type="dxa"/>
        </w:tblCellMar>
      </w:tblPr>
      <w:tr>
        <w:trPr>
          <w:trHeight w:val="211"/>
        </w:trPr>
        <w:tc>
          <w:tcPr>
            <w:tcW w:w="4620" w:type="dxa"/>
            <w:vAlign w:val="bottom"/>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60" w:type="dxa"/>
            <w:vAlign w:val="bottom"/>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81-3563824</w:t>
            </w:r>
          </w:p>
        </w:tc>
      </w:tr>
      <w:tr>
        <w:trPr>
          <w:trHeight w:val="147"/>
        </w:trPr>
        <w:tc>
          <w:tcPr>
            <w:tcW w:w="4620" w:type="dxa"/>
            <w:vAlign w:val="bottom"/>
          </w:tcPr>
          <w:p>
            <w:pPr>
              <w:jc w:val="center"/>
              <w:ind w:right="1680"/>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60" w:type="dxa"/>
            <w:vAlign w:val="bottom"/>
          </w:tcPr>
          <w:p>
            <w:pPr>
              <w:jc w:val="center"/>
              <w:ind w:left="1682"/>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4620" w:type="dxa"/>
            <w:vAlign w:val="bottom"/>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60" w:type="dxa"/>
            <w:vAlign w:val="bottom"/>
          </w:tcPr>
          <w:p>
            <w:pPr>
              <w:jc w:val="center"/>
              <w:ind w:left="16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3"/>
        </w:trPr>
        <w:tc>
          <w:tcPr>
            <w:tcW w:w="4620" w:type="dxa"/>
            <w:vAlign w:val="bottom"/>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8"/>
              </w:rPr>
              <w:t>2046 Riverview Auto Drive, Suite 300</w:t>
            </w:r>
          </w:p>
        </w:tc>
        <w:tc>
          <w:tcPr>
            <w:tcW w:w="2860" w:type="dxa"/>
            <w:vAlign w:val="bottom"/>
          </w:tcPr>
          <w:p>
            <w:pPr>
              <w:spacing w:after="0"/>
              <w:rPr>
                <w:sz w:val="24"/>
                <w:szCs w:val="24"/>
                <w:color w:val="auto"/>
              </w:rPr>
            </w:pPr>
          </w:p>
        </w:tc>
      </w:tr>
      <w:tr>
        <w:trPr>
          <w:trHeight w:val="225"/>
        </w:trPr>
        <w:tc>
          <w:tcPr>
            <w:tcW w:w="4620" w:type="dxa"/>
            <w:vAlign w:val="bottom"/>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8"/>
              </w:rPr>
              <w:t>Mesa, Arizona</w:t>
            </w:r>
          </w:p>
        </w:tc>
        <w:tc>
          <w:tcPr>
            <w:tcW w:w="2860" w:type="dxa"/>
            <w:vAlign w:val="bottom"/>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rPr>
              <w:t>85201</w:t>
            </w:r>
          </w:p>
        </w:tc>
      </w:tr>
      <w:tr>
        <w:trPr>
          <w:trHeight w:val="187"/>
        </w:trPr>
        <w:tc>
          <w:tcPr>
            <w:tcW w:w="462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60" w:type="dxa"/>
            <w:vAlign w:val="bottom"/>
          </w:tcPr>
          <w:p>
            <w:pPr>
              <w:jc w:val="center"/>
              <w:ind w:left="1682"/>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 Restricted Stock Units Agreement (Inducement Award)</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Kristen Young</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General Counsel and Corporate Secretary</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2046 Riverview Auto Drive, Suite 300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Mesa, Arizona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(480) 443-7000</w:t>
      </w: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 B. Beckman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Rupa Briggs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Hogan Lovells Cadwalader US LLP</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555 13th St NW</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(202) 637-5600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233045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8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300"/>
        <w:spacing w:after="0" w:line="238"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900"/>
          </w:cols>
          <w:pgMar w:left="500" w:top="224" w:right="499" w:bottom="1440" w:gutter="0" w:footer="0" w:header="0"/>
        </w:sectPr>
      </w:pPr>
    </w:p>
    <w:bookmarkStart w:id="1" w:name="page2"/>
    <w:bookmarkEnd w:id="1"/>
    <w:p>
      <w:pPr>
        <w:jc w:val="center"/>
        <w:ind w:right="-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220" w:lineRule="exact"/>
        <w:rPr>
          <w:sz w:val="20"/>
          <w:szCs w:val="20"/>
          <w:color w:val="auto"/>
        </w:rPr>
      </w:pPr>
    </w:p>
    <w:p>
      <w:pPr>
        <w:ind w:left="6" w:right="60" w:firstLine="436"/>
        <w:spacing w:after="0" w:line="256" w:lineRule="auto"/>
        <w:rPr>
          <w:sz w:val="20"/>
          <w:szCs w:val="20"/>
          <w:color w:val="auto"/>
        </w:rPr>
      </w:pPr>
      <w:r>
        <w:rPr>
          <w:rFonts w:ascii="Times New Roman" w:cs="Times New Roman" w:eastAsia="Times New Roman" w:hAnsi="Times New Roman"/>
          <w:sz w:val="18"/>
          <w:szCs w:val="18"/>
          <w:color w:val="auto"/>
        </w:rPr>
        <w:t>This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registers 1,583,333 shares of Class A common stock, par value $0.0001 per share (the “Common Stock”), of Verra Mobility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which may be issued upon the vesting and settlement of restricted stock units, in accordance with the Restricted Stock Units Agreement (Inducement Award), by and between the Company and Jon Newhard (“</w:t>
      </w:r>
      <w:r>
        <w:rPr>
          <w:rFonts w:ascii="Times New Roman" w:cs="Times New Roman" w:eastAsia="Times New Roman" w:hAnsi="Times New Roman"/>
          <w:sz w:val="18"/>
          <w:szCs w:val="18"/>
          <w:b w:val="1"/>
          <w:bCs w:val="1"/>
          <w:color w:val="auto"/>
        </w:rPr>
        <w:t>Inducement Award</w:t>
      </w:r>
      <w:r>
        <w:rPr>
          <w:rFonts w:ascii="Times New Roman" w:cs="Times New Roman" w:eastAsia="Times New Roman" w:hAnsi="Times New Roman"/>
          <w:sz w:val="18"/>
          <w:szCs w:val="18"/>
          <w:color w:val="auto"/>
        </w:rPr>
        <w:t>”). The Inducement Award is being granted to Mr. Newhard, effective November 2, 2026, in reliance on the employment inducement grant exemption provided under Nasdaq Listing Rule 5635(c)(4).</w:t>
      </w:r>
    </w:p>
    <w:p>
      <w:pPr>
        <w:spacing w:after="0" w:line="3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4" w:lineRule="exact"/>
        <w:rPr>
          <w:sz w:val="20"/>
          <w:szCs w:val="20"/>
          <w:color w:val="auto"/>
        </w:rPr>
      </w:pPr>
    </w:p>
    <w:p>
      <w:pPr>
        <w:ind w:left="6" w:right="20" w:firstLine="436"/>
        <w:spacing w:after="0" w:line="253" w:lineRule="auto"/>
        <w:rPr>
          <w:sz w:val="20"/>
          <w:szCs w:val="20"/>
          <w:color w:val="auto"/>
        </w:rPr>
      </w:pPr>
      <w:r>
        <w:rPr>
          <w:rFonts w:ascii="Times New Roman" w:cs="Times New Roman" w:eastAsia="Times New Roman" w:hAnsi="Times New Roman"/>
          <w:sz w:val="18"/>
          <w:szCs w:val="18"/>
          <w:color w:val="auto"/>
        </w:rPr>
        <w:t>Information required by Part I of Form S-8 to be contained in the Section 10(a) prospectus is omitted from this Registration Statement in accordance with Rule 428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document(s) containing the information specified in Part I will be sent or given to the participant in the Inducement Award pursuant to Rule 428(b)(1). Such document(s) are not being filed with the SEC as part of this Registration Statement or as prospectuses or prospectus supplements pursuant to Rule 424 of the Securities Act. These document(s) and the documents incorporated by reference in the Registration Statement pursuant to Item 3 of Part II of this form, taken together, constitute a prospectus that meets the requirements of Section 10(a) of the Securities Act.</w:t>
      </w:r>
    </w:p>
    <w:p>
      <w:pPr>
        <w:spacing w:after="0" w:line="39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86"/>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18" w:lineRule="exact"/>
        <w:rPr>
          <w:sz w:val="20"/>
          <w:szCs w:val="20"/>
          <w:color w:val="auto"/>
        </w:rPr>
      </w:pPr>
    </w:p>
    <w:p>
      <w:pPr>
        <w:jc w:val="both"/>
        <w:ind w:left="6" w:right="120" w:firstLine="436"/>
        <w:spacing w:after="0" w:line="285" w:lineRule="auto"/>
        <w:rPr>
          <w:sz w:val="20"/>
          <w:szCs w:val="20"/>
          <w:color w:val="auto"/>
        </w:rPr>
      </w:pPr>
      <w:r>
        <w:rPr>
          <w:rFonts w:ascii="Times New Roman" w:cs="Times New Roman" w:eastAsia="Times New Roman" w:hAnsi="Times New Roman"/>
          <w:sz w:val="17"/>
          <w:szCs w:val="17"/>
          <w:color w:val="auto"/>
        </w:rPr>
        <w:t>The Registrant is subject to the informational and reporting requirements of Sections 13(a), 14 and 15(d)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and in accordance therewith files reports, proxy statements and other information with the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The Registrant hereby incorporates by reference into this Registration Statement the following documents:</w:t>
      </w:r>
    </w:p>
    <w:p>
      <w:pPr>
        <w:spacing w:after="0" w:line="52" w:lineRule="exact"/>
        <w:rPr>
          <w:sz w:val="20"/>
          <w:szCs w:val="20"/>
          <w:color w:val="auto"/>
        </w:rPr>
      </w:pPr>
    </w:p>
    <w:p>
      <w:pPr>
        <w:ind w:left="6" w:right="240" w:hanging="6"/>
        <w:spacing w:after="0" w:line="277" w:lineRule="auto"/>
        <w:tabs>
          <w:tab w:leader="none" w:pos="25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Commission on February 24, 2026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w:t>
      </w:r>
    </w:p>
    <w:p>
      <w:pPr>
        <w:spacing w:after="0" w:line="56" w:lineRule="exact"/>
        <w:rPr>
          <w:rFonts w:ascii="Times New Roman" w:cs="Times New Roman" w:eastAsia="Times New Roman" w:hAnsi="Times New Roman"/>
          <w:sz w:val="18"/>
          <w:szCs w:val="18"/>
          <w:color w:val="auto"/>
        </w:rPr>
      </w:pPr>
    </w:p>
    <w:p>
      <w:pPr>
        <w:ind w:left="6" w:right="200" w:hanging="6"/>
        <w:spacing w:after="0" w:line="277" w:lineRule="auto"/>
        <w:tabs>
          <w:tab w:leader="none" w:pos="25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the Registrant’s Definitive Proxy Statement on </w:t>
      </w:r>
      <w:hyperlink r:id="rId18">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Commission on April 6, 2026, that are incorporated by reference into Part III of the Annual Report;</w:t>
      </w:r>
    </w:p>
    <w:p>
      <w:pPr>
        <w:spacing w:after="0" w:line="56" w:lineRule="exact"/>
        <w:rPr>
          <w:rFonts w:ascii="Times New Roman" w:cs="Times New Roman" w:eastAsia="Times New Roman" w:hAnsi="Times New Roman"/>
          <w:sz w:val="18"/>
          <w:szCs w:val="18"/>
          <w:color w:val="auto"/>
        </w:rPr>
      </w:pPr>
    </w:p>
    <w:p>
      <w:pPr>
        <w:ind w:left="6" w:right="420" w:hanging="6"/>
        <w:spacing w:after="0" w:line="277" w:lineRule="auto"/>
        <w:tabs>
          <w:tab w:leader="none" w:pos="25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Reports on Form 10-Q for the periods ended March 31, 2026, June 30, 2026 and September 30, 2026, filed with the Commission on </w:t>
      </w:r>
      <w:hyperlink r:id="rId19">
        <w:r>
          <w:rPr>
            <w:rFonts w:ascii="Times New Roman" w:cs="Times New Roman" w:eastAsia="Times New Roman" w:hAnsi="Times New Roman"/>
            <w:sz w:val="18"/>
            <w:szCs w:val="18"/>
            <w:u w:val="single" w:color="auto"/>
            <w:color w:val="0000EE"/>
          </w:rPr>
          <w:t>May 6, 2026</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August 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u w:val="single" w:color="auto"/>
            <w:color w:val="0000EE"/>
          </w:rPr>
          <w:t>October 30, 2026</w:t>
        </w:r>
      </w:hyperlink>
      <w:r>
        <w:rPr>
          <w:rFonts w:ascii="Times New Roman" w:cs="Times New Roman" w:eastAsia="Times New Roman" w:hAnsi="Times New Roman"/>
          <w:sz w:val="18"/>
          <w:szCs w:val="18"/>
          <w:color w:val="auto"/>
        </w:rPr>
        <w:t>, respectively;</w:t>
      </w:r>
    </w:p>
    <w:p>
      <w:pPr>
        <w:spacing w:after="0" w:line="56" w:lineRule="exact"/>
        <w:rPr>
          <w:rFonts w:ascii="Times New Roman" w:cs="Times New Roman" w:eastAsia="Times New Roman" w:hAnsi="Times New Roman"/>
          <w:sz w:val="18"/>
          <w:szCs w:val="18"/>
          <w:color w:val="auto"/>
        </w:rPr>
      </w:pPr>
    </w:p>
    <w:p>
      <w:pPr>
        <w:ind w:left="6" w:right="120" w:hanging="6"/>
        <w:spacing w:after="0" w:line="257" w:lineRule="auto"/>
        <w:tabs>
          <w:tab w:leader="none" w:pos="258" w:val="left"/>
        </w:tabs>
        <w:numPr>
          <w:ilvl w:val="0"/>
          <w:numId w:val="1"/>
        </w:numPr>
        <w:rPr>
          <w:rFonts w:ascii="Times New Roman" w:cs="Times New Roman" w:eastAsia="Times New Roman" w:hAnsi="Times New Roman"/>
          <w:sz w:val="18"/>
          <w:szCs w:val="18"/>
          <w:color w:val="000000"/>
        </w:rPr>
      </w:pPr>
      <w:hyperlink r:id="rId22">
        <w:r>
          <w:rPr>
            <w:rFonts w:ascii="Times New Roman" w:cs="Times New Roman" w:eastAsia="Times New Roman" w:hAnsi="Times New Roman"/>
            <w:sz w:val="18"/>
            <w:szCs w:val="18"/>
            <w:color w:val="auto"/>
          </w:rPr>
          <w:t xml:space="preserve">The Registrant’s Current Reports on Form 8-K filed with the Commission on </w:t>
        </w:r>
        <w:r>
          <w:rPr>
            <w:rFonts w:ascii="Times New Roman" w:cs="Times New Roman" w:eastAsia="Times New Roman" w:hAnsi="Times New Roman"/>
            <w:sz w:val="18"/>
            <w:szCs w:val="18"/>
            <w:u w:val="single" w:color="auto"/>
            <w:color w:val="0000EE"/>
          </w:rPr>
          <w:t>May 20,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26,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8,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15,</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3">
        <w:r>
          <w:rPr>
            <w:rFonts w:ascii="Times New Roman" w:cs="Times New Roman" w:eastAsia="Times New Roman" w:hAnsi="Times New Roman"/>
            <w:sz w:val="18"/>
            <w:szCs w:val="18"/>
            <w:u w:val="single" w:color="auto"/>
            <w:color w:val="0000EE"/>
          </w:rPr>
          <w:t>June 17, 2026</w:t>
        </w:r>
      </w:hyperlink>
      <w:hyperlink r:id="rId2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4">
        <w:r>
          <w:rPr>
            <w:rFonts w:ascii="Times New Roman" w:cs="Times New Roman" w:eastAsia="Times New Roman" w:hAnsi="Times New Roman"/>
            <w:sz w:val="18"/>
            <w:szCs w:val="18"/>
            <w:u w:val="single" w:color="auto"/>
            <w:color w:val="0000EE"/>
          </w:rPr>
          <w:t>October 2, 2026</w:t>
        </w:r>
      </w:hyperlink>
      <w:hyperlink r:id="rId2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5">
        <w:r>
          <w:rPr>
            <w:rFonts w:ascii="Times New Roman" w:cs="Times New Roman" w:eastAsia="Times New Roman" w:hAnsi="Times New Roman"/>
            <w:sz w:val="18"/>
            <w:szCs w:val="18"/>
            <w:u w:val="single" w:color="auto"/>
            <w:color w:val="0000EE"/>
          </w:rPr>
          <w:t>October 15, 2026</w:t>
        </w:r>
      </w:hyperlink>
      <w:hyperlink r:id="rId22">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26">
        <w:r>
          <w:rPr>
            <w:rFonts w:ascii="Times New Roman" w:cs="Times New Roman" w:eastAsia="Times New Roman" w:hAnsi="Times New Roman"/>
            <w:sz w:val="18"/>
            <w:szCs w:val="18"/>
            <w:u w:val="single" w:color="auto"/>
            <w:color w:val="0000EE"/>
          </w:rPr>
          <w:t xml:space="preserve">October 30, 2026 </w:t>
        </w:r>
      </w:hyperlink>
      <w:hyperlink r:id="rId22">
        <w:r>
          <w:rPr>
            <w:rFonts w:ascii="Times New Roman" w:cs="Times New Roman" w:eastAsia="Times New Roman" w:hAnsi="Times New Roman"/>
            <w:sz w:val="18"/>
            <w:szCs w:val="18"/>
            <w:color w:val="000000"/>
          </w:rPr>
          <w:t>(other than information that is furnished rather than filed in any of the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foregoing reports), and the Registrant’s Current Reports on Form 8-K/A filed with the Commission on </w:t>
      </w:r>
      <w:hyperlink r:id="rId27">
        <w:r>
          <w:rPr>
            <w:rFonts w:ascii="Times New Roman" w:cs="Times New Roman" w:eastAsia="Times New Roman" w:hAnsi="Times New Roman"/>
            <w:sz w:val="18"/>
            <w:szCs w:val="18"/>
            <w:u w:val="single" w:color="auto"/>
            <w:color w:val="0000EE"/>
          </w:rPr>
          <w:t>July 23, 2026</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w:t>
      </w:r>
      <w:hyperlink r:id="rId28">
        <w:r>
          <w:rPr>
            <w:rFonts w:ascii="Times New Roman" w:cs="Times New Roman" w:eastAsia="Times New Roman" w:hAnsi="Times New Roman"/>
            <w:sz w:val="18"/>
            <w:szCs w:val="18"/>
            <w:u w:val="single" w:color="auto"/>
            <w:color w:val="0000EE"/>
          </w:rPr>
          <w:t>October 5, 2026</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(other than information that is furnished rather than filed in any of the foregoing reports); and</w:t>
      </w:r>
    </w:p>
    <w:p>
      <w:pPr>
        <w:spacing w:after="0" w:line="75" w:lineRule="exact"/>
        <w:rPr>
          <w:rFonts w:ascii="Times New Roman" w:cs="Times New Roman" w:eastAsia="Times New Roman" w:hAnsi="Times New Roman"/>
          <w:sz w:val="18"/>
          <w:szCs w:val="18"/>
          <w:color w:val="000000"/>
        </w:rPr>
      </w:pPr>
    </w:p>
    <w:p>
      <w:pPr>
        <w:ind w:left="6" w:hanging="6"/>
        <w:spacing w:after="0" w:line="262" w:lineRule="auto"/>
        <w:tabs>
          <w:tab w:leader="none" w:pos="25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which is contained in a registration statement on Form 8-A filed on January 10, 2017 under the Exchange Act, as updated by </w:t>
      </w:r>
      <w:hyperlink r:id="rId29">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2024, filed with the SEC on February 27, 2025, together with any amendment or report filed with the SEC for the purpose of updating such description.</w:t>
      </w:r>
    </w:p>
    <w:p>
      <w:pPr>
        <w:sectPr>
          <w:pgSz w:w="11900" w:h="16838" w:orient="portrait"/>
          <w:cols w:equalWidth="0" w:num="1">
            <w:col w:w="10906"/>
          </w:cols>
          <w:pgMar w:left="494" w:top="264" w:right="499" w:bottom="1440" w:gutter="0" w:footer="0" w:header="0"/>
        </w:sectPr>
      </w:pPr>
    </w:p>
    <w:bookmarkStart w:id="2" w:name="page3"/>
    <w:bookmarkEnd w:id="2"/>
    <w:p>
      <w:pPr>
        <w:ind w:firstLine="436"/>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14"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Section 145 of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provides, among other things, that a Delaware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(other than an action by or in the right of the corporation) in which such person is made a party by reason of such person being or having been a director, officer, employee or agent of the Registrant. The DGCL provides that Section 145 is not exclusive of other rights to which those seeking indemnification may be entitled under any bylaws, agreement, vote of stockholders or disinterested directors or otherwise. The Registrant’s Second Amended and Restated Certificate of Incorporation and Amended and Restated Bylaws provide for indemnification by the Registrant of its directors and officers to the fullest extent permitted by the DGCL.</w:t>
      </w:r>
    </w:p>
    <w:p>
      <w:pPr>
        <w:spacing w:after="0" w:line="189"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(1) for any breach of the director’s or officer’s duty of loyalty to the corporation or its stockholders, (2) for acts or omissions not in good faith or which involve intentional misconduct or a knowing violation of law, (3) in the case of a director, under Section 174 of the DGCL, (4) for any transaction from which the director or officer derived an improper personal benefit or (5) in the case of an officer, in any action by or in the right of the corporation. The Registrant’s Second Amended and Restated Certificate of Incorporation provides for such limitation of liability of its directors to the fullest extent permitted by the DGCL. The Registrant’s Second Amended and Restated Certificate of Incorporation does not currently provide for the limitation of liability of its officers.</w:t>
      </w:r>
    </w:p>
    <w:p>
      <w:pPr>
        <w:spacing w:after="0" w:line="185"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The Registrant maintains standard policies of insurance under which coverage is provided (1) to its directors and officers against loss arising from claims made by reason of breach of duty or other wrongful act, while acting in their capacity as directors and officers of the Registrant, and (2) to the Registrant with respect to payments which may be made by the Registrant to such officers and directors pursuant to any indemnification provision contained in the Registrant’s Second Amended and Restated Certificate of Incorporation and Amended and Restated Bylaws or otherwise as a matter of law.</w:t>
      </w:r>
    </w:p>
    <w:p>
      <w:pPr>
        <w:spacing w:after="0" w:line="183" w:lineRule="exact"/>
        <w:rPr>
          <w:sz w:val="20"/>
          <w:szCs w:val="20"/>
          <w:color w:val="auto"/>
        </w:rPr>
      </w:pPr>
    </w:p>
    <w:p>
      <w:pPr>
        <w:jc w:val="both"/>
        <w:ind w:right="80" w:firstLine="436"/>
        <w:spacing w:after="0" w:line="262" w:lineRule="auto"/>
        <w:rPr>
          <w:sz w:val="20"/>
          <w:szCs w:val="20"/>
          <w:color w:val="auto"/>
        </w:rPr>
      </w:pPr>
      <w:r>
        <w:rPr>
          <w:rFonts w:ascii="Times New Roman" w:cs="Times New Roman" w:eastAsia="Times New Roman" w:hAnsi="Times New Roman"/>
          <w:sz w:val="18"/>
          <w:szCs w:val="18"/>
          <w:color w:val="auto"/>
        </w:rPr>
        <w:t>We are party to indemnification agreements with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ectPr>
          <w:pgSz w:w="11900" w:h="16838" w:orient="portrait"/>
          <w:cols w:equalWidth="0" w:num="1">
            <w:col w:w="10880"/>
          </w:cols>
          <w:pgMar w:left="500" w:top="268" w:right="519" w:bottom="1440" w:gutter="0" w:footer="0" w:header="0"/>
        </w:sectPr>
      </w:pPr>
    </w:p>
    <w:bookmarkStart w:id="3" w:name="page4"/>
    <w:bookmarkEnd w:id="3"/>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7. Exemption from Registration Claimed.</w:t>
      </w:r>
    </w:p>
    <w:p>
      <w:pPr>
        <w:spacing w:after="0" w:line="11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45" w:lineRule="exact"/>
        <w:rPr>
          <w:sz w:val="20"/>
          <w:szCs w:val="20"/>
          <w:color w:val="auto"/>
        </w:rPr>
      </w:pPr>
    </w:p>
    <w:tbl>
      <w:tblPr>
        <w:tblLayout w:type="fixed"/>
        <w:tblInd w:w="6" w:type="dxa"/>
        <w:tblCellMar>
          <w:top w:w="0" w:type="dxa"/>
          <w:left w:w="0" w:type="dxa"/>
          <w:bottom w:w="0" w:type="dxa"/>
          <w:right w:w="0" w:type="dxa"/>
        </w:tblCellMar>
      </w:tblPr>
      <w:tr>
        <w:trPr>
          <w:trHeight w:val="185"/>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02"/>
        </w:trPr>
        <w:tc>
          <w:tcPr>
            <w:tcW w:w="5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60" w:type="dxa"/>
            <w:vAlign w:val="bottom"/>
          </w:tcPr>
          <w:p>
            <w:pPr>
              <w:spacing w:after="0"/>
              <w:rPr>
                <w:sz w:val="16"/>
                <w:szCs w:val="16"/>
                <w:color w:val="auto"/>
              </w:rPr>
            </w:pPr>
          </w:p>
        </w:tc>
        <w:tc>
          <w:tcPr>
            <w:tcW w:w="6220" w:type="dxa"/>
            <w:vAlign w:val="bottom"/>
            <w:gridSpan w:val="5"/>
          </w:tcPr>
          <w:p>
            <w:pPr>
              <w:ind w:left="2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60"/>
        </w:trPr>
        <w:tc>
          <w:tcPr>
            <w:tcW w:w="50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  4.1</w:t>
            </w:r>
          </w:p>
        </w:tc>
        <w:tc>
          <w:tcPr>
            <w:tcW w:w="260" w:type="dxa"/>
            <w:vAlign w:val="bottom"/>
          </w:tcPr>
          <w:p>
            <w:pPr>
              <w:spacing w:after="0"/>
              <w:rPr>
                <w:sz w:val="13"/>
                <w:szCs w:val="13"/>
                <w:color w:val="auto"/>
              </w:rPr>
            </w:pPr>
          </w:p>
        </w:tc>
        <w:tc>
          <w:tcPr>
            <w:tcW w:w="5220" w:type="dxa"/>
            <w:vAlign w:val="bottom"/>
            <w:tcBorders>
              <w:top w:val="single" w:sz="8" w:color="auto"/>
              <w:bottom w:val="single" w:sz="8" w:color="0000EE"/>
            </w:tcBorders>
            <w:gridSpan w:val="3"/>
          </w:tcPr>
          <w:p>
            <w:pPr>
              <w:spacing w:after="0" w:line="160" w:lineRule="exact"/>
              <w:rPr>
                <w:rFonts w:ascii="Times New Roman" w:cs="Times New Roman" w:eastAsia="Times New Roman" w:hAnsi="Times New Roman"/>
                <w:sz w:val="18"/>
                <w:szCs w:val="18"/>
                <w:color w:val="0000EE"/>
                <w:w w:val="98"/>
              </w:rPr>
            </w:pPr>
            <w:hyperlink r:id="rId32">
              <w:r>
                <w:rPr>
                  <w:rFonts w:ascii="Times New Roman" w:cs="Times New Roman" w:eastAsia="Times New Roman" w:hAnsi="Times New Roman"/>
                  <w:sz w:val="18"/>
                  <w:szCs w:val="18"/>
                  <w:color w:val="0000EE"/>
                  <w:w w:val="98"/>
                </w:rPr>
                <w:t>Second Amended and Restated Certificate of Incorporation of Registrant.</w:t>
              </w:r>
            </w:hyperlink>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3"/>
                <w:szCs w:val="13"/>
                <w:color w:val="auto"/>
              </w:rPr>
            </w:pPr>
          </w:p>
        </w:tc>
        <w:tc>
          <w:tcPr>
            <w:tcW w:w="860" w:type="dxa"/>
            <w:vAlign w:val="bottom"/>
            <w:tcBorders>
              <w:top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001-37979</w:t>
            </w:r>
          </w:p>
        </w:tc>
        <w:tc>
          <w:tcPr>
            <w:tcW w:w="100" w:type="dxa"/>
            <w:vAlign w:val="bottom"/>
          </w:tcPr>
          <w:p>
            <w:pPr>
              <w:spacing w:after="0"/>
              <w:rPr>
                <w:sz w:val="13"/>
                <w:szCs w:val="13"/>
                <w:color w:val="auto"/>
              </w:rPr>
            </w:pPr>
          </w:p>
        </w:tc>
        <w:tc>
          <w:tcPr>
            <w:tcW w:w="460" w:type="dxa"/>
            <w:vAlign w:val="bottom"/>
            <w:tcBorders>
              <w:top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3"/>
                <w:szCs w:val="13"/>
                <w:color w:val="auto"/>
              </w:rPr>
            </w:pPr>
          </w:p>
        </w:tc>
        <w:tc>
          <w:tcPr>
            <w:tcW w:w="1900" w:type="dxa"/>
            <w:vAlign w:val="bottom"/>
            <w:tcBorders>
              <w:top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8"/>
              </w:rPr>
              <w:t>October 22, 2018</w:t>
            </w:r>
          </w:p>
        </w:tc>
        <w:tc>
          <w:tcPr>
            <w:tcW w:w="0" w:type="dxa"/>
            <w:vAlign w:val="bottom"/>
          </w:tcPr>
          <w:p>
            <w:pPr>
              <w:spacing w:after="0"/>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  4.2</w:t>
            </w:r>
          </w:p>
        </w:tc>
        <w:tc>
          <w:tcPr>
            <w:tcW w:w="260" w:type="dxa"/>
            <w:vAlign w:val="bottom"/>
          </w:tcPr>
          <w:p>
            <w:pPr>
              <w:spacing w:after="0"/>
              <w:rPr>
                <w:sz w:val="16"/>
                <w:szCs w:val="16"/>
                <w:color w:val="auto"/>
              </w:rPr>
            </w:pPr>
          </w:p>
        </w:tc>
        <w:tc>
          <w:tcPr>
            <w:tcW w:w="6220" w:type="dxa"/>
            <w:vAlign w:val="bottom"/>
            <w:gridSpan w:val="5"/>
          </w:tcPr>
          <w:p>
            <w:pPr>
              <w:spacing w:after="0" w:line="194"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Amended and Restated Bylaws of Registrant.</w:t>
              </w:r>
            </w:hyperlink>
          </w:p>
        </w:tc>
        <w:tc>
          <w:tcPr>
            <w:tcW w:w="500" w:type="dxa"/>
            <w:vAlign w:val="bottom"/>
            <w:gridSpan w:val="2"/>
          </w:tcPr>
          <w:p>
            <w:pPr>
              <w:jc w:val="center"/>
              <w:ind w:right="140"/>
              <w:spacing w:after="0" w:line="194" w:lineRule="exact"/>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001-37979</w:t>
            </w:r>
          </w:p>
        </w:tc>
        <w:tc>
          <w:tcPr>
            <w:tcW w:w="560" w:type="dxa"/>
            <w:vAlign w:val="bottom"/>
            <w:gridSpan w:val="2"/>
          </w:tcPr>
          <w:p>
            <w:pPr>
              <w:jc w:val="center"/>
              <w:ind w:left="17"/>
              <w:spacing w:after="0" w:line="194"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6"/>
                <w:szCs w:val="16"/>
                <w:color w:val="auto"/>
              </w:rPr>
            </w:pPr>
          </w:p>
        </w:tc>
        <w:tc>
          <w:tcPr>
            <w:tcW w:w="1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November 9, 2023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  4.3</w:t>
            </w:r>
          </w:p>
        </w:tc>
        <w:tc>
          <w:tcPr>
            <w:tcW w:w="260" w:type="dxa"/>
            <w:vAlign w:val="bottom"/>
          </w:tcPr>
          <w:p>
            <w:pPr>
              <w:spacing w:after="0"/>
              <w:rPr>
                <w:sz w:val="16"/>
                <w:szCs w:val="16"/>
                <w:color w:val="auto"/>
              </w:rPr>
            </w:pPr>
          </w:p>
        </w:tc>
        <w:tc>
          <w:tcPr>
            <w:tcW w:w="6220" w:type="dxa"/>
            <w:vAlign w:val="bottom"/>
            <w:gridSpan w:val="5"/>
          </w:tcPr>
          <w:p>
            <w:pPr>
              <w:spacing w:after="0" w:line="194"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Specimen Class A Common Stock certificate of Registrant</w:t>
              </w:r>
            </w:hyperlink>
            <w:r>
              <w:rPr>
                <w:rFonts w:ascii="Times New Roman" w:cs="Times New Roman" w:eastAsia="Times New Roman" w:hAnsi="Times New Roman"/>
                <w:sz w:val="18"/>
                <w:szCs w:val="18"/>
                <w:color w:val="000000"/>
              </w:rPr>
              <w:t>.</w:t>
            </w:r>
          </w:p>
        </w:tc>
        <w:tc>
          <w:tcPr>
            <w:tcW w:w="50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333-21503</w:t>
            </w:r>
          </w:p>
        </w:tc>
        <w:tc>
          <w:tcPr>
            <w:tcW w:w="560" w:type="dxa"/>
            <w:vAlign w:val="bottom"/>
            <w:gridSpan w:val="2"/>
          </w:tcPr>
          <w:p>
            <w:pPr>
              <w:jc w:val="center"/>
              <w:ind w:left="17"/>
              <w:spacing w:after="0" w:line="194"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6"/>
                <w:szCs w:val="16"/>
                <w:color w:val="auto"/>
              </w:rPr>
            </w:pPr>
          </w:p>
        </w:tc>
        <w:tc>
          <w:tcPr>
            <w:tcW w:w="1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December 9, 2016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86" w:hanging="86"/>
        <w:spacing w:after="0"/>
        <w:tabs>
          <w:tab w:leader="none" w:pos="8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w:t>
      </w:r>
      <w:r>
        <w:rPr>
          <w:rFonts w:ascii="Times New Roman" w:cs="Times New Roman" w:eastAsia="Times New Roman" w:hAnsi="Times New Roman"/>
          <w:sz w:val="17"/>
          <w:szCs w:val="17"/>
          <w:u w:val="single" w:color="auto"/>
          <w:color w:val="0000EE"/>
        </w:rPr>
        <w:t>Form of Restricted Stock Units Agreement (Inducement Award).</w:t>
      </w:r>
    </w:p>
    <w:p>
      <w:pPr>
        <w:spacing w:after="0" w:line="37"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w:t>
      </w:r>
      <w:r>
        <w:rPr>
          <w:rFonts w:ascii="Times New Roman" w:cs="Times New Roman" w:eastAsia="Times New Roman" w:hAnsi="Times New Roman"/>
          <w:sz w:val="17"/>
          <w:szCs w:val="17"/>
          <w:u w:val="single" w:color="auto"/>
          <w:color w:val="0000EE"/>
        </w:rPr>
        <w:t>Opinion of Hogan Lovells Cadwalader US LLP.</w:t>
      </w:r>
    </w:p>
    <w:p>
      <w:pPr>
        <w:spacing w:after="0" w:line="18" w:lineRule="exact"/>
        <w:rPr>
          <w:sz w:val="20"/>
          <w:szCs w:val="20"/>
          <w:color w:val="auto"/>
        </w:rPr>
      </w:pPr>
    </w:p>
    <w:p>
      <w:pPr>
        <w:ind w:left="6"/>
        <w:spacing w:after="0"/>
        <w:tabs>
          <w:tab w:leader="none" w:pos="726"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Deloitte &amp; Touche, LLP, Independent Registered Public Accounting Firm.</w:t>
      </w:r>
    </w:p>
    <w:p>
      <w:pPr>
        <w:spacing w:after="0" w:line="7" w:lineRule="exact"/>
        <w:rPr>
          <w:sz w:val="20"/>
          <w:szCs w:val="20"/>
          <w:color w:val="auto"/>
        </w:rPr>
      </w:pPr>
    </w:p>
    <w:p>
      <w:pPr>
        <w:ind w:left="6"/>
        <w:spacing w:after="0"/>
        <w:tabs>
          <w:tab w:leader="none" w:pos="726"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Hogan Lovells Cadwalader US LLP (contained in Exhibit 5.1 hereto).</w:t>
      </w:r>
    </w:p>
    <w:p>
      <w:pPr>
        <w:spacing w:after="0" w:line="7" w:lineRule="exact"/>
        <w:rPr>
          <w:sz w:val="20"/>
          <w:szCs w:val="20"/>
          <w:color w:val="auto"/>
        </w:rPr>
      </w:pPr>
    </w:p>
    <w:p>
      <w:pPr>
        <w:ind w:left="6"/>
        <w:spacing w:after="0"/>
        <w:tabs>
          <w:tab w:leader="none" w:pos="726"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(contained on signature page hereto).</w:t>
      </w:r>
    </w:p>
    <w:p>
      <w:pPr>
        <w:spacing w:after="0" w:line="7" w:lineRule="exact"/>
        <w:rPr>
          <w:sz w:val="20"/>
          <w:szCs w:val="20"/>
          <w:color w:val="auto"/>
        </w:rPr>
      </w:pPr>
    </w:p>
    <w:p>
      <w:pPr>
        <w:ind w:left="6"/>
        <w:spacing w:after="0"/>
        <w:tabs>
          <w:tab w:leader="none" w:pos="726"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28" w:lineRule="exact"/>
        <w:rPr>
          <w:sz w:val="20"/>
          <w:szCs w:val="20"/>
          <w:color w:val="auto"/>
        </w:rPr>
      </w:pPr>
    </w:p>
    <w:p>
      <w:pPr>
        <w:ind w:left="426" w:hanging="426"/>
        <w:spacing w:after="0"/>
        <w:tabs>
          <w:tab w:leader="none" w:pos="4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2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1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114" w:lineRule="exact"/>
        <w:rPr>
          <w:sz w:val="20"/>
          <w:szCs w:val="20"/>
          <w:color w:val="auto"/>
        </w:rPr>
      </w:pPr>
    </w:p>
    <w:p>
      <w:pPr>
        <w:ind w:left="686" w:hanging="250"/>
        <w:spacing w:after="0"/>
        <w:tabs>
          <w:tab w:leader="none" w:pos="68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3" w:lineRule="exact"/>
        <w:rPr>
          <w:rFonts w:ascii="Times New Roman" w:cs="Times New Roman" w:eastAsia="Times New Roman" w:hAnsi="Times New Roman"/>
          <w:sz w:val="18"/>
          <w:szCs w:val="18"/>
          <w:color w:val="auto"/>
        </w:rPr>
      </w:pPr>
    </w:p>
    <w:p>
      <w:pPr>
        <w:ind w:left="42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114" w:lineRule="exact"/>
        <w:rPr>
          <w:sz w:val="20"/>
          <w:szCs w:val="20"/>
          <w:color w:val="auto"/>
        </w:rPr>
      </w:pPr>
    </w:p>
    <w:p>
      <w:pPr>
        <w:ind w:left="6" w:right="100" w:firstLine="430"/>
        <w:spacing w:after="0" w:line="271" w:lineRule="auto"/>
        <w:tabs>
          <w:tab w:leader="none" w:pos="70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64" w:lineRule="exact"/>
        <w:rPr>
          <w:rFonts w:ascii="Times New Roman" w:cs="Times New Roman" w:eastAsia="Times New Roman" w:hAnsi="Times New Roman"/>
          <w:sz w:val="17"/>
          <w:szCs w:val="17"/>
          <w:color w:val="auto"/>
        </w:rPr>
      </w:pPr>
    </w:p>
    <w:p>
      <w:pPr>
        <w:ind w:left="6" w:right="440" w:firstLine="430"/>
        <w:spacing w:after="0" w:line="277" w:lineRule="auto"/>
        <w:tabs>
          <w:tab w:leader="none" w:pos="7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5" w:lineRule="exact"/>
        <w:rPr>
          <w:sz w:val="20"/>
          <w:szCs w:val="20"/>
          <w:color w:val="auto"/>
        </w:rPr>
      </w:pPr>
    </w:p>
    <w:p>
      <w:pPr>
        <w:ind w:left="6" w:right="80" w:firstLine="436"/>
        <w:spacing w:after="0" w:line="26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of this section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Exchange Act that are incorporated by reference in this Registration Statement.</w:t>
      </w:r>
    </w:p>
    <w:p>
      <w:pPr>
        <w:spacing w:after="0" w:line="70" w:lineRule="exact"/>
        <w:rPr>
          <w:sz w:val="20"/>
          <w:szCs w:val="20"/>
          <w:color w:val="auto"/>
        </w:rPr>
      </w:pPr>
    </w:p>
    <w:p>
      <w:pPr>
        <w:ind w:left="6" w:right="160" w:firstLine="430"/>
        <w:spacing w:after="0" w:line="262" w:lineRule="auto"/>
        <w:tabs>
          <w:tab w:leader="none" w:pos="6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0906"/>
          </w:cols>
          <w:pgMar w:left="494" w:top="264" w:right="499" w:bottom="1440" w:gutter="0" w:footer="0" w:header="0"/>
        </w:sectPr>
      </w:pPr>
    </w:p>
    <w:bookmarkStart w:id="4" w:name="page5"/>
    <w:bookmarkEnd w:id="4"/>
    <w:p>
      <w:pPr>
        <w:ind w:left="-430" w:right="620" w:firstLine="430"/>
        <w:spacing w:after="0" w:line="277" w:lineRule="auto"/>
        <w:tabs>
          <w:tab w:leader="none" w:pos="2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remove from registration by means of a post-effective amendment any of the securities being registered which remain unsold at the termination of the offering.</w:t>
      </w:r>
    </w:p>
    <w:p>
      <w:pPr>
        <w:spacing w:after="0" w:line="57" w:lineRule="exact"/>
        <w:rPr>
          <w:sz w:val="20"/>
          <w:szCs w:val="20"/>
          <w:color w:val="auto"/>
        </w:rPr>
      </w:pPr>
    </w:p>
    <w:p>
      <w:pPr>
        <w:ind w:left="-430" w:firstLine="430"/>
        <w:spacing w:after="0" w:line="255" w:lineRule="auto"/>
        <w:tabs>
          <w:tab w:leader="none" w:pos="2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Times New Roman" w:cs="Times New Roman" w:eastAsia="Times New Roman" w:hAnsi="Times New Roman"/>
          <w:sz w:val="18"/>
          <w:szCs w:val="18"/>
          <w:color w:val="auto"/>
        </w:rPr>
      </w:pPr>
    </w:p>
    <w:p>
      <w:pPr>
        <w:ind w:left="-430" w:right="60" w:firstLine="430"/>
        <w:spacing w:after="0" w:line="252" w:lineRule="auto"/>
        <w:tabs>
          <w:tab w:leader="none" w:pos="2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450"/>
          </w:cols>
          <w:pgMar w:left="930" w:top="268" w:right="5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118" w:lineRule="exact"/>
        <w:rPr>
          <w:sz w:val="20"/>
          <w:szCs w:val="20"/>
          <w:color w:val="auto"/>
        </w:rPr>
      </w:pPr>
    </w:p>
    <w:p>
      <w:pPr>
        <w:ind w:right="140" w:firstLine="43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Mesa, State of Arizona, on October 30, 2026.</w:t>
      </w:r>
    </w:p>
    <w:p>
      <w:pPr>
        <w:spacing w:after="0" w:line="20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22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/s/ Jonathan Keyser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15875</wp:posOffset>
            </wp:positionV>
            <wp:extent cx="25361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Jonathan Keyser</w:t>
      </w:r>
    </w:p>
    <w:p>
      <w:pPr>
        <w:spacing w:after="0" w:line="2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i w:val="1"/>
          <w:iCs w:val="1"/>
          <w:color w:val="auto"/>
        </w:rPr>
        <w:t>Interim President and Chief Executive Officer</w:t>
      </w:r>
    </w:p>
    <w:p>
      <w:pPr>
        <w:spacing w:after="0" w:line="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b w:val="1"/>
          <w:bCs w:val="1"/>
          <w:color w:val="auto"/>
        </w:rPr>
        <w:t>KNOW ALL PERSONS BY THESE PRESENTS</w:t>
      </w:r>
      <w:r>
        <w:rPr>
          <w:rFonts w:ascii="Times New Roman" w:cs="Times New Roman" w:eastAsia="Times New Roman" w:hAnsi="Times New Roman"/>
          <w:sz w:val="17"/>
          <w:szCs w:val="17"/>
          <w:color w:val="auto"/>
        </w:rPr>
        <w:t>, that each person whose signature appears below constitutes and appoints Hiten Patel and Kristen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Young, and each of them, as his or her true and lawful attorneys-in-fact and agents, each with the full power of substitution, for him or her and in their name, place or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174"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3600" w:type="dxa"/>
            <w:vAlign w:val="bottom"/>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7"/>
        </w:trPr>
        <w:tc>
          <w:tcPr>
            <w:tcW w:w="20" w:type="dxa"/>
            <w:vAlign w:val="bottom"/>
            <w:tcBorders>
              <w:bottom w:val="single" w:sz="8" w:color="auto"/>
            </w:tcBorders>
          </w:tcPr>
          <w:p>
            <w:pPr>
              <w:spacing w:after="0"/>
              <w:rPr>
                <w:sz w:val="18"/>
                <w:szCs w:val="18"/>
                <w:color w:val="auto"/>
              </w:rPr>
            </w:pPr>
          </w:p>
        </w:tc>
        <w:tc>
          <w:tcPr>
            <w:tcW w:w="3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/s/ Jonathan Keyser</w:t>
            </w:r>
          </w:p>
        </w:tc>
        <w:tc>
          <w:tcPr>
            <w:tcW w:w="120" w:type="dxa"/>
            <w:vAlign w:val="bottom"/>
          </w:tcPr>
          <w:p>
            <w:pPr>
              <w:spacing w:after="0"/>
              <w:rPr>
                <w:sz w:val="18"/>
                <w:szCs w:val="18"/>
                <w:color w:val="auto"/>
              </w:rPr>
            </w:pPr>
          </w:p>
        </w:tc>
        <w:tc>
          <w:tcPr>
            <w:tcW w:w="3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Interim President and Chief Executive Officer</w:t>
            </w:r>
          </w:p>
        </w:tc>
        <w:tc>
          <w:tcPr>
            <w:tcW w:w="120" w:type="dxa"/>
            <w:vAlign w:val="bottom"/>
          </w:tcPr>
          <w:p>
            <w:pPr>
              <w:spacing w:after="0"/>
              <w:rPr>
                <w:sz w:val="18"/>
                <w:szCs w:val="18"/>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October 30, 2026</w:t>
            </w:r>
          </w:p>
        </w:tc>
      </w:tr>
      <w:tr>
        <w:trPr>
          <w:trHeight w:val="22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Keyser</w:t>
            </w:r>
          </w:p>
        </w:tc>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360" w:type="dxa"/>
            <w:vAlign w:val="bottom"/>
          </w:tcPr>
          <w:p>
            <w:pPr>
              <w:spacing w:after="0"/>
              <w:rPr>
                <w:sz w:val="19"/>
                <w:szCs w:val="19"/>
                <w:color w:val="auto"/>
              </w:rPr>
            </w:pPr>
          </w:p>
        </w:tc>
      </w:tr>
      <w:tr>
        <w:trPr>
          <w:trHeight w:val="422"/>
        </w:trPr>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 Craig Conti</w:t>
            </w:r>
          </w:p>
        </w:tc>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2026</w:t>
            </w:r>
          </w:p>
        </w:tc>
      </w:tr>
      <w:tr>
        <w:trPr>
          <w:trHeight w:val="22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Craig Conti</w:t>
            </w:r>
          </w:p>
        </w:tc>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3360" w:type="dxa"/>
            <w:vAlign w:val="bottom"/>
          </w:tcPr>
          <w:p>
            <w:pPr>
              <w:spacing w:after="0"/>
              <w:rPr>
                <w:sz w:val="19"/>
                <w:szCs w:val="19"/>
                <w:color w:val="auto"/>
              </w:rPr>
            </w:pPr>
          </w:p>
        </w:tc>
      </w:tr>
      <w:tr>
        <w:trPr>
          <w:trHeight w:val="422"/>
        </w:trPr>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 Hiten Patel</w:t>
            </w:r>
          </w:p>
        </w:tc>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2026</w:t>
            </w:r>
          </w:p>
        </w:tc>
      </w:tr>
      <w:tr>
        <w:trPr>
          <w:trHeight w:val="22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Hiten Patel</w:t>
            </w:r>
          </w:p>
        </w:tc>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3360" w:type="dxa"/>
            <w:vAlign w:val="bottom"/>
          </w:tcPr>
          <w:p>
            <w:pPr>
              <w:spacing w:after="0"/>
              <w:rPr>
                <w:sz w:val="19"/>
                <w:szCs w:val="19"/>
                <w:color w:val="auto"/>
              </w:rPr>
            </w:pPr>
          </w:p>
        </w:tc>
      </w:tr>
      <w:tr>
        <w:trPr>
          <w:trHeight w:val="422"/>
        </w:trPr>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 Patrick Byrne</w:t>
            </w:r>
          </w:p>
        </w:tc>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2026</w:t>
            </w:r>
          </w:p>
        </w:tc>
      </w:tr>
      <w:tr>
        <w:trPr>
          <w:trHeight w:val="22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Byrne</w:t>
            </w: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22"/>
        </w:trPr>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 Douglas Davis</w:t>
            </w:r>
          </w:p>
        </w:tc>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2026</w:t>
            </w:r>
          </w:p>
        </w:tc>
      </w:tr>
      <w:tr>
        <w:trPr>
          <w:trHeight w:val="22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Davis</w:t>
            </w: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22"/>
        </w:trPr>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 Michael Huerta</w:t>
            </w:r>
          </w:p>
        </w:tc>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2026</w:t>
            </w:r>
          </w:p>
        </w:tc>
      </w:tr>
      <w:tr>
        <w:trPr>
          <w:trHeight w:val="22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Huerta</w:t>
            </w: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22"/>
        </w:trPr>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 Raj Ratnakar</w:t>
            </w:r>
          </w:p>
        </w:tc>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2026</w:t>
            </w:r>
          </w:p>
        </w:tc>
      </w:tr>
      <w:tr>
        <w:trPr>
          <w:trHeight w:val="22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Raj Ratnakar</w:t>
            </w: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22"/>
        </w:trPr>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 John Rexford</w:t>
            </w:r>
          </w:p>
        </w:tc>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2026</w:t>
            </w:r>
          </w:p>
        </w:tc>
      </w:tr>
      <w:tr>
        <w:trPr>
          <w:trHeight w:val="22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Rexford</w:t>
            </w: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22"/>
        </w:trPr>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 Cynthia Russo</w:t>
            </w:r>
          </w:p>
        </w:tc>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2026</w:t>
            </w:r>
          </w:p>
        </w:tc>
      </w:tr>
      <w:tr>
        <w:trPr>
          <w:trHeight w:val="22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Cynthia Russo</w:t>
            </w: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bl>
    <w:p>
      <w:pPr>
        <w:sectPr>
          <w:pgSz w:w="11900" w:h="16838" w:orient="portrait"/>
          <w:cols w:equalWidth="0" w:num="1">
            <w:col w:w="10900"/>
          </w:cols>
          <w:pgMar w:left="500" w:top="264" w:right="4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GRANT OF RESTRICTED STOCK UNITS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(Inducement Award)</w:t>
      </w:r>
    </w:p>
    <w:p>
      <w:pPr>
        <w:spacing w:after="0" w:line="22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Verra Mobility Corporation,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to the Participant an award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of certain Restricted Stock Units, each of which represents the right to receive on the applicable Settlement Date one (1) share of Stock, as follows:</w:t>
      </w:r>
    </w:p>
    <w:p>
      <w:pPr>
        <w:sectPr>
          <w:pgSz w:w="11900" w:h="16838" w:orient="portrait"/>
          <w:cols w:equalWidth="0" w:num="1">
            <w:col w:w="10900"/>
          </w:cols>
          <w:pgMar w:left="500" w:top="117" w:right="499" w:bottom="1440" w:gutter="0" w:footer="0" w:header="0"/>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Jon Newhard</w:t>
      </w:r>
    </w:p>
    <w:p>
      <w:pPr>
        <w:spacing w:after="0" w:line="121" w:lineRule="exact"/>
        <w:rPr>
          <w:sz w:val="20"/>
          <w:szCs w:val="20"/>
          <w:color w:val="auto"/>
        </w:rPr>
      </w:pPr>
    </w:p>
    <w:p>
      <w:pPr>
        <w:sectPr>
          <w:pgSz w:w="11900" w:h="16838" w:orient="portrait"/>
          <w:cols w:equalWidth="0" w:num="2">
            <w:col w:w="1680" w:space="720"/>
            <w:col w:w="850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Employee ID: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w:t>
      </w:r>
    </w:p>
    <w:p>
      <w:pPr>
        <w:spacing w:after="0" w:line="121" w:lineRule="exact"/>
        <w:rPr>
          <w:sz w:val="20"/>
          <w:szCs w:val="20"/>
          <w:color w:val="auto"/>
        </w:rPr>
      </w:pPr>
    </w:p>
    <w:p>
      <w:pPr>
        <w:sectPr>
          <w:pgSz w:w="11900" w:h="16838" w:orient="portrait"/>
          <w:cols w:equalWidth="0" w:num="2">
            <w:col w:w="1680" w:space="720"/>
            <w:col w:w="850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w:t>
      </w:r>
    </w:p>
    <w:p>
      <w:pPr>
        <w:spacing w:after="0" w:line="121" w:lineRule="exact"/>
        <w:rPr>
          <w:sz w:val="20"/>
          <w:szCs w:val="20"/>
          <w:color w:val="auto"/>
        </w:rPr>
      </w:pPr>
    </w:p>
    <w:p>
      <w:pPr>
        <w:sectPr>
          <w:pgSz w:w="11900" w:h="16838" w:orient="portrait"/>
          <w:cols w:equalWidth="0" w:num="2">
            <w:col w:w="1680" w:space="720"/>
            <w:col w:w="850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Total Number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 (each a “</w:t>
      </w:r>
      <w:r>
        <w:rPr>
          <w:rFonts w:ascii="Times New Roman" w:cs="Times New Roman" w:eastAsia="Times New Roman" w:hAnsi="Times New Roman"/>
          <w:sz w:val="17"/>
          <w:szCs w:val="17"/>
          <w:b w:val="1"/>
          <w:bCs w:val="1"/>
          <w:i w:val="1"/>
          <w:iCs w:val="1"/>
          <w:color w:val="auto"/>
        </w:rPr>
        <w:t>Unit</w:t>
      </w:r>
      <w:r>
        <w:rPr>
          <w:rFonts w:ascii="Times New Roman" w:cs="Times New Roman" w:eastAsia="Times New Roman" w:hAnsi="Times New Roman"/>
          <w:sz w:val="17"/>
          <w:szCs w:val="17"/>
          <w:color w:val="auto"/>
        </w:rPr>
        <w:t>”), subject to adjustment as provided by the Restricted Stock Units Agreement.</w:t>
      </w:r>
    </w:p>
    <w:p>
      <w:pPr>
        <w:spacing w:after="0" w:line="125" w:lineRule="exact"/>
        <w:rPr>
          <w:sz w:val="20"/>
          <w:szCs w:val="20"/>
          <w:color w:val="auto"/>
        </w:rPr>
      </w:pPr>
    </w:p>
    <w:p>
      <w:pPr>
        <w:sectPr>
          <w:pgSz w:w="11900" w:h="16838" w:orient="portrait"/>
          <w:cols w:equalWidth="0" w:num="2">
            <w:col w:w="1760" w:space="640"/>
            <w:col w:w="850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Except as provided by the Restricted Stock Units Agreement, the date on which a Unit becomes a Vested Unit.</w:t>
      </w:r>
    </w:p>
    <w:p>
      <w:pPr>
        <w:spacing w:after="0" w:line="121" w:lineRule="exact"/>
        <w:rPr>
          <w:sz w:val="20"/>
          <w:szCs w:val="20"/>
          <w:color w:val="auto"/>
        </w:rPr>
      </w:pPr>
    </w:p>
    <w:p>
      <w:pPr>
        <w:sectPr>
          <w:pgSz w:w="11900" w:h="16838" w:orient="portrait"/>
          <w:cols w:equalWidth="0" w:num="2">
            <w:col w:w="1680" w:space="720"/>
            <w:col w:w="850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Start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w:t>
      </w:r>
    </w:p>
    <w:p>
      <w:pPr>
        <w:spacing w:after="0" w:line="200" w:lineRule="exact"/>
        <w:rPr>
          <w:sz w:val="20"/>
          <w:szCs w:val="20"/>
          <w:color w:val="auto"/>
        </w:rPr>
      </w:pPr>
    </w:p>
    <w:p>
      <w:pPr>
        <w:sectPr>
          <w:pgSz w:w="11900" w:h="16838" w:orient="portrait"/>
          <w:cols w:equalWidth="0" w:num="2">
            <w:col w:w="1680" w:space="720"/>
            <w:col w:w="8500"/>
          </w:cols>
          <w:pgMar w:left="500" w:top="117" w:right="499"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Vested Units:</w:t>
      </w:r>
    </w:p>
    <w:p>
      <w:pPr>
        <w:spacing w:after="0" w:line="118"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Except as provided in the Restricted Stock Units Agreement and provided that the Participant’s Service as the Company’s Chief Executive Officer has not terminated prior to the applicable date, the number of Vested Units (disregarding any resulting fractional Unit) shall cumulatively increase on each respective date set forth below by the Vested Percentage set forth opposite such date,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80" w:type="dxa"/>
            <w:vAlign w:val="bottom"/>
            <w:gridSpan w:val="4"/>
          </w:tcPr>
          <w:p>
            <w:pPr>
              <w:ind w:left="1740"/>
              <w:spacing w:after="0"/>
              <w:rPr>
                <w:sz w:val="20"/>
                <w:szCs w:val="20"/>
                <w:color w:val="auto"/>
              </w:rPr>
            </w:pPr>
            <w:r>
              <w:rPr>
                <w:rFonts w:ascii="Times New Roman" w:cs="Times New Roman" w:eastAsia="Times New Roman" w:hAnsi="Times New Roman"/>
                <w:sz w:val="14"/>
                <w:szCs w:val="14"/>
                <w:b w:val="1"/>
                <w:bCs w:val="1"/>
                <w:color w:val="auto"/>
              </w:rPr>
              <w:t>Vesting Date</w:t>
            </w:r>
          </w:p>
        </w:tc>
        <w:tc>
          <w:tcPr>
            <w:tcW w:w="18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Vested Percentage</w:t>
            </w:r>
          </w:p>
        </w:tc>
      </w:tr>
      <w:tr>
        <w:trPr>
          <w:trHeight w:val="20"/>
        </w:trPr>
        <w:tc>
          <w:tcPr>
            <w:tcW w:w="176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0"/>
        </w:trPr>
        <w:tc>
          <w:tcPr>
            <w:tcW w:w="1760" w:type="dxa"/>
            <w:vAlign w:val="bottom"/>
          </w:tcPr>
          <w:p>
            <w:pPr>
              <w:spacing w:after="0"/>
              <w:rPr>
                <w:sz w:val="17"/>
                <w:szCs w:val="17"/>
                <w:color w:val="auto"/>
              </w:rPr>
            </w:pPr>
          </w:p>
        </w:tc>
        <w:tc>
          <w:tcPr>
            <w:tcW w:w="552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Prior to first anniversary of Vesting Start Date</w:t>
            </w:r>
          </w:p>
        </w:tc>
        <w:tc>
          <w:tcPr>
            <w:tcW w:w="5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0%</w:t>
            </w:r>
          </w:p>
        </w:tc>
      </w:tr>
      <w:tr>
        <w:trPr>
          <w:trHeight w:val="214"/>
        </w:trPr>
        <w:tc>
          <w:tcPr>
            <w:tcW w:w="176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 first anniversary of Vesting Start Date (the “</w:t>
            </w:r>
            <w:r>
              <w:rPr>
                <w:rFonts w:ascii="Times New Roman" w:cs="Times New Roman" w:eastAsia="Times New Roman" w:hAnsi="Times New Roman"/>
                <w:sz w:val="18"/>
                <w:szCs w:val="18"/>
                <w:b w:val="1"/>
                <w:bCs w:val="1"/>
                <w:i w:val="1"/>
                <w:iCs w:val="1"/>
                <w:color w:val="auto"/>
              </w:rPr>
              <w:t>Initial Vesting Date</w:t>
            </w:r>
            <w:r>
              <w:rPr>
                <w:rFonts w:ascii="Times New Roman" w:cs="Times New Roman" w:eastAsia="Times New Roman" w:hAnsi="Times New Roman"/>
                <w:sz w:val="18"/>
                <w:szCs w:val="18"/>
                <w:color w:val="auto"/>
              </w:rPr>
              <w:t>”)</w:t>
            </w:r>
          </w:p>
        </w:tc>
        <w:tc>
          <w:tcPr>
            <w:tcW w:w="1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 1/3%</w:t>
            </w:r>
          </w:p>
        </w:tc>
      </w:tr>
      <w:tr>
        <w:trPr>
          <w:trHeight w:val="214"/>
        </w:trPr>
        <w:tc>
          <w:tcPr>
            <w:tcW w:w="176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2nd anniversary of Vesting Start Date</w:t>
            </w:r>
          </w:p>
        </w:tc>
        <w:tc>
          <w:tcPr>
            <w:tcW w:w="1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 1/3%</w:t>
            </w:r>
          </w:p>
        </w:tc>
      </w:tr>
      <w:tr>
        <w:trPr>
          <w:trHeight w:val="233"/>
        </w:trPr>
        <w:tc>
          <w:tcPr>
            <w:tcW w:w="1760" w:type="dxa"/>
            <w:vAlign w:val="bottom"/>
          </w:tcPr>
          <w:p>
            <w:pPr>
              <w:spacing w:after="0"/>
              <w:rPr>
                <w:sz w:val="20"/>
                <w:szCs w:val="20"/>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3rd anniversary of Vesting Start Date</w:t>
            </w:r>
          </w:p>
        </w:tc>
        <w:tc>
          <w:tcPr>
            <w:tcW w:w="1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 1/3%</w:t>
            </w:r>
          </w:p>
        </w:tc>
      </w:tr>
      <w:tr>
        <w:trPr>
          <w:trHeight w:val="436"/>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Superseding Agreement:</w:t>
            </w:r>
          </w:p>
        </w:tc>
        <w:tc>
          <w:tcPr>
            <w:tcW w:w="5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None.</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900"/>
          </w:cols>
          <w:pgMar w:left="500" w:top="117" w:right="499" w:bottom="1440" w:gutter="0" w:footer="0" w:header="0"/>
          <w:type w:val="continuous"/>
        </w:sectPr>
      </w:pPr>
    </w:p>
    <w:bookmarkStart w:id="7" w:name="page8"/>
    <w:bookmarkEnd w:id="7"/>
    <w:p>
      <w:pPr>
        <w:ind w:right="1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Inducement Award. </w:t>
      </w:r>
      <w:r>
        <w:rPr>
          <w:rFonts w:ascii="Times New Roman" w:cs="Times New Roman" w:eastAsia="Times New Roman" w:hAnsi="Times New Roman"/>
          <w:sz w:val="18"/>
          <w:szCs w:val="18"/>
          <w:color w:val="auto"/>
        </w:rPr>
        <w:t>This Award constitutes an employment inducement award under NASDAQ Listing Rule 5635(c)(4) and is being granted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 inducement to the Participant’s entering into employment with the Company. This Award has been approved by the Compensation Committee of the Board of Directors of Verra Mobility Corporation, consisting entirely of Independent Directors (as defined under applicable NASDAQ listing rules). This Award is not granted under the Verra Mobility Corporation 2018 Equity Incentive Plan or any other shareholder-approved equity compensation plan of the Company.</w:t>
      </w:r>
    </w:p>
    <w:p>
      <w:pPr>
        <w:spacing w:after="0" w:line="18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By their signatures below or by electronic acceptance or authentication in a form authorized by the Company, the Company and the Participant agree that the Award is governed by this Grant Notice and by the provisions of the Restricted Stock Units Agreement (Inducement Award)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which is made a part of this document. The Participant represents that the Participant has read and is familiar with the provisions of the Agreement, and hereby accepts the Award subject to all of its terms and conditions.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tc>
        <w:tc>
          <w:tcPr>
            <w:tcW w:w="5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42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r>
        <w:trPr>
          <w:trHeight w:val="202"/>
        </w:trPr>
        <w:tc>
          <w:tcPr>
            <w:tcW w:w="48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Name: [________]</w:t>
            </w:r>
          </w:p>
        </w:tc>
        <w:tc>
          <w:tcPr>
            <w:tcW w:w="640" w:type="dxa"/>
            <w:vAlign w:val="bottom"/>
          </w:tcPr>
          <w:p>
            <w:pPr>
              <w:spacing w:after="0"/>
              <w:rPr>
                <w:sz w:val="17"/>
                <w:szCs w:val="17"/>
                <w:color w:val="auto"/>
              </w:rPr>
            </w:pPr>
          </w:p>
        </w:tc>
        <w:tc>
          <w:tcPr>
            <w:tcW w:w="538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Jon Newhard</w:t>
            </w:r>
          </w:p>
        </w:tc>
      </w:tr>
      <w:tr>
        <w:trPr>
          <w:trHeight w:val="232"/>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[________]</w:t>
            </w:r>
          </w:p>
        </w:tc>
        <w:tc>
          <w:tcPr>
            <w:tcW w:w="5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Date:</w:t>
            </w:r>
          </w:p>
        </w:tc>
      </w:tr>
      <w:tr>
        <w:trPr>
          <w:trHeight w:val="22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34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Address:</w:t>
            </w:r>
          </w:p>
        </w:tc>
        <w:tc>
          <w:tcPr>
            <w:tcW w:w="4460" w:type="dxa"/>
            <w:vAlign w:val="bottom"/>
            <w:tcBorders>
              <w:top w:val="single" w:sz="8" w:color="auto"/>
              <w:bottom w:val="single" w:sz="8" w:color="auto"/>
            </w:tcBorders>
          </w:tcPr>
          <w:p>
            <w:pPr>
              <w:spacing w:after="0"/>
              <w:rPr>
                <w:sz w:val="19"/>
                <w:szCs w:val="19"/>
                <w:color w:val="auto"/>
              </w:rPr>
            </w:pPr>
          </w:p>
        </w:tc>
      </w:tr>
      <w:tr>
        <w:trPr>
          <w:trHeight w:val="435"/>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 xml:space="preserve">ATTACHMENTS: </w:t>
            </w:r>
            <w:r>
              <w:rPr>
                <w:rFonts w:ascii="Times New Roman" w:cs="Times New Roman" w:eastAsia="Times New Roman" w:hAnsi="Times New Roman"/>
                <w:sz w:val="18"/>
                <w:szCs w:val="18"/>
                <w:color w:val="auto"/>
                <w:w w:val="99"/>
              </w:rPr>
              <w:t>Restricted Stock Units Agreement (Inducement Award)</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61"/>
        </w:trPr>
        <w:tc>
          <w:tcPr>
            <w:tcW w:w="5520" w:type="dxa"/>
            <w:vAlign w:val="bottom"/>
            <w:gridSpan w:val="3"/>
          </w:tcPr>
          <w:p>
            <w:pPr>
              <w:ind w:left="540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60" w:type="dxa"/>
            <w:vAlign w:val="bottom"/>
          </w:tcPr>
          <w:p>
            <w:pPr>
              <w:spacing w:after="0"/>
              <w:rPr>
                <w:sz w:val="24"/>
                <w:szCs w:val="24"/>
                <w:color w:val="auto"/>
              </w:rPr>
            </w:pPr>
          </w:p>
        </w:tc>
      </w:tr>
    </w:tbl>
    <w:p>
      <w:pPr>
        <w:sectPr>
          <w:pgSz w:w="11900" w:h="16838" w:orient="portrait"/>
          <w:cols w:equalWidth="0" w:num="1">
            <w:col w:w="10900"/>
          </w:cols>
          <w:pgMar w:left="500" w:top="264" w:right="499" w:bottom="1440" w:gutter="0" w:footer="0" w:header="0"/>
        </w:sectPr>
      </w:pPr>
    </w:p>
    <w:bookmarkStart w:id="8" w:name="page9"/>
    <w:bookmarkEnd w:id="8"/>
    <w:p>
      <w:pPr>
        <w:jc w:val="center"/>
        <w:ind w:right="-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VERRA MOBILITY CORPORATION</w:t>
      </w:r>
    </w:p>
    <w:p>
      <w:pPr>
        <w:spacing w:after="0" w:line="2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RESTRICTED STOCK UNITS AGREEMENT</w:t>
      </w:r>
    </w:p>
    <w:p>
      <w:pPr>
        <w:spacing w:after="0" w:line="2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(Inducement Award)</w:t>
      </w:r>
    </w:p>
    <w:p>
      <w:pPr>
        <w:spacing w:after="0" w:line="220" w:lineRule="exact"/>
        <w:rPr>
          <w:sz w:val="20"/>
          <w:szCs w:val="20"/>
          <w:color w:val="auto"/>
        </w:rPr>
      </w:pPr>
    </w:p>
    <w:p>
      <w:pPr>
        <w:ind w:left="6"/>
        <w:spacing w:after="0" w:line="253" w:lineRule="auto"/>
        <w:rPr>
          <w:sz w:val="20"/>
          <w:szCs w:val="20"/>
          <w:color w:val="auto"/>
        </w:rPr>
      </w:pPr>
      <w:r>
        <w:rPr>
          <w:rFonts w:ascii="Times New Roman" w:cs="Times New Roman" w:eastAsia="Times New Roman" w:hAnsi="Times New Roman"/>
          <w:sz w:val="18"/>
          <w:szCs w:val="18"/>
          <w:color w:val="auto"/>
        </w:rPr>
        <w:t>Verra Mobility Corporation,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to the Participant named in the Notice of Grant of Restricted Stock Units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to which this Restricted Stock Units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attached an Award consisting of Restricted Stock Units (each a “</w:t>
      </w:r>
      <w:r>
        <w:rPr>
          <w:rFonts w:ascii="Times New Roman" w:cs="Times New Roman" w:eastAsia="Times New Roman" w:hAnsi="Times New Roman"/>
          <w:sz w:val="18"/>
          <w:szCs w:val="18"/>
          <w:b w:val="1"/>
          <w:bCs w:val="1"/>
          <w:i w:val="1"/>
          <w:iCs w:val="1"/>
          <w:color w:val="auto"/>
        </w:rPr>
        <w:t>Unit</w:t>
      </w:r>
      <w:r>
        <w:rPr>
          <w:rFonts w:ascii="Times New Roman" w:cs="Times New Roman" w:eastAsia="Times New Roman" w:hAnsi="Times New Roman"/>
          <w:sz w:val="18"/>
          <w:szCs w:val="18"/>
          <w:color w:val="auto"/>
        </w:rPr>
        <w:t>”) subject to the terms and conditions set forth in the Grant Notice and this Agreement. The Award constitutes an employment inducement award under NASDAQ Listing Rule 5635(c)(4). By signing the Grant Notice, the Participant: (a) acknowledges receipt of and represents that the Participant has read and is familiar with the Grant Notice and this Agreement, (b) accepts the Award subject to all of the terms and conditions of the Grant Notice and this Agreement, and (c) agrees to accept as binding, conclusive and final all decisions or interpretations of the Committee upon any questions arising under the Grant Notice or this Agreement.</w:t>
      </w:r>
    </w:p>
    <w:p>
      <w:pPr>
        <w:spacing w:after="0" w:line="333" w:lineRule="exact"/>
        <w:rPr>
          <w:sz w:val="20"/>
          <w:szCs w:val="20"/>
          <w:color w:val="auto"/>
        </w:rPr>
      </w:pPr>
    </w:p>
    <w:p>
      <w:pPr>
        <w:ind w:left="426" w:hanging="426"/>
        <w:spacing w:after="0"/>
        <w:tabs>
          <w:tab w:leader="none" w:pos="4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 AND CONSTRUCTION</w:t>
      </w:r>
    </w:p>
    <w:p>
      <w:pPr>
        <w:spacing w:after="0" w:line="123" w:lineRule="exact"/>
        <w:rPr>
          <w:sz w:val="20"/>
          <w:szCs w:val="20"/>
          <w:color w:val="auto"/>
        </w:rPr>
      </w:pPr>
    </w:p>
    <w:p>
      <w:pPr>
        <w:ind w:left="6"/>
        <w:spacing w:after="0"/>
        <w:tabs>
          <w:tab w:leader="none" w:pos="406"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i w:val="1"/>
          <w:iCs w:val="1"/>
          <w:color w:val="auto"/>
        </w:rPr>
        <w:t>Definitions.</w:t>
      </w:r>
    </w:p>
    <w:p>
      <w:pPr>
        <w:spacing w:after="0" w:line="118" w:lineRule="exact"/>
        <w:rPr>
          <w:sz w:val="20"/>
          <w:szCs w:val="20"/>
          <w:color w:val="auto"/>
        </w:rPr>
      </w:pPr>
    </w:p>
    <w:p>
      <w:pPr>
        <w:ind w:left="6" w:right="20"/>
        <w:spacing w:after="0" w:line="252" w:lineRule="auto"/>
        <w:rPr>
          <w:sz w:val="20"/>
          <w:szCs w:val="20"/>
          <w:color w:val="auto"/>
        </w:rPr>
      </w:pPr>
      <w:r>
        <w:rPr>
          <w:rFonts w:ascii="Times New Roman" w:cs="Times New Roman" w:eastAsia="Times New Roman" w:hAnsi="Times New Roman"/>
          <w:sz w:val="18"/>
          <w:szCs w:val="18"/>
          <w:color w:val="auto"/>
        </w:rPr>
        <w:t>Unless otherwise defined herein, capitalized terms shall have the meanings assigned to such terms in the Grant Notice or the Verra Mobility Corporation 2018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as amended to the Date of Grant, the provisions of which are incorporated herein by reference. For the avoidance of doubt, this Award constitutes an employment inducement award under NASDAQ Listing Rule 5635(c)(4) and is being granted as a material inducement to the Participant’s entering into employment with the Company. This Award has been approved by the Compensation Committee of the Board of Directors of Verra Mobility Corporation, consisting entirely of Independent Directors (as defined under applicable NASDAQ listing rules). This Award is not granted under the Verra Mobility Corporation 2018 Equity Incentive Plan or any other shareholder-approved equity compensation plan of the Company.</w:t>
      </w:r>
    </w:p>
    <w:p>
      <w:pPr>
        <w:spacing w:after="0" w:line="91" w:lineRule="exact"/>
        <w:rPr>
          <w:sz w:val="20"/>
          <w:szCs w:val="20"/>
          <w:color w:val="auto"/>
        </w:rPr>
      </w:pPr>
    </w:p>
    <w:p>
      <w:pPr>
        <w:ind w:left="6"/>
        <w:spacing w:after="0"/>
        <w:tabs>
          <w:tab w:leader="none" w:pos="406"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i w:val="1"/>
          <w:iCs w:val="1"/>
          <w:color w:val="auto"/>
        </w:rPr>
        <w:t>Construction.</w:t>
      </w:r>
    </w:p>
    <w:p>
      <w:pPr>
        <w:spacing w:after="0" w:line="118" w:lineRule="exact"/>
        <w:rPr>
          <w:sz w:val="20"/>
          <w:szCs w:val="20"/>
          <w:color w:val="auto"/>
        </w:rPr>
      </w:pPr>
    </w:p>
    <w:p>
      <w:pPr>
        <w:ind w:left="6" w:right="60"/>
        <w:spacing w:after="0" w:line="262" w:lineRule="auto"/>
        <w:rPr>
          <w:sz w:val="20"/>
          <w:szCs w:val="20"/>
          <w:color w:val="auto"/>
        </w:rPr>
      </w:pPr>
      <w:r>
        <w:rPr>
          <w:rFonts w:ascii="Times New Roman" w:cs="Times New Roman" w:eastAsia="Times New Roman" w:hAnsi="Times New Roman"/>
          <w:sz w:val="18"/>
          <w:szCs w:val="18"/>
          <w:color w:val="auto"/>
        </w:rPr>
        <w:t>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324" w:lineRule="exact"/>
        <w:rPr>
          <w:sz w:val="20"/>
          <w:szCs w:val="20"/>
          <w:color w:val="auto"/>
        </w:rPr>
      </w:pPr>
    </w:p>
    <w:p>
      <w:pPr>
        <w:ind w:left="426" w:hanging="426"/>
        <w:spacing w:after="0"/>
        <w:tabs>
          <w:tab w:leader="none" w:pos="4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p>
    <w:p>
      <w:pPr>
        <w:spacing w:after="0" w:line="114" w:lineRule="exact"/>
        <w:rPr>
          <w:sz w:val="20"/>
          <w:szCs w:val="20"/>
          <w:color w:val="auto"/>
        </w:rPr>
      </w:pPr>
    </w:p>
    <w:p>
      <w:pPr>
        <w:ind w:left="6" w:right="200"/>
        <w:spacing w:after="0" w:line="262" w:lineRule="auto"/>
        <w:rPr>
          <w:sz w:val="20"/>
          <w:szCs w:val="20"/>
          <w:color w:val="auto"/>
        </w:rPr>
      </w:pPr>
      <w:r>
        <w:rPr>
          <w:rFonts w:ascii="Times New Roman" w:cs="Times New Roman" w:eastAsia="Times New Roman" w:hAnsi="Times New Roman"/>
          <w:sz w:val="18"/>
          <w:szCs w:val="18"/>
          <w:color w:val="auto"/>
        </w:rPr>
        <w:t>All questions of interpretation concerning the Grant Notice or this Agreement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w:t>
      </w:r>
    </w:p>
    <w:p>
      <w:pPr>
        <w:spacing w:after="0" w:line="11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6"/>
          </w:cols>
          <w:pgMar w:left="494" w:top="264" w:right="519" w:bottom="1440" w:gutter="0" w:footer="0" w:header="0"/>
        </w:sectPr>
      </w:pPr>
    </w:p>
    <w:bookmarkStart w:id="9" w:name="page10"/>
    <w:bookmarkEnd w:id="9"/>
    <w:p>
      <w:pPr>
        <w:ind w:left="6" w:right="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discretion pursuant to this Agreement or the Award (other than determining questions of interpretation pursuant to the preceding sentence) shall be final, binding and conclusive upon all persons having an interest in the Award. Any officer of the Company shall have the authority to act on behalf of the Company with respect to any matter, right, obligation or election which is the responsibility of or which is allocated to the Company herein, provided such officer has apparent authority with respect to such matter, right, obligation or election.</w:t>
      </w:r>
    </w:p>
    <w:p>
      <w:pPr>
        <w:spacing w:after="0" w:line="329" w:lineRule="exact"/>
        <w:rPr>
          <w:sz w:val="20"/>
          <w:szCs w:val="20"/>
          <w:color w:val="auto"/>
        </w:rPr>
      </w:pPr>
    </w:p>
    <w:p>
      <w:pPr>
        <w:ind w:left="426" w:hanging="426"/>
        <w:spacing w:after="0"/>
        <w:tabs>
          <w:tab w:leader="none" w:pos="4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AWARD</w:t>
      </w:r>
    </w:p>
    <w:p>
      <w:pPr>
        <w:spacing w:after="0" w:line="123" w:lineRule="exact"/>
        <w:rPr>
          <w:sz w:val="20"/>
          <w:szCs w:val="20"/>
          <w:color w:val="auto"/>
        </w:rPr>
      </w:pPr>
    </w:p>
    <w:p>
      <w:pPr>
        <w:ind w:left="6"/>
        <w:spacing w:after="0"/>
        <w:tabs>
          <w:tab w:leader="none" w:pos="406"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i w:val="1"/>
          <w:iCs w:val="1"/>
          <w:color w:val="auto"/>
        </w:rPr>
        <w:t>Grant of Units.</w:t>
      </w:r>
    </w:p>
    <w:p>
      <w:pPr>
        <w:spacing w:after="0" w:line="118" w:lineRule="exact"/>
        <w:rPr>
          <w:sz w:val="20"/>
          <w:szCs w:val="20"/>
          <w:color w:val="auto"/>
        </w:rPr>
      </w:pPr>
    </w:p>
    <w:p>
      <w:pPr>
        <w:jc w:val="both"/>
        <w:ind w:left="6" w:right="40"/>
        <w:spacing w:after="0" w:line="262" w:lineRule="auto"/>
        <w:rPr>
          <w:sz w:val="20"/>
          <w:szCs w:val="20"/>
          <w:color w:val="auto"/>
        </w:rPr>
      </w:pPr>
      <w:r>
        <w:rPr>
          <w:rFonts w:ascii="Times New Roman" w:cs="Times New Roman" w:eastAsia="Times New Roman" w:hAnsi="Times New Roman"/>
          <w:sz w:val="18"/>
          <w:szCs w:val="18"/>
          <w:color w:val="auto"/>
        </w:rPr>
        <w:t>On the Date of Grant, the Participant shall acquire, subject to the provisions of this Agreement, the Total Number of Units set forth in the Grant Notice, subject to adjustment as provided in Section 9. Each Unit represents a right to receive on a date determined in accordance with the Grant Notice and this Agreement one (1) share of Stock.</w:t>
      </w:r>
    </w:p>
    <w:p>
      <w:pPr>
        <w:spacing w:after="0" w:line="80" w:lineRule="exact"/>
        <w:rPr>
          <w:sz w:val="20"/>
          <w:szCs w:val="20"/>
          <w:color w:val="auto"/>
        </w:rPr>
      </w:pPr>
    </w:p>
    <w:p>
      <w:pPr>
        <w:ind w:left="6"/>
        <w:spacing w:after="0"/>
        <w:tabs>
          <w:tab w:leader="none" w:pos="406"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i w:val="1"/>
          <w:iCs w:val="1"/>
          <w:color w:val="auto"/>
        </w:rPr>
        <w:t>No Monetary Payment Required.</w:t>
      </w:r>
    </w:p>
    <w:p>
      <w:pPr>
        <w:spacing w:after="0" w:line="118" w:lineRule="exact"/>
        <w:rPr>
          <w:sz w:val="20"/>
          <w:szCs w:val="20"/>
          <w:color w:val="auto"/>
        </w:rPr>
      </w:pPr>
    </w:p>
    <w:p>
      <w:pPr>
        <w:ind w:left="6" w:right="40"/>
        <w:spacing w:after="0" w:line="255" w:lineRule="auto"/>
        <w:rPr>
          <w:sz w:val="20"/>
          <w:szCs w:val="20"/>
          <w:color w:val="auto"/>
        </w:rPr>
      </w:pPr>
      <w:r>
        <w:rPr>
          <w:rFonts w:ascii="Times New Roman" w:cs="Times New Roman" w:eastAsia="Times New Roman" w:hAnsi="Times New Roman"/>
          <w:sz w:val="18"/>
          <w:szCs w:val="18"/>
          <w:color w:val="auto"/>
        </w:rPr>
        <w:t>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85" w:lineRule="exact"/>
        <w:rPr>
          <w:sz w:val="20"/>
          <w:szCs w:val="20"/>
          <w:color w:val="auto"/>
        </w:rPr>
      </w:pPr>
    </w:p>
    <w:p>
      <w:pPr>
        <w:ind w:left="6"/>
        <w:spacing w:after="0"/>
        <w:tabs>
          <w:tab w:leader="none" w:pos="406"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i w:val="1"/>
          <w:iCs w:val="1"/>
          <w:color w:val="auto"/>
        </w:rPr>
        <w:t>Inducement Award Status.</w:t>
      </w:r>
    </w:p>
    <w:p>
      <w:pPr>
        <w:spacing w:after="0" w:line="118" w:lineRule="exact"/>
        <w:rPr>
          <w:sz w:val="20"/>
          <w:szCs w:val="20"/>
          <w:color w:val="auto"/>
        </w:rPr>
      </w:pPr>
    </w:p>
    <w:p>
      <w:pPr>
        <w:ind w:left="6" w:right="760"/>
        <w:spacing w:after="0" w:line="277" w:lineRule="auto"/>
        <w:rPr>
          <w:sz w:val="20"/>
          <w:szCs w:val="20"/>
          <w:color w:val="auto"/>
        </w:rPr>
      </w:pPr>
      <w:r>
        <w:rPr>
          <w:rFonts w:ascii="Times New Roman" w:cs="Times New Roman" w:eastAsia="Times New Roman" w:hAnsi="Times New Roman"/>
          <w:sz w:val="18"/>
          <w:szCs w:val="18"/>
          <w:color w:val="auto"/>
        </w:rPr>
        <w:t>This Award is intended to constitute an employment inducement award pursuant to NASDAQ Listing Rule 5635(c)(4) that is exempt from the NASDAQ stockholder approval requirements for equity compensation arrangements.</w:t>
      </w:r>
    </w:p>
    <w:p>
      <w:pPr>
        <w:spacing w:after="0" w:line="310" w:lineRule="exact"/>
        <w:rPr>
          <w:sz w:val="20"/>
          <w:szCs w:val="20"/>
          <w:color w:val="auto"/>
        </w:rPr>
      </w:pPr>
    </w:p>
    <w:p>
      <w:pPr>
        <w:ind w:left="426" w:hanging="426"/>
        <w:spacing w:after="0"/>
        <w:tabs>
          <w:tab w:leader="none" w:pos="4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UNITS</w:t>
      </w:r>
    </w:p>
    <w:p>
      <w:pPr>
        <w:spacing w:after="0" w:line="114" w:lineRule="exact"/>
        <w:rPr>
          <w:sz w:val="20"/>
          <w:szCs w:val="20"/>
          <w:color w:val="auto"/>
        </w:rPr>
      </w:pPr>
    </w:p>
    <w:p>
      <w:pPr>
        <w:ind w:left="6"/>
        <w:spacing w:after="0" w:line="262" w:lineRule="auto"/>
        <w:rPr>
          <w:sz w:val="20"/>
          <w:szCs w:val="20"/>
          <w:color w:val="auto"/>
        </w:rPr>
      </w:pPr>
      <w:r>
        <w:rPr>
          <w:rFonts w:ascii="Times New Roman" w:cs="Times New Roman" w:eastAsia="Times New Roman" w:hAnsi="Times New Roman"/>
          <w:sz w:val="18"/>
          <w:szCs w:val="18"/>
          <w:color w:val="auto"/>
        </w:rPr>
        <w:t>Units acquired pursuant to this Agreement shall become Vested Units as provided in the Grant Notice. For purposes of determining the number of Vested Units following an Ownership Change Event, credited Service shall include all Service with any corporation which is a Participating Company at the time the Service is rendered, whether or not such corporation is a Participating Company both before and after the Ownership Change Event.</w:t>
      </w:r>
    </w:p>
    <w:p>
      <w:pPr>
        <w:spacing w:after="0" w:line="324" w:lineRule="exact"/>
        <w:rPr>
          <w:sz w:val="20"/>
          <w:szCs w:val="20"/>
          <w:color w:val="auto"/>
        </w:rPr>
      </w:pPr>
    </w:p>
    <w:p>
      <w:pPr>
        <w:ind w:left="426" w:hanging="426"/>
        <w:spacing w:after="0"/>
        <w:tabs>
          <w:tab w:leader="none" w:pos="4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REACQUISITION RIGHT</w:t>
      </w:r>
    </w:p>
    <w:p>
      <w:pPr>
        <w:spacing w:after="0" w:line="123" w:lineRule="exact"/>
        <w:rPr>
          <w:sz w:val="20"/>
          <w:szCs w:val="20"/>
          <w:color w:val="auto"/>
        </w:rPr>
      </w:pPr>
    </w:p>
    <w:p>
      <w:pPr>
        <w:ind w:left="6"/>
        <w:spacing w:after="0"/>
        <w:tabs>
          <w:tab w:leader="none" w:pos="406"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i w:val="1"/>
          <w:iCs w:val="1"/>
          <w:color w:val="auto"/>
        </w:rPr>
        <w:t>Grant of Company Reacquisition Right.</w:t>
      </w:r>
    </w:p>
    <w:p>
      <w:pPr>
        <w:spacing w:after="0" w:line="118" w:lineRule="exact"/>
        <w:rPr>
          <w:sz w:val="20"/>
          <w:szCs w:val="20"/>
          <w:color w:val="auto"/>
        </w:rPr>
      </w:pPr>
    </w:p>
    <w:p>
      <w:pPr>
        <w:jc w:val="both"/>
        <w:ind w:left="6" w:right="60"/>
        <w:spacing w:after="0" w:line="285" w:lineRule="auto"/>
        <w:rPr>
          <w:sz w:val="20"/>
          <w:szCs w:val="20"/>
          <w:color w:val="auto"/>
        </w:rPr>
      </w:pPr>
      <w:r>
        <w:rPr>
          <w:rFonts w:ascii="Times New Roman" w:cs="Times New Roman" w:eastAsia="Times New Roman" w:hAnsi="Times New Roman"/>
          <w:sz w:val="17"/>
          <w:szCs w:val="17"/>
          <w:color w:val="auto"/>
        </w:rPr>
        <w:t>Except to the extent otherwise provided by the Superseding Agreement, if any, in the event that the Participant’s Service terminates for any reason or no reason, with or without Cause, the Participant shall forfeit and the Company shall automatically reacquire all Units which are not, as of the time of such termination, Vested Units (“</w:t>
      </w:r>
      <w:r>
        <w:rPr>
          <w:rFonts w:ascii="Times New Roman" w:cs="Times New Roman" w:eastAsia="Times New Roman" w:hAnsi="Times New Roman"/>
          <w:sz w:val="17"/>
          <w:szCs w:val="17"/>
          <w:b w:val="1"/>
          <w:bCs w:val="1"/>
          <w:i w:val="1"/>
          <w:iCs w:val="1"/>
          <w:color w:val="auto"/>
        </w:rPr>
        <w:t>Unvested Units</w:t>
      </w:r>
      <w:r>
        <w:rPr>
          <w:rFonts w:ascii="Times New Roman" w:cs="Times New Roman" w:eastAsia="Times New Roman" w:hAnsi="Times New Roman"/>
          <w:sz w:val="17"/>
          <w:szCs w:val="17"/>
          <w:color w:val="auto"/>
        </w:rPr>
        <w:t>”), and the Participant shall not be entitled to any payment therefor (the “</w:t>
      </w:r>
      <w:r>
        <w:rPr>
          <w:rFonts w:ascii="Times New Roman" w:cs="Times New Roman" w:eastAsia="Times New Roman" w:hAnsi="Times New Roman"/>
          <w:sz w:val="17"/>
          <w:szCs w:val="17"/>
          <w:b w:val="1"/>
          <w:bCs w:val="1"/>
          <w:i w:val="1"/>
          <w:iCs w:val="1"/>
          <w:color w:val="auto"/>
        </w:rPr>
        <w:t>Company Reacquisition Right</w:t>
      </w:r>
      <w:r>
        <w:rPr>
          <w:rFonts w:ascii="Times New Roman" w:cs="Times New Roman" w:eastAsia="Times New Roman" w:hAnsi="Times New Roman"/>
          <w:sz w:val="17"/>
          <w:szCs w:val="17"/>
          <w:color w:val="auto"/>
        </w:rPr>
        <w:t>”).</w:t>
      </w:r>
    </w:p>
    <w:p>
      <w:pPr>
        <w:spacing w:after="0" w:line="92"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6"/>
          </w:cols>
          <w:pgMar w:left="494" w:top="268" w:right="519" w:bottom="1440" w:gutter="0" w:footer="0" w:header="0"/>
        </w:sectPr>
      </w:pPr>
    </w:p>
    <w:bookmarkStart w:id="10" w:name="page11"/>
    <w:bookmarkEnd w:id="10"/>
    <w:p>
      <w:pPr>
        <w:ind w:left="6"/>
        <w:spacing w:after="0"/>
        <w:tabs>
          <w:tab w:leader="none" w:pos="406"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5.2</w:t>
      </w:r>
      <w:r>
        <w:rPr>
          <w:sz w:val="20"/>
          <w:szCs w:val="20"/>
          <w:color w:val="auto"/>
        </w:rPr>
        <w:tab/>
      </w:r>
      <w:r>
        <w:rPr>
          <w:rFonts w:ascii="Times New Roman" w:cs="Times New Roman" w:eastAsia="Times New Roman" w:hAnsi="Times New Roman"/>
          <w:sz w:val="17"/>
          <w:szCs w:val="17"/>
          <w:b w:val="1"/>
          <w:bCs w:val="1"/>
          <w:i w:val="1"/>
          <w:iCs w:val="1"/>
          <w:color w:val="auto"/>
        </w:rPr>
        <w:t>Ownership Change Event, Non-Cash Dividends, Distributions and Adjustments.</w:t>
      </w:r>
    </w:p>
    <w:p>
      <w:pPr>
        <w:spacing w:after="0" w:line="118" w:lineRule="exact"/>
        <w:rPr>
          <w:sz w:val="20"/>
          <w:szCs w:val="20"/>
          <w:color w:val="auto"/>
        </w:rPr>
      </w:pPr>
    </w:p>
    <w:p>
      <w:pPr>
        <w:ind w:left="6" w:right="140"/>
        <w:spacing w:after="0" w:line="251" w:lineRule="auto"/>
        <w:rPr>
          <w:sz w:val="20"/>
          <w:szCs w:val="20"/>
          <w:color w:val="auto"/>
        </w:rPr>
      </w:pPr>
      <w:r>
        <w:rPr>
          <w:rFonts w:ascii="Times New Roman" w:cs="Times New Roman" w:eastAsia="Times New Roman" w:hAnsi="Times New Roman"/>
          <w:sz w:val="18"/>
          <w:szCs w:val="18"/>
          <w:color w:val="auto"/>
        </w:rPr>
        <w:t>Upon the 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(other than regular, periodic cash dividends paid on Stock pursuant to the Company’s dividend policy) to which the Participant is entitled by reason of the Participant’s ownership of Unvested Units shall be immediately subject to the Company Reacquisition Right and included in the terms “Units” and “Unvested Units” for all purposes of the Company Reacquisition Right with the same force and effect as the Unvested Units immediately prior to the Ownership Change Event, dividend, distribution or adjustment, as the case may be. For purposes of determining the number of Vested Units following an Ownership Change Event, dividend, distribution or adjustment, credited Service shall include all Service with any corporation which is a Participating Company at the time the Service is rendered, whether or not such corporation is a Participating Company both before and after any such event.</w:t>
      </w:r>
    </w:p>
    <w:p>
      <w:pPr>
        <w:spacing w:after="0" w:line="336" w:lineRule="exact"/>
        <w:rPr>
          <w:sz w:val="20"/>
          <w:szCs w:val="20"/>
          <w:color w:val="auto"/>
        </w:rPr>
      </w:pPr>
    </w:p>
    <w:p>
      <w:pPr>
        <w:ind w:left="426" w:hanging="426"/>
        <w:spacing w:after="0"/>
        <w:tabs>
          <w:tab w:leader="none" w:pos="4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THE AWARD</w:t>
      </w:r>
    </w:p>
    <w:p>
      <w:pPr>
        <w:spacing w:after="0" w:line="123" w:lineRule="exact"/>
        <w:rPr>
          <w:sz w:val="20"/>
          <w:szCs w:val="20"/>
          <w:color w:val="auto"/>
        </w:rPr>
      </w:pPr>
    </w:p>
    <w:p>
      <w:pPr>
        <w:ind w:left="6"/>
        <w:spacing w:after="0"/>
        <w:tabs>
          <w:tab w:leader="none" w:pos="406"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i w:val="1"/>
          <w:iCs w:val="1"/>
          <w:color w:val="auto"/>
        </w:rPr>
        <w:t>Issuance of Shares of Stock.</w:t>
      </w:r>
    </w:p>
    <w:p>
      <w:pPr>
        <w:spacing w:after="0" w:line="118" w:lineRule="exact"/>
        <w:rPr>
          <w:sz w:val="20"/>
          <w:szCs w:val="20"/>
          <w:color w:val="auto"/>
        </w:rPr>
      </w:pPr>
    </w:p>
    <w:p>
      <w:pPr>
        <w:ind w:left="6"/>
        <w:spacing w:after="0" w:line="251" w:lineRule="auto"/>
        <w:rPr>
          <w:sz w:val="20"/>
          <w:szCs w:val="20"/>
          <w:color w:val="auto"/>
        </w:rPr>
      </w:pPr>
      <w:r>
        <w:rPr>
          <w:rFonts w:ascii="Times New Roman" w:cs="Times New Roman" w:eastAsia="Times New Roman" w:hAnsi="Times New Roman"/>
          <w:sz w:val="18"/>
          <w:szCs w:val="18"/>
          <w:color w:val="auto"/>
        </w:rPr>
        <w:t>Subject to the provisions of Section 6.3, the Company shall issue to the Participant on the Settlement Date with respect to each Vested Unit to be settled on such date one (1) share of Stock. The Settlement Date with respect to a Unit shall be the date on which such Unit becomes a Vested Unit as provided by the Grant Notice (an “</w:t>
      </w:r>
      <w:r>
        <w:rPr>
          <w:rFonts w:ascii="Times New Roman" w:cs="Times New Roman" w:eastAsia="Times New Roman" w:hAnsi="Times New Roman"/>
          <w:sz w:val="18"/>
          <w:szCs w:val="18"/>
          <w:b w:val="1"/>
          <w:bCs w:val="1"/>
          <w:i w:val="1"/>
          <w:iCs w:val="1"/>
          <w:color w:val="auto"/>
        </w:rPr>
        <w:t>Original Settlement Date</w:t>
      </w:r>
      <w:r>
        <w:rPr>
          <w:rFonts w:ascii="Times New Roman" w:cs="Times New Roman" w:eastAsia="Times New Roman" w:hAnsi="Times New Roman"/>
          <w:sz w:val="18"/>
          <w:szCs w:val="18"/>
          <w:color w:val="auto"/>
        </w:rPr>
        <w:t>”); provided, however, that if the tax withholding obligations of a Participating Company, if any, will not be satisfied by the share withholding method described in Section 7.3 and the Original Settlement Date would occur on a date on which a sale by the Participant of the shares to be issued in settlement of the Vested Units would violate the Trading Compliance Policy of the Company, then the Settlement Date for such Vested Units shall be deferred until the next day on which the sale of such shares would not violate the Trading Compliance Policy, but in any event on or before the 15th day of the third calendar month following the calendar year of the Original Settlement Date. Shares of Stock issued in settlement of Units shall not be subject to any restriction on transfer other than any such restriction as may be required pursuant to Section 6.3, Section 7 or the Company’s Trading Compliance Policy.</w:t>
      </w:r>
    </w:p>
    <w:p>
      <w:pPr>
        <w:spacing w:after="0" w:line="92" w:lineRule="exact"/>
        <w:rPr>
          <w:sz w:val="20"/>
          <w:szCs w:val="20"/>
          <w:color w:val="auto"/>
        </w:rPr>
      </w:pPr>
    </w:p>
    <w:p>
      <w:pPr>
        <w:ind w:left="6"/>
        <w:spacing w:after="0"/>
        <w:tabs>
          <w:tab w:leader="none" w:pos="406"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i w:val="1"/>
          <w:iCs w:val="1"/>
          <w:color w:val="auto"/>
        </w:rPr>
        <w:t>Beneficial Ownership of Shares; Certificate Registration.</w:t>
      </w:r>
    </w:p>
    <w:p>
      <w:pPr>
        <w:spacing w:after="0" w:line="118" w:lineRule="exact"/>
        <w:rPr>
          <w:sz w:val="20"/>
          <w:szCs w:val="20"/>
          <w:color w:val="auto"/>
        </w:rPr>
      </w:pPr>
    </w:p>
    <w:p>
      <w:pPr>
        <w:jc w:val="both"/>
        <w:ind w:left="6" w:right="120"/>
        <w:spacing w:after="0" w:line="255" w:lineRule="auto"/>
        <w:rPr>
          <w:sz w:val="20"/>
          <w:szCs w:val="20"/>
          <w:color w:val="auto"/>
        </w:rPr>
      </w:pPr>
      <w:r>
        <w:rPr>
          <w:rFonts w:ascii="Times New Roman" w:cs="Times New Roman" w:eastAsia="Times New Roman" w:hAnsi="Times New Roman"/>
          <w:sz w:val="18"/>
          <w:szCs w:val="18"/>
          <w:color w:val="auto"/>
        </w:rPr>
        <w:t>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1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6"/>
          </w:cols>
          <w:pgMar w:left="494" w:top="264" w:right="519" w:bottom="1440" w:gutter="0" w:footer="0" w:header="0"/>
        </w:sectPr>
      </w:pPr>
    </w:p>
    <w:bookmarkStart w:id="11" w:name="page12"/>
    <w:bookmarkEnd w:id="11"/>
    <w:p>
      <w:pPr>
        <w:ind w:left="6"/>
        <w:spacing w:after="0"/>
        <w:tabs>
          <w:tab w:leader="none" w:pos="406"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6.3</w:t>
      </w:r>
      <w:r>
        <w:rPr>
          <w:sz w:val="20"/>
          <w:szCs w:val="20"/>
          <w:color w:val="auto"/>
        </w:rPr>
        <w:tab/>
      </w:r>
      <w:r>
        <w:rPr>
          <w:rFonts w:ascii="Times New Roman" w:cs="Times New Roman" w:eastAsia="Times New Roman" w:hAnsi="Times New Roman"/>
          <w:sz w:val="17"/>
          <w:szCs w:val="17"/>
          <w:b w:val="1"/>
          <w:bCs w:val="1"/>
          <w:i w:val="1"/>
          <w:iCs w:val="1"/>
          <w:color w:val="auto"/>
        </w:rPr>
        <w:t>Restrictions on Grant of the Award and Issuance of Shares.</w:t>
      </w:r>
    </w:p>
    <w:p>
      <w:pPr>
        <w:spacing w:after="0" w:line="118" w:lineRule="exact"/>
        <w:rPr>
          <w:sz w:val="20"/>
          <w:szCs w:val="20"/>
          <w:color w:val="auto"/>
        </w:rPr>
      </w:pPr>
    </w:p>
    <w:p>
      <w:pPr>
        <w:ind w:left="6" w:right="20"/>
        <w:spacing w:after="0" w:line="268" w:lineRule="auto"/>
        <w:rPr>
          <w:sz w:val="20"/>
          <w:szCs w:val="20"/>
          <w:color w:val="auto"/>
        </w:rPr>
      </w:pPr>
      <w:r>
        <w:rPr>
          <w:rFonts w:ascii="Times New Roman" w:cs="Times New Roman" w:eastAsia="Times New Roman" w:hAnsi="Times New Roman"/>
          <w:sz w:val="17"/>
          <w:szCs w:val="17"/>
          <w:color w:val="auto"/>
        </w:rPr>
        <w:t>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77" w:lineRule="exact"/>
        <w:rPr>
          <w:sz w:val="20"/>
          <w:szCs w:val="20"/>
          <w:color w:val="auto"/>
        </w:rPr>
      </w:pPr>
    </w:p>
    <w:p>
      <w:pPr>
        <w:ind w:left="6"/>
        <w:spacing w:after="0" w:line="262" w:lineRule="auto"/>
        <w:rPr>
          <w:sz w:val="20"/>
          <w:szCs w:val="20"/>
          <w:color w:val="auto"/>
        </w:rPr>
      </w:pPr>
      <w:r>
        <w:rPr>
          <w:rFonts w:ascii="Times New Roman" w:cs="Times New Roman" w:eastAsia="Times New Roman" w:hAnsi="Times New Roman"/>
          <w:sz w:val="18"/>
          <w:szCs w:val="18"/>
          <w:color w:val="auto"/>
        </w:rPr>
        <w:t>The Company intends to file a registration statement on Form S-8 (or such other form as may be available) to register the shares of Stock issuable upon settlement of the Units. Until such time as a registration statement is effective, the Company may impose such restrictions on the transferability of shares issued upon settlement as it determines are necessary or appropriate under applicable securities laws.</w:t>
      </w:r>
    </w:p>
    <w:p>
      <w:pPr>
        <w:spacing w:after="0" w:line="80" w:lineRule="exact"/>
        <w:rPr>
          <w:sz w:val="20"/>
          <w:szCs w:val="20"/>
          <w:color w:val="auto"/>
        </w:rPr>
      </w:pPr>
    </w:p>
    <w:p>
      <w:pPr>
        <w:ind w:left="6"/>
        <w:spacing w:after="0"/>
        <w:tabs>
          <w:tab w:leader="none" w:pos="406"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7"/>
          <w:szCs w:val="17"/>
          <w:b w:val="1"/>
          <w:bCs w:val="1"/>
          <w:i w:val="1"/>
          <w:iCs w:val="1"/>
          <w:color w:val="auto"/>
        </w:rPr>
        <w:t>Fractional Shares.</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The Company shall not be required to issue fractional shares upon the settlement of the Award.</w:t>
      </w:r>
    </w:p>
    <w:p>
      <w:pPr>
        <w:spacing w:after="0" w:line="367" w:lineRule="exact"/>
        <w:rPr>
          <w:sz w:val="20"/>
          <w:szCs w:val="20"/>
          <w:color w:val="auto"/>
        </w:rPr>
      </w:pPr>
    </w:p>
    <w:p>
      <w:pPr>
        <w:ind w:left="426" w:hanging="426"/>
        <w:spacing w:after="0"/>
        <w:tabs>
          <w:tab w:leader="none" w:pos="4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p>
    <w:p>
      <w:pPr>
        <w:spacing w:after="0" w:line="123" w:lineRule="exact"/>
        <w:rPr>
          <w:sz w:val="20"/>
          <w:szCs w:val="20"/>
          <w:color w:val="auto"/>
        </w:rPr>
      </w:pPr>
    </w:p>
    <w:p>
      <w:pPr>
        <w:ind w:left="6"/>
        <w:spacing w:after="0"/>
        <w:tabs>
          <w:tab w:leader="none" w:pos="406"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i w:val="1"/>
          <w:iCs w:val="1"/>
          <w:color w:val="auto"/>
        </w:rPr>
        <w:t>In General.</w:t>
      </w:r>
    </w:p>
    <w:p>
      <w:pPr>
        <w:spacing w:after="0" w:line="118" w:lineRule="exact"/>
        <w:rPr>
          <w:sz w:val="20"/>
          <w:szCs w:val="20"/>
          <w:color w:val="auto"/>
        </w:rPr>
      </w:pPr>
    </w:p>
    <w:p>
      <w:pPr>
        <w:ind w:left="6" w:right="80"/>
        <w:spacing w:after="0" w:line="255" w:lineRule="auto"/>
        <w:rPr>
          <w:sz w:val="20"/>
          <w:szCs w:val="20"/>
          <w:color w:val="auto"/>
        </w:rPr>
      </w:pPr>
      <w:r>
        <w:rPr>
          <w:rFonts w:ascii="Times New Roman" w:cs="Times New Roman" w:eastAsia="Times New Roman" w:hAnsi="Times New Roman"/>
          <w:sz w:val="18"/>
          <w:szCs w:val="18"/>
          <w:color w:val="auto"/>
        </w:rPr>
        <w:t>At the time the Grant Notice is executed, or at any time thereafter as requested by a Participating Company, the Participant hereby authorizes withholding from payroll and any other amounts payable to the Participant, and otherwise agrees to make adequate provision for, any sums required to satisfy the federal, state, local and foreign tax (including any social insurance) withholding obligations of the Participating Company, if any, which arise in connection with the Award, the vesting of Units or the issuance of shares of Stock in settlement thereof. The Company shall have no obligation to deliver shares of Stock until the tax withholding obligations of the Participating Company have been satisfied by the Participant.</w:t>
      </w:r>
    </w:p>
    <w:p>
      <w:pPr>
        <w:spacing w:after="0" w:line="85" w:lineRule="exact"/>
        <w:rPr>
          <w:sz w:val="20"/>
          <w:szCs w:val="20"/>
          <w:color w:val="auto"/>
        </w:rPr>
      </w:pPr>
    </w:p>
    <w:p>
      <w:pPr>
        <w:ind w:left="6"/>
        <w:spacing w:after="0"/>
        <w:tabs>
          <w:tab w:leader="none" w:pos="406"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i w:val="1"/>
          <w:iCs w:val="1"/>
          <w:color w:val="auto"/>
        </w:rPr>
        <w:t>Assignment of Sale Proceeds.</w:t>
      </w:r>
    </w:p>
    <w:p>
      <w:pPr>
        <w:spacing w:after="0" w:line="118" w:lineRule="exact"/>
        <w:rPr>
          <w:sz w:val="20"/>
          <w:szCs w:val="20"/>
          <w:color w:val="auto"/>
        </w:rPr>
      </w:pPr>
    </w:p>
    <w:p>
      <w:pPr>
        <w:ind w:left="6" w:right="100"/>
        <w:spacing w:after="0" w:line="257" w:lineRule="auto"/>
        <w:rPr>
          <w:sz w:val="20"/>
          <w:szCs w:val="20"/>
          <w:color w:val="auto"/>
        </w:rPr>
      </w:pPr>
      <w:r>
        <w:rPr>
          <w:rFonts w:ascii="Times New Roman" w:cs="Times New Roman" w:eastAsia="Times New Roman" w:hAnsi="Times New Roman"/>
          <w:sz w:val="18"/>
          <w:szCs w:val="18"/>
          <w:color w:val="auto"/>
        </w:rPr>
        <w:t>Subject to compliance with applicable law and the Company’s Trading Compliance Policy, if permitted by the Company, the Participant may satisfy the Participating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Units.</w:t>
      </w:r>
    </w:p>
    <w:p>
      <w:pPr>
        <w:spacing w:after="0" w:line="11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6"/>
          </w:cols>
          <w:pgMar w:left="494" w:top="264" w:right="499" w:bottom="1440" w:gutter="0" w:footer="0" w:header="0"/>
        </w:sectPr>
      </w:pPr>
    </w:p>
    <w:bookmarkStart w:id="12" w:name="page13"/>
    <w:bookmarkEnd w:id="12"/>
    <w:p>
      <w:pPr>
        <w:ind w:left="6"/>
        <w:spacing w:after="0"/>
        <w:tabs>
          <w:tab w:leader="none" w:pos="406"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7.3</w:t>
      </w:r>
      <w:r>
        <w:rPr>
          <w:sz w:val="20"/>
          <w:szCs w:val="20"/>
          <w:color w:val="auto"/>
        </w:rPr>
        <w:tab/>
      </w:r>
      <w:r>
        <w:rPr>
          <w:rFonts w:ascii="Times New Roman" w:cs="Times New Roman" w:eastAsia="Times New Roman" w:hAnsi="Times New Roman"/>
          <w:sz w:val="17"/>
          <w:szCs w:val="17"/>
          <w:b w:val="1"/>
          <w:bCs w:val="1"/>
          <w:i w:val="1"/>
          <w:iCs w:val="1"/>
          <w:color w:val="auto"/>
        </w:rPr>
        <w:t>Withholding in Shares.</w:t>
      </w:r>
    </w:p>
    <w:p>
      <w:pPr>
        <w:spacing w:after="0" w:line="118" w:lineRule="exact"/>
        <w:rPr>
          <w:sz w:val="20"/>
          <w:szCs w:val="20"/>
          <w:color w:val="auto"/>
        </w:rPr>
      </w:pPr>
    </w:p>
    <w:p>
      <w:pPr>
        <w:ind w:left="6"/>
        <w:spacing w:after="0" w:line="255" w:lineRule="auto"/>
        <w:rPr>
          <w:sz w:val="20"/>
          <w:szCs w:val="20"/>
          <w:color w:val="auto"/>
        </w:rPr>
      </w:pPr>
      <w:r>
        <w:rPr>
          <w:rFonts w:ascii="Times New Roman" w:cs="Times New Roman" w:eastAsia="Times New Roman" w:hAnsi="Times New Roman"/>
          <w:sz w:val="18"/>
          <w:szCs w:val="18"/>
          <w:color w:val="auto"/>
        </w:rPr>
        <w:t>The Company shall have the right, but not the obligation, to require the Participant to satisfy all or any portion of a Participating Company’s tax withholding obligations by deducting from the shares of Stock otherwise deliverable to the Participant in settlement of the Award a number of whole shares having a Fair Market Value, as determined by the Company as of the date on which the tax withholding obligations arise, not in excess of the amount of such tax withholding obligations determined by the applicable minimum statutory withholding rates if required to avoid liability classification of the Award under generally accepted accounting principles in the United States.</w:t>
      </w:r>
    </w:p>
    <w:p>
      <w:pPr>
        <w:spacing w:after="0" w:line="330" w:lineRule="exact"/>
        <w:rPr>
          <w:sz w:val="20"/>
          <w:szCs w:val="20"/>
          <w:color w:val="auto"/>
        </w:rPr>
      </w:pPr>
    </w:p>
    <w:p>
      <w:pPr>
        <w:ind w:left="426" w:hanging="426"/>
        <w:spacing w:after="0"/>
        <w:tabs>
          <w:tab w:leader="none" w:pos="4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CHANGE IN CONTROL</w:t>
      </w:r>
    </w:p>
    <w:p>
      <w:pPr>
        <w:spacing w:after="0" w:line="1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In the event of a Change in Control, the Award shall be treated as set forth in Section 13 of the Plan.</w:t>
      </w:r>
    </w:p>
    <w:p>
      <w:pPr>
        <w:spacing w:after="0" w:line="367" w:lineRule="exact"/>
        <w:rPr>
          <w:sz w:val="20"/>
          <w:szCs w:val="20"/>
          <w:color w:val="auto"/>
        </w:rPr>
      </w:pPr>
    </w:p>
    <w:p>
      <w:pPr>
        <w:ind w:left="426" w:hanging="426"/>
        <w:spacing w:after="0"/>
        <w:tabs>
          <w:tab w:leader="none" w:pos="4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CHANGES IN CAPITAL STRUCTURE</w:t>
      </w:r>
    </w:p>
    <w:p>
      <w:pPr>
        <w:spacing w:after="0" w:line="1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The Award shall be subject to and treated as set forth in Section 4.3 of the Plan.</w:t>
      </w:r>
    </w:p>
    <w:p>
      <w:pPr>
        <w:spacing w:after="0" w:line="367" w:lineRule="exact"/>
        <w:rPr>
          <w:sz w:val="20"/>
          <w:szCs w:val="20"/>
          <w:color w:val="auto"/>
        </w:rPr>
      </w:pPr>
    </w:p>
    <w:p>
      <w:pPr>
        <w:ind w:left="426" w:hanging="426"/>
        <w:spacing w:after="0"/>
        <w:tabs>
          <w:tab w:leader="none" w:pos="42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 DIRECTOR, EMPLOYEE OR CONSULTANT</w:t>
      </w:r>
    </w:p>
    <w:p>
      <w:pPr>
        <w:spacing w:after="0" w:line="114" w:lineRule="exact"/>
        <w:rPr>
          <w:sz w:val="20"/>
          <w:szCs w:val="20"/>
          <w:color w:val="auto"/>
        </w:rPr>
      </w:pPr>
    </w:p>
    <w:p>
      <w:pPr>
        <w:ind w:left="6" w:right="80"/>
        <w:spacing w:after="0" w:line="252" w:lineRule="auto"/>
        <w:rPr>
          <w:sz w:val="20"/>
          <w:szCs w:val="20"/>
          <w:color w:val="auto"/>
        </w:rPr>
      </w:pPr>
      <w:r>
        <w:rPr>
          <w:rFonts w:ascii="Times New Roman" w:cs="Times New Roman" w:eastAsia="Times New Roman" w:hAnsi="Times New Roman"/>
          <w:sz w:val="18"/>
          <w:szCs w:val="18"/>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335" w:lineRule="exact"/>
        <w:rPr>
          <w:sz w:val="20"/>
          <w:szCs w:val="20"/>
          <w:color w:val="auto"/>
        </w:rPr>
      </w:pPr>
    </w:p>
    <w:p>
      <w:pPr>
        <w:ind w:left="426" w:hanging="426"/>
        <w:spacing w:after="0"/>
        <w:tabs>
          <w:tab w:leader="none" w:pos="4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p>
    <w:p>
      <w:pPr>
        <w:spacing w:after="0" w:line="114" w:lineRule="exact"/>
        <w:rPr>
          <w:sz w:val="20"/>
          <w:szCs w:val="20"/>
          <w:color w:val="auto"/>
        </w:rPr>
      </w:pPr>
    </w:p>
    <w:p>
      <w:pPr>
        <w:ind w:left="6"/>
        <w:spacing w:after="0" w:line="285" w:lineRule="auto"/>
        <w:rPr>
          <w:sz w:val="20"/>
          <w:szCs w:val="20"/>
          <w:color w:val="auto"/>
        </w:rPr>
      </w:pPr>
      <w:r>
        <w:rPr>
          <w:rFonts w:ascii="Times New Roman" w:cs="Times New Roman" w:eastAsia="Times New Roman" w:hAnsi="Times New Roman"/>
          <w:sz w:val="17"/>
          <w:szCs w:val="17"/>
          <w:color w:val="auto"/>
        </w:rPr>
        <w:t>The Company may at any time place legends referencing any applicable federal, state or foreign securities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6"/>
          </w:cols>
          <w:pgMar w:left="494" w:top="264" w:right="519" w:bottom="1440" w:gutter="0" w:footer="0" w:header="0"/>
        </w:sectPr>
      </w:pPr>
    </w:p>
    <w:bookmarkStart w:id="13" w:name="page14"/>
    <w:bookmarkEnd w:id="13"/>
    <w:p>
      <w:pPr>
        <w:ind w:left="426" w:hanging="426"/>
        <w:spacing w:after="0"/>
        <w:tabs>
          <w:tab w:leader="none" w:pos="4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COMPLIANCE WITH SECTION 409A</w:t>
      </w:r>
    </w:p>
    <w:p>
      <w:pPr>
        <w:spacing w:after="0" w:line="1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It is intended that any election, payment or benefit which is made or provided pursuant to or in connection with this Award that may result in</w:t>
      </w:r>
    </w:p>
    <w:p>
      <w:pPr>
        <w:spacing w:after="0" w:line="26" w:lineRule="exact"/>
        <w:rPr>
          <w:sz w:val="20"/>
          <w:szCs w:val="20"/>
          <w:color w:val="auto"/>
        </w:rPr>
      </w:pPr>
    </w:p>
    <w:p>
      <w:pPr>
        <w:jc w:val="both"/>
        <w:ind w:left="6" w:right="20"/>
        <w:spacing w:after="0" w:line="251" w:lineRule="auto"/>
        <w:rPr>
          <w:sz w:val="20"/>
          <w:szCs w:val="20"/>
          <w:color w:val="auto"/>
        </w:rPr>
      </w:pPr>
      <w:r>
        <w:rPr>
          <w:rFonts w:ascii="Times New Roman" w:cs="Times New Roman" w:eastAsia="Times New Roman" w:hAnsi="Times New Roman"/>
          <w:sz w:val="18"/>
          <w:szCs w:val="18"/>
          <w:color w:val="auto"/>
        </w:rPr>
        <w:t>Section 409A Deferred Compensation shall comply in all respects with the applicable requirements of Section 409A (including applicable regulations or other administrative guidance thereunder, as determined by the Committee in good faith) to avoid the unfavorable tax consequences provided therein for non-compliance. In connection with effecting such compliance with Section 409A, the following shall apply:</w:t>
      </w:r>
    </w:p>
    <w:p>
      <w:pPr>
        <w:spacing w:after="0" w:line="8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12.1 </w:t>
      </w:r>
      <w:r>
        <w:rPr>
          <w:rFonts w:ascii="Times New Roman" w:cs="Times New Roman" w:eastAsia="Times New Roman" w:hAnsi="Times New Roman"/>
          <w:sz w:val="18"/>
          <w:szCs w:val="18"/>
          <w:b w:val="1"/>
          <w:bCs w:val="1"/>
          <w:i w:val="1"/>
          <w:iCs w:val="1"/>
          <w:color w:val="auto"/>
        </w:rPr>
        <w:t>Separation from Service; Required Delay in Payment to Specified Employee.</w:t>
      </w:r>
    </w:p>
    <w:p>
      <w:pPr>
        <w:spacing w:after="0" w:line="118" w:lineRule="exact"/>
        <w:rPr>
          <w:sz w:val="20"/>
          <w:szCs w:val="20"/>
          <w:color w:val="auto"/>
        </w:rPr>
      </w:pPr>
    </w:p>
    <w:p>
      <w:pPr>
        <w:ind w:left="6" w:right="20"/>
        <w:spacing w:after="0" w:line="251" w:lineRule="auto"/>
        <w:rPr>
          <w:sz w:val="20"/>
          <w:szCs w:val="20"/>
          <w:color w:val="auto"/>
        </w:rPr>
      </w:pPr>
      <w:r>
        <w:rPr>
          <w:rFonts w:ascii="Times New Roman" w:cs="Times New Roman" w:eastAsia="Times New Roman" w:hAnsi="Times New Roman"/>
          <w:sz w:val="18"/>
          <w:szCs w:val="18"/>
          <w:color w:val="auto"/>
        </w:rPr>
        <w:t>Notwithstanding anything set forth herein to the contrary, no amount payable pursuant to this Agreement on account of the Participant’s termination of Service which constitutes a “deferral of compensation” within the meaning of the Treasury Regulations issued pursuant to Section 409A of the Code (the “</w:t>
      </w:r>
      <w:r>
        <w:rPr>
          <w:rFonts w:ascii="Times New Roman" w:cs="Times New Roman" w:eastAsia="Times New Roman" w:hAnsi="Times New Roman"/>
          <w:sz w:val="18"/>
          <w:szCs w:val="18"/>
          <w:b w:val="1"/>
          <w:bCs w:val="1"/>
          <w:i w:val="1"/>
          <w:iCs w:val="1"/>
          <w:color w:val="auto"/>
        </w:rPr>
        <w:t>Section 409A Regulations</w:t>
      </w:r>
      <w:r>
        <w:rPr>
          <w:rFonts w:ascii="Times New Roman" w:cs="Times New Roman" w:eastAsia="Times New Roman" w:hAnsi="Times New Roman"/>
          <w:sz w:val="18"/>
          <w:szCs w:val="18"/>
          <w:color w:val="auto"/>
        </w:rPr>
        <w:t>”) shall be paid unless and until the 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be paid to the Participant before the date (the “</w:t>
      </w:r>
      <w:r>
        <w:rPr>
          <w:rFonts w:ascii="Times New Roman" w:cs="Times New Roman" w:eastAsia="Times New Roman" w:hAnsi="Times New Roman"/>
          <w:sz w:val="18"/>
          <w:szCs w:val="18"/>
          <w:b w:val="1"/>
          <w:bCs w:val="1"/>
          <w:i w:val="1"/>
          <w:iCs w:val="1"/>
          <w:color w:val="auto"/>
        </w:rPr>
        <w:t>Delayed Payment Date</w:t>
      </w:r>
      <w:r>
        <w:rPr>
          <w:rFonts w:ascii="Times New Roman" w:cs="Times New Roman" w:eastAsia="Times New Roman" w:hAnsi="Times New Roman"/>
          <w:sz w:val="18"/>
          <w:szCs w:val="18"/>
          <w:color w:val="auto"/>
        </w:rPr>
        <w:t>”) which is the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spacing w:after="0" w:line="9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12.2 </w:t>
      </w:r>
      <w:r>
        <w:rPr>
          <w:rFonts w:ascii="Times New Roman" w:cs="Times New Roman" w:eastAsia="Times New Roman" w:hAnsi="Times New Roman"/>
          <w:sz w:val="18"/>
          <w:szCs w:val="18"/>
          <w:b w:val="1"/>
          <w:bCs w:val="1"/>
          <w:i w:val="1"/>
          <w:iCs w:val="1"/>
          <w:color w:val="auto"/>
        </w:rPr>
        <w:t>Other Changes in Time of Payment.</w:t>
      </w:r>
    </w:p>
    <w:p>
      <w:pPr>
        <w:spacing w:after="0" w:line="118" w:lineRule="exact"/>
        <w:rPr>
          <w:sz w:val="20"/>
          <w:szCs w:val="20"/>
          <w:color w:val="auto"/>
        </w:rPr>
      </w:pPr>
    </w:p>
    <w:p>
      <w:pPr>
        <w:ind w:left="6" w:right="260"/>
        <w:spacing w:after="0" w:line="277" w:lineRule="auto"/>
        <w:rPr>
          <w:sz w:val="20"/>
          <w:szCs w:val="20"/>
          <w:color w:val="auto"/>
        </w:rPr>
      </w:pPr>
      <w:r>
        <w:rPr>
          <w:rFonts w:ascii="Times New Roman" w:cs="Times New Roman" w:eastAsia="Times New Roman" w:hAnsi="Times New Roman"/>
          <w:sz w:val="18"/>
          <w:szCs w:val="18"/>
          <w:color w:val="auto"/>
        </w:rPr>
        <w:t>Neither the Participant nor the Company shall take any action to accelerate or delay the payment of any benefits under this Agreement in any manner which would not be in compliance with the Section 409A Regulations.</w:t>
      </w:r>
    </w:p>
    <w:p>
      <w:pPr>
        <w:spacing w:after="0" w:line="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12.3 </w:t>
      </w:r>
      <w:r>
        <w:rPr>
          <w:rFonts w:ascii="Times New Roman" w:cs="Times New Roman" w:eastAsia="Times New Roman" w:hAnsi="Times New Roman"/>
          <w:sz w:val="18"/>
          <w:szCs w:val="18"/>
          <w:b w:val="1"/>
          <w:bCs w:val="1"/>
          <w:i w:val="1"/>
          <w:iCs w:val="1"/>
          <w:color w:val="auto"/>
        </w:rPr>
        <w:t>Amendments to Comply with Section 409A; Indemnification.</w:t>
      </w:r>
    </w:p>
    <w:p>
      <w:pPr>
        <w:spacing w:after="0" w:line="118" w:lineRule="exact"/>
        <w:rPr>
          <w:sz w:val="20"/>
          <w:szCs w:val="20"/>
          <w:color w:val="auto"/>
        </w:rPr>
      </w:pPr>
    </w:p>
    <w:p>
      <w:pPr>
        <w:ind w:left="6" w:right="140"/>
        <w:spacing w:after="0" w:line="253" w:lineRule="auto"/>
        <w:rPr>
          <w:sz w:val="20"/>
          <w:szCs w:val="20"/>
          <w:color w:val="auto"/>
        </w:rPr>
      </w:pPr>
      <w:r>
        <w:rPr>
          <w:rFonts w:ascii="Times New Roman" w:cs="Times New Roman" w:eastAsia="Times New Roman" w:hAnsi="Times New Roman"/>
          <w:sz w:val="18"/>
          <w:szCs w:val="18"/>
          <w:color w:val="auto"/>
        </w:rPr>
        <w:t>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spacing w:after="0" w:line="8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12.4 </w:t>
      </w:r>
      <w:r>
        <w:rPr>
          <w:rFonts w:ascii="Times New Roman" w:cs="Times New Roman" w:eastAsia="Times New Roman" w:hAnsi="Times New Roman"/>
          <w:sz w:val="18"/>
          <w:szCs w:val="18"/>
          <w:b w:val="1"/>
          <w:bCs w:val="1"/>
          <w:i w:val="1"/>
          <w:iCs w:val="1"/>
          <w:color w:val="auto"/>
        </w:rPr>
        <w:t>Advice of Independent Tax Advisor.</w:t>
      </w:r>
    </w:p>
    <w:p>
      <w:pPr>
        <w:spacing w:after="0" w:line="118" w:lineRule="exact"/>
        <w:rPr>
          <w:sz w:val="20"/>
          <w:szCs w:val="20"/>
          <w:color w:val="auto"/>
        </w:rPr>
      </w:pPr>
    </w:p>
    <w:p>
      <w:pPr>
        <w:ind w:left="6"/>
        <w:spacing w:after="0" w:line="255" w:lineRule="auto"/>
        <w:rPr>
          <w:sz w:val="20"/>
          <w:szCs w:val="20"/>
          <w:color w:val="auto"/>
        </w:rPr>
      </w:pPr>
      <w:r>
        <w:rPr>
          <w:rFonts w:ascii="Times New Roman" w:cs="Times New Roman" w:eastAsia="Times New Roman" w:hAnsi="Times New Roman"/>
          <w:sz w:val="18"/>
          <w:szCs w:val="18"/>
          <w:color w:val="auto"/>
        </w:rPr>
        <w:t>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spacing w:after="0" w:line="116"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6"/>
          </w:cols>
          <w:pgMar w:left="494" w:top="268" w:right="519" w:bottom="1440" w:gutter="0" w:footer="0" w:header="0"/>
        </w:sectPr>
      </w:pPr>
    </w:p>
    <w:bookmarkStart w:id="14" w:name="page15"/>
    <w:bookmarkEnd w:id="14"/>
    <w:p>
      <w:pPr>
        <w:ind w:left="426" w:hanging="426"/>
        <w:spacing w:after="0"/>
        <w:tabs>
          <w:tab w:leader="none" w:pos="4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MISCELLANEOUS PROVISIONS</w:t>
      </w:r>
    </w:p>
    <w:p>
      <w:pPr>
        <w:spacing w:after="0" w:line="12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13.1 </w:t>
      </w:r>
      <w:r>
        <w:rPr>
          <w:rFonts w:ascii="Times New Roman" w:cs="Times New Roman" w:eastAsia="Times New Roman" w:hAnsi="Times New Roman"/>
          <w:sz w:val="18"/>
          <w:szCs w:val="18"/>
          <w:b w:val="1"/>
          <w:bCs w:val="1"/>
          <w:i w:val="1"/>
          <w:iCs w:val="1"/>
          <w:color w:val="auto"/>
        </w:rPr>
        <w:t>Termination or Amendment.</w:t>
      </w:r>
    </w:p>
    <w:p>
      <w:pPr>
        <w:spacing w:after="0" w:line="118" w:lineRule="exact"/>
        <w:rPr>
          <w:sz w:val="20"/>
          <w:szCs w:val="20"/>
          <w:color w:val="auto"/>
        </w:rPr>
      </w:pPr>
    </w:p>
    <w:p>
      <w:pPr>
        <w:ind w:left="6" w:right="40"/>
        <w:spacing w:after="0" w:line="257" w:lineRule="auto"/>
        <w:rPr>
          <w:sz w:val="20"/>
          <w:szCs w:val="20"/>
          <w:color w:val="auto"/>
        </w:rPr>
      </w:pPr>
      <w:r>
        <w:rPr>
          <w:rFonts w:ascii="Times New Roman" w:cs="Times New Roman" w:eastAsia="Times New Roman" w:hAnsi="Times New Roman"/>
          <w:sz w:val="18"/>
          <w:szCs w:val="18"/>
          <w:color w:val="auto"/>
        </w:rPr>
        <w:t>The Committee may terminate or amend this Agreement at any time; provided, however, that except as provided in Section 8 in connection with a Change in Control, no such termination or amendment may have a materially adverse effect on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w:t>
      </w:r>
    </w:p>
    <w:p>
      <w:pPr>
        <w:spacing w:after="0" w:line="8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13.2 </w:t>
      </w:r>
      <w:r>
        <w:rPr>
          <w:rFonts w:ascii="Times New Roman" w:cs="Times New Roman" w:eastAsia="Times New Roman" w:hAnsi="Times New Roman"/>
          <w:sz w:val="18"/>
          <w:szCs w:val="18"/>
          <w:b w:val="1"/>
          <w:bCs w:val="1"/>
          <w:i w:val="1"/>
          <w:iCs w:val="1"/>
          <w:color w:val="auto"/>
        </w:rPr>
        <w:t>Nontransferability of the Award.</w:t>
      </w:r>
    </w:p>
    <w:p>
      <w:pPr>
        <w:spacing w:after="0" w:line="118" w:lineRule="exact"/>
        <w:rPr>
          <w:sz w:val="20"/>
          <w:szCs w:val="20"/>
          <w:color w:val="auto"/>
        </w:rPr>
      </w:pPr>
    </w:p>
    <w:p>
      <w:pPr>
        <w:ind w:left="6" w:right="80"/>
        <w:spacing w:after="0" w:line="257" w:lineRule="auto"/>
        <w:rPr>
          <w:sz w:val="20"/>
          <w:szCs w:val="20"/>
          <w:color w:val="auto"/>
        </w:rPr>
      </w:pPr>
      <w:r>
        <w:rPr>
          <w:rFonts w:ascii="Times New Roman" w:cs="Times New Roman" w:eastAsia="Times New Roman" w:hAnsi="Times New Roman"/>
          <w:sz w:val="18"/>
          <w:szCs w:val="18"/>
          <w:color w:val="auto"/>
        </w:rPr>
        <w:t>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8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13.3 </w:t>
      </w:r>
      <w:r>
        <w:rPr>
          <w:rFonts w:ascii="Times New Roman" w:cs="Times New Roman" w:eastAsia="Times New Roman" w:hAnsi="Times New Roman"/>
          <w:sz w:val="18"/>
          <w:szCs w:val="18"/>
          <w:b w:val="1"/>
          <w:bCs w:val="1"/>
          <w:i w:val="1"/>
          <w:iCs w:val="1"/>
          <w:color w:val="auto"/>
        </w:rPr>
        <w:t>Further Instruments.</w:t>
      </w:r>
    </w:p>
    <w:p>
      <w:pPr>
        <w:spacing w:after="0" w:line="118" w:lineRule="exact"/>
        <w:rPr>
          <w:sz w:val="20"/>
          <w:szCs w:val="20"/>
          <w:color w:val="auto"/>
        </w:rPr>
      </w:pPr>
    </w:p>
    <w:p>
      <w:pPr>
        <w:ind w:left="6" w:right="40"/>
        <w:spacing w:after="0" w:line="277" w:lineRule="auto"/>
        <w:rPr>
          <w:sz w:val="20"/>
          <w:szCs w:val="20"/>
          <w:color w:val="auto"/>
        </w:rPr>
      </w:pPr>
      <w:r>
        <w:rPr>
          <w:rFonts w:ascii="Times New Roman" w:cs="Times New Roman" w:eastAsia="Times New Roman" w:hAnsi="Times New Roman"/>
          <w:sz w:val="18"/>
          <w:szCs w:val="18"/>
          <w:color w:val="auto"/>
        </w:rPr>
        <w:t>The parties hereto agree to execute such further instruments and to take such further action as may reasonably be necessary to carry out the intent of this Agreement.</w:t>
      </w:r>
    </w:p>
    <w:p>
      <w:pPr>
        <w:spacing w:after="0" w:line="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13.4 </w:t>
      </w:r>
      <w:r>
        <w:rPr>
          <w:rFonts w:ascii="Times New Roman" w:cs="Times New Roman" w:eastAsia="Times New Roman" w:hAnsi="Times New Roman"/>
          <w:sz w:val="18"/>
          <w:szCs w:val="18"/>
          <w:b w:val="1"/>
          <w:bCs w:val="1"/>
          <w:i w:val="1"/>
          <w:iCs w:val="1"/>
          <w:color w:val="auto"/>
        </w:rPr>
        <w:t>Binding Effect.</w:t>
      </w:r>
    </w:p>
    <w:p>
      <w:pPr>
        <w:spacing w:after="0" w:line="118" w:lineRule="exact"/>
        <w:rPr>
          <w:sz w:val="20"/>
          <w:szCs w:val="20"/>
          <w:color w:val="auto"/>
        </w:rPr>
      </w:pPr>
    </w:p>
    <w:p>
      <w:pPr>
        <w:ind w:left="6" w:right="300"/>
        <w:spacing w:after="0" w:line="277" w:lineRule="auto"/>
        <w:rPr>
          <w:sz w:val="20"/>
          <w:szCs w:val="20"/>
          <w:color w:val="auto"/>
        </w:rPr>
      </w:pPr>
      <w:r>
        <w:rPr>
          <w:rFonts w:ascii="Times New Roman" w:cs="Times New Roman" w:eastAsia="Times New Roman" w:hAnsi="Times New Roman"/>
          <w:sz w:val="18"/>
          <w:szCs w:val="18"/>
          <w:color w:val="auto"/>
        </w:rPr>
        <w:t>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13.5 </w:t>
      </w:r>
      <w:r>
        <w:rPr>
          <w:rFonts w:ascii="Times New Roman" w:cs="Times New Roman" w:eastAsia="Times New Roman" w:hAnsi="Times New Roman"/>
          <w:sz w:val="18"/>
          <w:szCs w:val="18"/>
          <w:b w:val="1"/>
          <w:bCs w:val="1"/>
          <w:i w:val="1"/>
          <w:iCs w:val="1"/>
          <w:color w:val="auto"/>
        </w:rPr>
        <w:t>Delivery of Documents and Notices.</w:t>
      </w:r>
    </w:p>
    <w:p>
      <w:pPr>
        <w:spacing w:after="0" w:line="118" w:lineRule="exact"/>
        <w:rPr>
          <w:sz w:val="20"/>
          <w:szCs w:val="20"/>
          <w:color w:val="auto"/>
        </w:rPr>
      </w:pPr>
    </w:p>
    <w:p>
      <w:pPr>
        <w:ind w:left="6"/>
        <w:spacing w:after="0" w:line="273" w:lineRule="auto"/>
        <w:rPr>
          <w:sz w:val="20"/>
          <w:szCs w:val="20"/>
          <w:color w:val="auto"/>
        </w:rPr>
      </w:pPr>
      <w:r>
        <w:rPr>
          <w:rFonts w:ascii="Times New Roman" w:cs="Times New Roman" w:eastAsia="Times New Roman" w:hAnsi="Times New Roman"/>
          <w:sz w:val="17"/>
          <w:szCs w:val="17"/>
          <w:color w:val="auto"/>
        </w:rPr>
        <w:t>Any document relating to this Award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0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6"/>
          </w:cols>
          <w:pgMar w:left="494" w:top="268" w:right="519" w:bottom="1440" w:gutter="0" w:footer="0" w:header="0"/>
        </w:sectPr>
      </w:pPr>
    </w:p>
    <w:bookmarkStart w:id="15" w:name="page16"/>
    <w:bookmarkEnd w:id="15"/>
    <w:p>
      <w:pPr>
        <w:ind w:left="960" w:right="20" w:hanging="539"/>
        <w:spacing w:after="0" w:line="272" w:lineRule="auto"/>
        <w:tabs>
          <w:tab w:leader="none" w:pos="9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Description of Electronic Delivery and Signature. </w:t>
      </w:r>
      <w:r>
        <w:rPr>
          <w:rFonts w:ascii="Times New Roman" w:cs="Times New Roman" w:eastAsia="Times New Roman" w:hAnsi="Times New Roman"/>
          <w:sz w:val="17"/>
          <w:szCs w:val="17"/>
          <w:color w:val="auto"/>
        </w:rPr>
        <w:t>The Grant Notice, this Agreement, and any reports of the Company provided generally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the Company’s stockholders, may be delivered to the Participant electronically. In addition, if permitted by the Company, the Participant may deliver electronically the Grant Notice to the Company or to such third party involved in administering the Award as the Company may designate from time to time. Such means of electronic delivery may include but do not necessarily include the delivery of a link to a Company intranet or the Internet site of a third party involved in administering the Award, the delivery of the document via e-mail or such other means of electronic delivery specified by the Company. Any and all such documents and notices may be electronically signed.</w:t>
      </w:r>
    </w:p>
    <w:p>
      <w:pPr>
        <w:spacing w:after="0" w:line="73" w:lineRule="exact"/>
        <w:rPr>
          <w:rFonts w:ascii="Times New Roman" w:cs="Times New Roman" w:eastAsia="Times New Roman" w:hAnsi="Times New Roman"/>
          <w:sz w:val="17"/>
          <w:szCs w:val="17"/>
          <w:color w:val="auto"/>
        </w:rPr>
      </w:pPr>
    </w:p>
    <w:p>
      <w:pPr>
        <w:ind w:left="960" w:hanging="539"/>
        <w:spacing w:after="0" w:line="250"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Consent to Electronic Delivery and Signature. </w:t>
      </w:r>
      <w:r>
        <w:rPr>
          <w:rFonts w:ascii="Times New Roman" w:cs="Times New Roman" w:eastAsia="Times New Roman" w:hAnsi="Times New Roman"/>
          <w:sz w:val="18"/>
          <w:szCs w:val="18"/>
          <w:color w:val="auto"/>
        </w:rPr>
        <w:t>The Participant acknowledges that the Participant has read Section 13.5(a) 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and consents to the electronic delivery of the documents described therein and, if permitted by the Company, the delivery of the Grant Notice, as described in Section 13.5(a). The Participant agrees that any and all such documents requiring a signature may be electronically signed and that such electronic signature shall have the same effect as a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13.6 </w:t>
      </w:r>
      <w:r>
        <w:rPr>
          <w:rFonts w:ascii="Times New Roman" w:cs="Times New Roman" w:eastAsia="Times New Roman" w:hAnsi="Times New Roman"/>
          <w:sz w:val="18"/>
          <w:szCs w:val="18"/>
          <w:b w:val="1"/>
          <w:bCs w:val="1"/>
          <w:i w:val="1"/>
          <w:iCs w:val="1"/>
          <w:color w:val="auto"/>
        </w:rPr>
        <w:t>Integrated Agreement.</w:t>
      </w:r>
    </w:p>
    <w:p>
      <w:pPr>
        <w:spacing w:after="0" w:line="118" w:lineRule="exact"/>
        <w:rPr>
          <w:sz w:val="20"/>
          <w:szCs w:val="20"/>
          <w:color w:val="auto"/>
        </w:rPr>
      </w:pPr>
    </w:p>
    <w:p>
      <w:pPr>
        <w:jc w:val="both"/>
        <w:ind w:right="260"/>
        <w:spacing w:after="0" w:line="257" w:lineRule="auto"/>
        <w:rPr>
          <w:sz w:val="20"/>
          <w:szCs w:val="20"/>
          <w:color w:val="auto"/>
        </w:rPr>
      </w:pPr>
      <w:r>
        <w:rPr>
          <w:rFonts w:ascii="Times New Roman" w:cs="Times New Roman" w:eastAsia="Times New Roman" w:hAnsi="Times New Roman"/>
          <w:sz w:val="18"/>
          <w:szCs w:val="18"/>
          <w:color w:val="auto"/>
        </w:rPr>
        <w:t>The Grant Notice and this Agreement shall constitute the entire understanding and agreement of the Participant and the Company with respect to the subject matter contained herein or therein and supersede any prior agreements, understandings, restrictions, representations, or warranties among the Participant and the Company with respect to such subject matter. To the extent contemplated herein or therein, the provisions of the Grant Notice and this Agreement shall survive any settlement of the Award and shall remain in full force and effect.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500" w:top="264" w:right="5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13.7 </w:t>
      </w:r>
      <w:r>
        <w:rPr>
          <w:rFonts w:ascii="Times New Roman" w:cs="Times New Roman" w:eastAsia="Times New Roman" w:hAnsi="Times New Roman"/>
          <w:sz w:val="18"/>
          <w:szCs w:val="18"/>
          <w:b w:val="1"/>
          <w:bCs w:val="1"/>
          <w:i w:val="1"/>
          <w:iCs w:val="1"/>
          <w:color w:val="auto"/>
        </w:rPr>
        <w:t>Applicable Law.</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This Agreement shall be governed by the laws of the State of Delaware as such laws are applied to agreements between Delaware residents entered into and to be performed entirely within the State of Delaware.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13.8 </w:t>
      </w:r>
      <w:r>
        <w:rPr>
          <w:rFonts w:ascii="Times New Roman" w:cs="Times New Roman" w:eastAsia="Times New Roman" w:hAnsi="Times New Roman"/>
          <w:sz w:val="18"/>
          <w:szCs w:val="18"/>
          <w:b w:val="1"/>
          <w:bCs w:val="1"/>
          <w:i w:val="1"/>
          <w:iCs w:val="1"/>
          <w:color w:val="auto"/>
        </w:rPr>
        <w:t>Counterparts.</w:t>
      </w:r>
    </w:p>
    <w:p>
      <w:pPr>
        <w:spacing w:after="0" w:line="118"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color w:val="auto"/>
        </w:rPr>
        <w:t>The Grant Notice may be executed in counterparts, each of which shall be deemed an original, but all of which together shall constitute one and the same instrument.</w:t>
      </w:r>
    </w:p>
    <w:p>
      <w:pPr>
        <w:spacing w:after="0" w:line="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20"/>
          </w:cols>
          <w:pgMar w:left="500" w:top="264" w:right="57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1"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Hogan Lovells Cadwalader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1671320" cy="347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extLst>
                    </a:blip>
                    <a:srcRect/>
                    <a:stretch>
                      <a:fillRect/>
                    </a:stretch>
                  </pic:blipFill>
                  <pic:spPr bwMode="auto">
                    <a:xfrm>
                      <a:off x="0" y="0"/>
                      <a:ext cx="1671320" cy="347980"/>
                    </a:xfrm>
                    <a:prstGeom prst="rect">
                      <a:avLst/>
                    </a:prstGeom>
                    <a:noFill/>
                  </pic:spPr>
                </pic:pic>
              </a:graphicData>
            </a:graphic>
          </wp:anchor>
        </w:drawing>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Columbia Square</w:t>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555 Thirteenth Street, NW</w:t>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108"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 +1 202.637.5600</w:t>
      </w:r>
    </w:p>
    <w:p>
      <w:pPr>
        <w:spacing w:after="0" w:line="2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F: +1 202.637.5910</w:t>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www.hlc.com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Verra Mobility Corporation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2046 Riverview Auto Drive, Suite 300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Mesa, Arizona 85201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referred to above:</w:t>
      </w:r>
    </w:p>
    <w:p>
      <w:pPr>
        <w:spacing w:after="0" w:line="21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acting as counsel to Verra Mobility Corporation,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its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Securities and Exchange Commission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relating to the proposed offering of up to 1,583,333 shares of the Class A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which Shares are all shares of Common Stock issuable pursuant to the inducement award referred to in the Registration Statement (the “</w:t>
      </w:r>
      <w:r>
        <w:rPr>
          <w:rFonts w:ascii="Times New Roman" w:cs="Times New Roman" w:eastAsia="Times New Roman" w:hAnsi="Times New Roman"/>
          <w:sz w:val="18"/>
          <w:szCs w:val="18"/>
          <w:b w:val="1"/>
          <w:bCs w:val="1"/>
          <w:color w:val="auto"/>
        </w:rPr>
        <w:t>Inducement Award</w:t>
      </w:r>
      <w:r>
        <w:rPr>
          <w:rFonts w:ascii="Times New Roman" w:cs="Times New Roman" w:eastAsia="Times New Roman" w:hAnsi="Times New Roman"/>
          <w:sz w:val="18"/>
          <w:szCs w:val="18"/>
          <w:color w:val="auto"/>
        </w:rPr>
        <w:t>”) comprising shares of Common Stock issuable upon the vesting and settlement of restricted stock units granted to Jon Newhard. This opinion letter is furnished to you at your request to enable you to fulfill the requirements of Item 601(b)(5) of Regulation S-K, 17 C.F.R. § 229.601(b)(5), in connection with the Registration Statement.</w:t>
      </w:r>
    </w:p>
    <w:p>
      <w:pPr>
        <w:spacing w:after="0" w:line="1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w:t>
      </w:r>
    </w:p>
    <w:p>
      <w:pPr>
        <w:spacing w:after="0" w:line="18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This opinion letter is based as to matters of law solely on the Delaware General Corporation Law. We express no opinion herein as to any other statutes, rules or regulations.</w:t>
      </w:r>
    </w:p>
    <w:p>
      <w:pPr>
        <w:spacing w:after="0" w:line="16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Based upon, subject to and limited by the foregoing, we are of the opinion that following (i) effectiveness of the Registration Statement, (ii) issuance of the Shares pursuant to the terms of the Inducement Award, and (iii) receipt by the Company of the consideration for the Shares specified in the applicable resolutions of the Board of Directors or a duly authorized committee thereof and in the Inducement Award, the Shares will be validly issued, fully paid, and nonassessable.</w:t>
      </w:r>
    </w:p>
    <w:p>
      <w:pPr>
        <w:spacing w:after="0" w:line="182"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auto"/>
        </w:rPr>
        <w:t>This opinion letter has been prepared for use in connection with the Registration Statement. We assume no obligation to advise of any changes in the foregoing subsequent to the effective date of the Registration Statement.</w:t>
      </w:r>
    </w:p>
    <w:p>
      <w:pPr>
        <w:spacing w:after="0" w:line="163"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Hogan Lovells Cadwalader US LLP is a limited liability partnership registered in the state of Delaware. “Hogan Lovells Cadwalader” is an international legal practice that includes Hogan Lovells Cadwalader International LLP and Hogan Lovells Cadwalader US LLP, with offices in: Alicante Amsterdam Baltimore Beijing Berlin Birmingham Boston Brussels Charlotte Colorado Springs Denver Dubai Dublin Dusseldorf Frankfurt Hamburg Hanoi</w:t>
      </w:r>
    </w:p>
    <w:p>
      <w:pPr>
        <w:ind w:right="380"/>
        <w:spacing w:after="0" w:line="251" w:lineRule="auto"/>
        <w:rPr>
          <w:sz w:val="20"/>
          <w:szCs w:val="20"/>
          <w:color w:val="auto"/>
        </w:rPr>
      </w:pPr>
      <w:r>
        <w:rPr>
          <w:rFonts w:ascii="Times New Roman" w:cs="Times New Roman" w:eastAsia="Times New Roman" w:hAnsi="Times New Roman"/>
          <w:sz w:val="18"/>
          <w:szCs w:val="18"/>
          <w:color w:val="auto"/>
        </w:rPr>
        <w:t>Ho Chi Minh City Hong Kong Houston London Los Angeles Luxembourg Madrid Mexico City Miami Milan Minneapolis Monterrey Munich New York Northern Virginia Paris Philadelphia Riyadh Rome San Francisco São Paulo Shanghai Silicon Valley Singapore Tokyo Washington, D.C. Associated Offices: Jakarta Shanghai FTZ. Business Services Centers: Johannesburg Louisville. For more information see www.hlc.com.</w:t>
      </w:r>
    </w:p>
    <w:p>
      <w:pPr>
        <w:sectPr>
          <w:pgSz w:w="11900" w:h="16838" w:orient="portrait"/>
          <w:cols w:equalWidth="0" w:num="1">
            <w:col w:w="10900"/>
          </w:cols>
          <w:pgMar w:left="500" w:top="117" w:right="499" w:bottom="1440" w:gutter="0" w:footer="0" w:header="0"/>
        </w:sectPr>
      </w:pPr>
    </w:p>
    <w:bookmarkStart w:id="18" w:name="page19"/>
    <w:bookmarkEnd w:id="18"/>
    <w:p>
      <w:pPr>
        <w:jc w:val="right"/>
        <w:spacing w:after="0"/>
        <w:tabs>
          <w:tab w:leader="none" w:pos="12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- 2 -</w:t>
      </w:r>
      <w:r>
        <w:rPr>
          <w:sz w:val="20"/>
          <w:szCs w:val="20"/>
          <w:color w:val="auto"/>
        </w:rPr>
        <w:tab/>
      </w:r>
      <w:r>
        <w:rPr>
          <w:rFonts w:ascii="Times New Roman" w:cs="Times New Roman" w:eastAsia="Times New Roman" w:hAnsi="Times New Roman"/>
          <w:sz w:val="17"/>
          <w:szCs w:val="17"/>
          <w:color w:val="auto"/>
        </w:rPr>
        <w:t>October 30, 2026</w:t>
      </w:r>
    </w:p>
    <w:p>
      <w:pPr>
        <w:spacing w:after="0" w:line="367"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Registration Statement. In giving this consent, we do not thereby admit that we are an “expert” within the meaning of the Act.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HOGAN LOVELLS CADWALADER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27654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HOGAN LOVELLS CADWALADER US LLP</w:t>
      </w:r>
    </w:p>
    <w:p>
      <w:pPr>
        <w:sectPr>
          <w:pgSz w:w="11900" w:h="16838" w:orient="portrait"/>
          <w:cols w:equalWidth="0" w:num="1">
            <w:col w:w="10900"/>
          </w:cols>
          <w:pgMar w:left="500" w:top="268" w:right="49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1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February 24, 2026 relating to the financial statements of Verra Mobility Corporation and the effectiveness of Verra Mobility Corporation’s internal control over financial reporting, appearing in the Annual Report on Form 10-K of Verra Mobility Corporation for the year ended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 Arizona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2026</w:t>
      </w:r>
    </w:p>
    <w:p>
      <w:pPr>
        <w:sectPr>
          <w:pgSz w:w="11900" w:h="16838" w:orient="portrait"/>
          <w:cols w:equalWidth="0" w:num="1">
            <w:col w:w="10900"/>
          </w:cols>
          <w:pgMar w:left="500" w:top="117" w:right="499" w:bottom="1440" w:gutter="0" w:footer="0" w:header="0"/>
        </w:sectPr>
      </w:pPr>
    </w:p>
    <w:bookmarkStart w:id="20" w:name="page21"/>
    <w:bookmarkEnd w:id="20"/>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ind w:left="3520"/>
        <w:spacing w:after="0"/>
        <w:rPr>
          <w:sz w:val="20"/>
          <w:szCs w:val="20"/>
          <w:color w:val="auto"/>
        </w:rPr>
      </w:pPr>
      <w:r>
        <w:rPr>
          <w:rFonts w:ascii="Arial" w:cs="Arial" w:eastAsia="Arial" w:hAnsi="Arial"/>
          <w:sz w:val="36"/>
          <w:szCs w:val="36"/>
          <w:b w:val="1"/>
          <w:bCs w:val="1"/>
          <w:color w:val="auto"/>
        </w:rPr>
        <w:t>VERRA MOBILITY Corp</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220" w:type="dxa"/>
            <w:vAlign w:val="bottom"/>
            <w:vMerge w:val="restart"/>
            <w:shd w:val="clear" w:color="auto" w:fill="9ADAF6"/>
          </w:tcPr>
          <w:p>
            <w:pPr>
              <w:ind w:left="180"/>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3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92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8"/>
                <w:szCs w:val="18"/>
                <w:color w:val="auto"/>
              </w:rPr>
            </w:pPr>
          </w:p>
        </w:tc>
        <w:tc>
          <w:tcPr>
            <w:tcW w:w="14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18"/>
                <w:szCs w:val="18"/>
                <w:color w:val="auto"/>
              </w:rPr>
            </w:pPr>
          </w:p>
        </w:tc>
        <w:tc>
          <w:tcPr>
            <w:tcW w:w="920" w:type="dxa"/>
            <w:vAlign w:val="bottom"/>
            <w:shd w:val="clear" w:color="auto" w:fill="9ADAF6"/>
          </w:tcPr>
          <w:p>
            <w:pPr>
              <w:ind w:left="20"/>
              <w:spacing w:after="0" w:line="216" w:lineRule="exact"/>
              <w:rPr>
                <w:sz w:val="20"/>
                <w:szCs w:val="20"/>
                <w:color w:val="auto"/>
              </w:rPr>
            </w:pPr>
            <w:r>
              <w:rPr>
                <w:rFonts w:ascii="Arial" w:cs="Arial" w:eastAsia="Arial" w:hAnsi="Arial"/>
                <w:sz w:val="21"/>
                <w:szCs w:val="21"/>
                <w:b w:val="1"/>
                <w:bCs w:val="1"/>
                <w:color w:val="auto"/>
              </w:rPr>
              <w:t>Fee Rate</w:t>
            </w:r>
          </w:p>
        </w:tc>
        <w:tc>
          <w:tcPr>
            <w:tcW w:w="40" w:type="dxa"/>
            <w:vAlign w:val="bottom"/>
          </w:tcPr>
          <w:p>
            <w:pPr>
              <w:spacing w:after="0"/>
              <w:rPr>
                <w:sz w:val="18"/>
                <w:szCs w:val="18"/>
                <w:color w:val="auto"/>
              </w:rPr>
            </w:pPr>
          </w:p>
        </w:tc>
        <w:tc>
          <w:tcPr>
            <w:tcW w:w="14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3"/>
                <w:szCs w:val="23"/>
                <w:color w:val="auto"/>
              </w:rPr>
            </w:pPr>
          </w:p>
        </w:tc>
        <w:tc>
          <w:tcPr>
            <w:tcW w:w="1220" w:type="dxa"/>
            <w:vAlign w:val="bottom"/>
            <w:shd w:val="clear" w:color="auto" w:fill="9ADAF6"/>
          </w:tcPr>
          <w:p>
            <w:pPr>
              <w:ind w:left="80"/>
              <w:spacing w:after="0"/>
              <w:rPr>
                <w:sz w:val="20"/>
                <w:szCs w:val="20"/>
                <w:color w:val="auto"/>
              </w:rPr>
            </w:pPr>
            <w:r>
              <w:rPr>
                <w:rFonts w:ascii="Arial" w:cs="Arial" w:eastAsia="Arial" w:hAnsi="Arial"/>
                <w:sz w:val="21"/>
                <w:szCs w:val="21"/>
                <w:b w:val="1"/>
                <w:bCs w:val="1"/>
                <w:color w:val="auto"/>
              </w:rPr>
              <w:t>Class Title</w:t>
            </w:r>
          </w:p>
        </w:tc>
        <w:tc>
          <w:tcPr>
            <w:tcW w:w="20" w:type="dxa"/>
            <w:vAlign w:val="bottom"/>
          </w:tcPr>
          <w:p>
            <w:pPr>
              <w:spacing w:after="0"/>
              <w:rPr>
                <w:sz w:val="23"/>
                <w:szCs w:val="23"/>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3"/>
                <w:szCs w:val="23"/>
                <w:color w:val="auto"/>
              </w:rPr>
            </w:pPr>
          </w:p>
        </w:tc>
        <w:tc>
          <w:tcPr>
            <w:tcW w:w="1140" w:type="dxa"/>
            <w:vAlign w:val="bottom"/>
            <w:shd w:val="clear" w:color="auto" w:fill="9ADAF6"/>
          </w:tcPr>
          <w:p>
            <w:pPr>
              <w:jc w:val="right"/>
              <w:spacing w:after="0"/>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3"/>
                <w:szCs w:val="23"/>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3"/>
                <w:szCs w:val="23"/>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20" w:type="dxa"/>
            <w:vAlign w:val="bottom"/>
          </w:tcPr>
          <w:p>
            <w:pPr>
              <w:spacing w:after="0"/>
              <w:rPr>
                <w:sz w:val="23"/>
                <w:szCs w:val="23"/>
                <w:color w:val="auto"/>
              </w:rPr>
            </w:pPr>
          </w:p>
        </w:tc>
        <w:tc>
          <w:tcPr>
            <w:tcW w:w="92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4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Restricted</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 Units</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Agreement</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(Inducement</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Award)</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122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Class A</w:t>
            </w:r>
          </w:p>
        </w:tc>
        <w:tc>
          <w:tcPr>
            <w:tcW w:w="20" w:type="dxa"/>
            <w:vAlign w:val="bottom"/>
          </w:tcPr>
          <w:p>
            <w:pPr>
              <w:spacing w:after="0"/>
              <w:rPr>
                <w:sz w:val="20"/>
                <w:szCs w:val="20"/>
                <w:color w:val="auto"/>
              </w:rPr>
            </w:pPr>
          </w:p>
        </w:tc>
        <w:tc>
          <w:tcPr>
            <w:tcW w:w="120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Other</w:t>
            </w:r>
          </w:p>
        </w:tc>
        <w:tc>
          <w:tcPr>
            <w:tcW w:w="20" w:type="dxa"/>
            <w:vAlign w:val="bottom"/>
          </w:tcPr>
          <w:p>
            <w:pPr>
              <w:spacing w:after="0"/>
              <w:rPr>
                <w:sz w:val="20"/>
                <w:szCs w:val="20"/>
                <w:color w:val="auto"/>
              </w:rPr>
            </w:pPr>
          </w:p>
        </w:tc>
        <w:tc>
          <w:tcPr>
            <w:tcW w:w="11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1,583,333</w:t>
            </w:r>
          </w:p>
        </w:tc>
        <w:tc>
          <w:tcPr>
            <w:tcW w:w="20" w:type="dxa"/>
            <w:vAlign w:val="bottom"/>
          </w:tcPr>
          <w:p>
            <w:pPr>
              <w:spacing w:after="0"/>
              <w:rPr>
                <w:sz w:val="20"/>
                <w:szCs w:val="20"/>
                <w:color w:val="auto"/>
              </w:rPr>
            </w:pPr>
          </w:p>
        </w:tc>
        <w:tc>
          <w:tcPr>
            <w:tcW w:w="13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$ 3.0805</w:t>
            </w:r>
          </w:p>
        </w:tc>
        <w:tc>
          <w:tcPr>
            <w:tcW w:w="20" w:type="dxa"/>
            <w:vAlign w:val="bottom"/>
          </w:tcPr>
          <w:p>
            <w:pPr>
              <w:spacing w:after="0"/>
              <w:rPr>
                <w:sz w:val="20"/>
                <w:szCs w:val="20"/>
                <w:color w:val="auto"/>
              </w:rPr>
            </w:pPr>
          </w:p>
        </w:tc>
        <w:tc>
          <w:tcPr>
            <w:tcW w:w="148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$ 4,877,457.31</w:t>
            </w:r>
          </w:p>
        </w:tc>
        <w:tc>
          <w:tcPr>
            <w:tcW w:w="20" w:type="dxa"/>
            <w:vAlign w:val="bottom"/>
          </w:tcPr>
          <w:p>
            <w:pPr>
              <w:spacing w:after="0"/>
              <w:rPr>
                <w:sz w:val="20"/>
                <w:szCs w:val="20"/>
                <w:color w:val="auto"/>
              </w:rPr>
            </w:pPr>
          </w:p>
        </w:tc>
        <w:tc>
          <w:tcPr>
            <w:tcW w:w="92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0.000087</w:t>
            </w:r>
          </w:p>
        </w:tc>
        <w:tc>
          <w:tcPr>
            <w:tcW w:w="40" w:type="dxa"/>
            <w:vAlign w:val="bottom"/>
          </w:tcPr>
          <w:p>
            <w:pPr>
              <w:spacing w:after="0"/>
              <w:rPr>
                <w:sz w:val="20"/>
                <w:szCs w:val="20"/>
                <w:color w:val="auto"/>
              </w:rPr>
            </w:pPr>
          </w:p>
        </w:tc>
        <w:tc>
          <w:tcPr>
            <w:tcW w:w="14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$ 424.34</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$0.0001 par</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value per</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Arial" w:cs="Arial" w:eastAsia="Arial" w:hAnsi="Arial"/>
                <w:sz w:val="21"/>
                <w:szCs w:val="21"/>
                <w:color w:val="auto"/>
              </w:rPr>
              <w:t>$ 4,877,457.31</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$ 424.34</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$ 424.34</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720" w:hanging="225"/>
        <w:spacing w:after="0" w:line="236" w:lineRule="auto"/>
        <w:tabs>
          <w:tab w:leader="none" w:pos="800" w:val="left"/>
        </w:tabs>
        <w:numPr>
          <w:ilvl w:val="0"/>
          <w:numId w:val="23"/>
        </w:numPr>
        <w:rPr>
          <w:rFonts w:ascii="Arial" w:cs="Arial" w:eastAsia="Arial" w:hAnsi="Arial"/>
          <w:sz w:val="27"/>
          <w:szCs w:val="27"/>
          <w:color w:val="auto"/>
          <w:vertAlign w:val="superscript"/>
        </w:rPr>
      </w:pPr>
      <w:r>
        <w:rPr>
          <w:rFonts w:ascii="Arial" w:cs="Arial" w:eastAsia="Arial" w:hAnsi="Arial"/>
          <w:sz w:val="21"/>
          <w:szCs w:val="21"/>
          <w:color w:val="auto"/>
        </w:rPr>
        <w:t>(1) (a) Pursuant to Rule 416(a) of the Securities Act of 1933, as amended (the "Securities Act"), this Registration Statement shall also cover any additional shares of Class A common stock, $0.0001 par value per share (the "Common Stock"), of the Company (the "Registrant") that become issuable under the Restricted Stock Units Agreement (Inducement Award), by and between the Registrant and Jon Newhard (the "Inducement Award") by reason of any stock dividend, stock split, recapitalization, or other similar transaction that results in an increase in the number of outstanding shares of Common Stock. (b) Represents shares of Common Stock reserved for issuance upon the vesting and settlement of restricted stock units in accordance with the terms of the Inducement Award. (c) Estimated in accordance with Rule 457(c) and (h) of the Securities Act solely for purposes of calculating the registration fee. The proposed maximum offering price per share and maximum aggregate offering price are calculated on the basis of the average of the high and low sales prices of the Common Stock as reported on the Nasdaq Capital Market on October 26, 2026, which date is a date within five business days of the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87630</wp:posOffset>
            </wp:positionV>
            <wp:extent cx="63874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1">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6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6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 "/>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lowerRoman"/>
      <w:start w:val="2"/>
    </w:lvl>
  </w:abstractNum>
  <w:abstractNum w:abstractNumId="5">
    <w:nsid w:val="7FDCC233"/>
    <w:multiLevelType w:val="hybridMultilevel"/>
    <w:lvl w:ilvl="0">
      <w:lvlJc w:val="left"/>
      <w:lvlText w:val="(%1)"/>
      <w:numFmt w:val="decimal"/>
      <w:start w:val="2"/>
    </w:lvl>
  </w:abstractNum>
  <w:abstractNum w:abstractNumId="6">
    <w:nsid w:val="1BEFD79F"/>
    <w:multiLevelType w:val="hybridMultilevel"/>
    <w:lvl w:ilvl="0">
      <w:lvlJc w:val="left"/>
      <w:lvlText w:val="(%1)"/>
      <w:numFmt w:val="decimal"/>
      <w:start w:val="3"/>
    </w:lvl>
  </w:abstractNum>
  <w:abstractNum w:abstractNumId="7">
    <w:nsid w:val="41A7C4C9"/>
    <w:multiLevelType w:val="hybridMultilevel"/>
    <w:lvl w:ilvl="0">
      <w:lvlJc w:val="left"/>
      <w:lvlText w:val="(%1)"/>
      <w:numFmt w:val="lowerLetter"/>
      <w:start w:val="2"/>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2"/>
    </w:lvl>
  </w:abstractNum>
  <w:abstractNum w:abstractNumId="10">
    <w:nsid w:val="25E45D32"/>
    <w:multiLevelType w:val="hybridMultilevel"/>
    <w:lvl w:ilvl="0">
      <w:lvlJc w:val="left"/>
      <w:lvlText w:val="%1."/>
      <w:numFmt w:val="decimal"/>
      <w:start w:val="3"/>
    </w:lvl>
  </w:abstractNum>
  <w:abstractNum w:abstractNumId="11">
    <w:nsid w:val="519B500D"/>
    <w:multiLevelType w:val="hybridMultilevel"/>
    <w:lvl w:ilvl="0">
      <w:lvlJc w:val="left"/>
      <w:lvlText w:val="%1."/>
      <w:numFmt w:val="decimal"/>
      <w:start w:val="4"/>
    </w:lvl>
  </w:abstractNum>
  <w:abstractNum w:abstractNumId="12">
    <w:nsid w:val="431BD7B7"/>
    <w:multiLevelType w:val="hybridMultilevel"/>
    <w:lvl w:ilvl="0">
      <w:lvlJc w:val="left"/>
      <w:lvlText w:val="%1."/>
      <w:numFmt w:val="decimal"/>
      <w:start w:val="5"/>
    </w:lvl>
  </w:abstractNum>
  <w:abstractNum w:abstractNumId="13">
    <w:nsid w:val="3F2DBA31"/>
    <w:multiLevelType w:val="hybridMultilevel"/>
    <w:lvl w:ilvl="0">
      <w:lvlJc w:val="left"/>
      <w:lvlText w:val="%1."/>
      <w:numFmt w:val="decimal"/>
      <w:start w:val="6"/>
    </w:lvl>
  </w:abstractNum>
  <w:abstractNum w:abstractNumId="14">
    <w:nsid w:val="7C83E458"/>
    <w:multiLevelType w:val="hybridMultilevel"/>
    <w:lvl w:ilvl="0">
      <w:lvlJc w:val="left"/>
      <w:lvlText w:val="%1."/>
      <w:numFmt w:val="decimal"/>
      <w:start w:val="7"/>
    </w:lvl>
  </w:abstractNum>
  <w:abstractNum w:abstractNumId="15">
    <w:nsid w:val="257130A3"/>
    <w:multiLevelType w:val="hybridMultilevel"/>
    <w:lvl w:ilvl="0">
      <w:lvlJc w:val="left"/>
      <w:lvlText w:val="%1."/>
      <w:numFmt w:val="decimal"/>
      <w:start w:val="8"/>
    </w:lvl>
  </w:abstractNum>
  <w:abstractNum w:abstractNumId="16">
    <w:nsid w:val="62BBD95A"/>
    <w:multiLevelType w:val="hybridMultilevel"/>
    <w:lvl w:ilvl="0">
      <w:lvlJc w:val="left"/>
      <w:lvlText w:val="%1."/>
      <w:numFmt w:val="decimal"/>
      <w:start w:val="9"/>
    </w:lvl>
  </w:abstractNum>
  <w:abstractNum w:abstractNumId="17">
    <w:nsid w:val="436C6125"/>
    <w:multiLevelType w:val="hybridMultilevel"/>
    <w:lvl w:ilvl="0">
      <w:lvlJc w:val="left"/>
      <w:lvlText w:val="%1."/>
      <w:numFmt w:val="decimal"/>
      <w:start w:val="10"/>
    </w:lvl>
  </w:abstractNum>
  <w:abstractNum w:abstractNumId="18">
    <w:nsid w:val="628C895D"/>
    <w:multiLevelType w:val="hybridMultilevel"/>
    <w:lvl w:ilvl="0">
      <w:lvlJc w:val="left"/>
      <w:lvlText w:val="%1."/>
      <w:numFmt w:val="decimal"/>
      <w:start w:val="11"/>
    </w:lvl>
  </w:abstractNum>
  <w:abstractNum w:abstractNumId="19">
    <w:nsid w:val="333AB105"/>
    <w:multiLevelType w:val="hybridMultilevel"/>
    <w:lvl w:ilvl="0">
      <w:lvlJc w:val="left"/>
      <w:lvlText w:val="%1."/>
      <w:numFmt w:val="decimal"/>
      <w:start w:val="12"/>
    </w:lvl>
  </w:abstractNum>
  <w:abstractNum w:abstractNumId="20">
    <w:nsid w:val="721DA317"/>
    <w:multiLevelType w:val="hybridMultilevel"/>
    <w:lvl w:ilvl="0">
      <w:lvlJc w:val="left"/>
      <w:lvlText w:val="%1."/>
      <w:numFmt w:val="decimal"/>
      <w:start w:val="13"/>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png"/><Relationship Id="rId35"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png"/><Relationship Id="rId43" Type="http://schemas.openxmlformats.org/officeDocument/2006/relationships/image" Target="media/image20.png"/><Relationship Id="rId44" Type="http://schemas.openxmlformats.org/officeDocument/2006/relationships/image" Target="media/image21.png"/><Relationship Id="rId45" Type="http://schemas.openxmlformats.org/officeDocument/2006/relationships/image" Target="media/image22.png"/><Relationship Id="rId46" Type="http://schemas.openxmlformats.org/officeDocument/2006/relationships/image" Target="media/image23.png"/><Relationship Id="rId47" Type="http://schemas.openxmlformats.org/officeDocument/2006/relationships/image" Target="media/image24.png"/><Relationship Id="rId48" Type="http://schemas.openxmlformats.org/officeDocument/2006/relationships/image" Target="media/image25.jpeg"/><Relationship Id="rId49" Type="http://schemas.openxmlformats.org/officeDocument/2006/relationships/image" Target="media/image26.png"/><Relationship Id="rId50" Type="http://schemas.openxmlformats.org/officeDocument/2006/relationships/image" Target="media/image27.png"/><Relationship Id="rId51" Type="http://schemas.openxmlformats.org/officeDocument/2006/relationships/image" Target="media/image28.png"/><Relationship Id="rId52" Type="http://schemas.openxmlformats.org/officeDocument/2006/relationships/image" Target="media/image29.png"/><Relationship Id="rId17" Type="http://schemas.openxmlformats.org/officeDocument/2006/relationships/hyperlink" Target="http://www.sec.gov/ix?doc=/Archives/edgar/data/1682745/000119312526067293/vrrm-20251231.htm" TargetMode="External"/><Relationship Id="rId18" Type="http://schemas.openxmlformats.org/officeDocument/2006/relationships/hyperlink" Target="http://www.sec.gov/ix?doc=/Archives/edgar/data/1682745/000119312526143753/vrrm-20260331.htm" TargetMode="External"/><Relationship Id="rId19" Type="http://schemas.openxmlformats.org/officeDocument/2006/relationships/hyperlink" Target="http://www.sec.gov/ix?doc=/Archives/edgar/data/1682745/000119312526209227/vrrm-20260331.htm" TargetMode="External"/><Relationship Id="rId20" Type="http://schemas.openxmlformats.org/officeDocument/2006/relationships/hyperlink" Target="http://www.sec.gov/ix?doc=/Archives/edgar/data/1682745/000119312526335490/vrrm-20260630.htm" TargetMode="External"/><Relationship Id="rId21" Type="http://schemas.openxmlformats.org/officeDocument/2006/relationships/hyperlink" Target="http://www.sec.gov/ix?doc=/Archives/edgar/data/0001682745/000162828026068455/vrrm-20260930.htm" TargetMode="External"/><Relationship Id="rId22" Type="http://schemas.openxmlformats.org/officeDocument/2006/relationships/hyperlink" Target="http://www.sec.gov/ix?doc=/Archives/edgar/data/0001682745/000119312526271174/d105332d8k.htm" TargetMode="External"/><Relationship Id="rId23" Type="http://schemas.openxmlformats.org/officeDocument/2006/relationships/hyperlink" Target="http://www.sec.gov/ix?doc=/Archives/edgar/data/1682745/000119312526274249/d33574d8k.htm" TargetMode="External"/><Relationship Id="rId24" Type="http://schemas.openxmlformats.org/officeDocument/2006/relationships/hyperlink" Target="http://www.sec.gov/ix?doc=/Archives/edgar/data/1682745/000119312526412497/d116013d8k.htm" TargetMode="External"/><Relationship Id="rId25" Type="http://schemas.openxmlformats.org/officeDocument/2006/relationships/hyperlink" Target="http://www.sec.gov/ix?doc=/Archives/edgar/data/1682745/000119312526422342/d416091d8k.htm" TargetMode="External"/><Relationship Id="rId26" Type="http://schemas.openxmlformats.org/officeDocument/2006/relationships/hyperlink" Target="http://www.sec.gov/ix?doc=/Archives/edgar/data/1682745/000119312526441633/d183311d8k.htm" TargetMode="External"/><Relationship Id="rId27" Type="http://schemas.openxmlformats.org/officeDocument/2006/relationships/hyperlink" Target="http://www.sec.gov/ix?doc=/Archives/edgar/data/1682745/000119312526314257/d132806d8ka.htm" TargetMode="External"/><Relationship Id="rId28" Type="http://schemas.openxmlformats.org/officeDocument/2006/relationships/hyperlink" Target="http://www.sec.gov/ix?doc=/Archives/edgar/data/1682745/000119312526413031/d166824d8ka.htm" TargetMode="External"/><Relationship Id="rId29" Type="http://schemas.openxmlformats.org/officeDocument/2006/relationships/hyperlink" Target="http://www.sec.gov/Archives/edgar/data/1593538/000095017023004376/navi-ex4_1.htm" TargetMode="External"/><Relationship Id="rId32" Type="http://schemas.openxmlformats.org/officeDocument/2006/relationships/hyperlink" Target="http://www.sec.gov/Archives/edgar/data/1682745/000156459018024644/vrrm-ex31_941.htm" TargetMode="External"/><Relationship Id="rId33" Type="http://schemas.openxmlformats.org/officeDocument/2006/relationships/hyperlink" Target="http://www.sec.gov/Archives/edgar/data/1682745/000095017023062035/vrrm-ex3_1.htm" TargetMode="External"/><Relationship Id="rId34" Type="http://schemas.openxmlformats.org/officeDocument/2006/relationships/hyperlink" Target="http://www.sec.gov/Archives/edgar/data/1682745/000104746916017126/a2230401z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2026-10-30T16:10:03Z</dcterms:created>
  <dcterms:modified xsi:type="dcterms:W3CDTF">2026-10-30T16:10:03Z</dcterms:modified>
</cp:coreProperties>
</file>