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6570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Moser Stacey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700"/>
        <w:spacing w:after="0" w:line="309" w:lineRule="auto"/>
        <w:rPr>
          <w:sz w:val="20"/>
          <w:szCs w:val="20"/>
          <w:color w:val="auto"/>
        </w:rPr>
      </w:pPr>
      <w:r>
        <w:rPr>
          <w:rFonts w:ascii="Times New Roman" w:cs="Times New Roman" w:eastAsia="Times New Roman" w:hAnsi="Times New Roman"/>
          <w:sz w:val="17"/>
          <w:szCs w:val="17"/>
          <w:color w:val="0000FF"/>
        </w:rPr>
        <w:t>2046 RIVERVIEW AUTO DRIVE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8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VERRA MOBILITY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VRRM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06/13/2026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Customer Officer</w:t>
      </w:r>
    </w:p>
    <w:p>
      <w:pPr>
        <w:spacing w:after="0" w:line="43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700" w:type="dxa"/>
            <w:vAlign w:val="bottom"/>
            <w:gridSpan w:val="8"/>
          </w:tcPr>
          <w:p>
            <w:pPr>
              <w:jc w:val="center"/>
              <w:ind w:right="40"/>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28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MESA</w:t>
            </w:r>
          </w:p>
        </w:tc>
        <w:tc>
          <w:tcPr>
            <w:tcW w:w="18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AZ</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85201</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80,299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06/13/2026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80,299</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80,299</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Verra Mobility Corporation Class A Common Stock.</w:t>
      </w:r>
    </w:p>
    <w:p>
      <w:pPr>
        <w:spacing w:after="0" w:line="44"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13, 2026, the Reporting Person was granted restricted stock units, vesting in two (2) equal annual installments beginning on June 12, 2027, subject to the Reporting Person's continued service with the Issuer through each such vesting date. Vested shares will be delivered to the Reporting Person on each settlement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Stacey Moser</w:t>
            </w:r>
          </w:p>
        </w:tc>
        <w:tc>
          <w:tcPr>
            <w:tcW w:w="10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06/16/2026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294005</wp:posOffset>
            </wp:positionH>
            <wp:positionV relativeFrom="page">
              <wp:posOffset>88900</wp:posOffset>
            </wp:positionV>
            <wp:extent cx="696785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7855" cy="1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176" w:lineRule="exact"/>
        <w:rPr>
          <w:sz w:val="20"/>
          <w:szCs w:val="20"/>
          <w:color w:val="auto"/>
        </w:rPr>
      </w:pPr>
    </w:p>
    <w:p>
      <w:pPr>
        <w:jc w:val="both"/>
        <w:spacing w:after="0" w:line="242" w:lineRule="exact"/>
        <w:rPr>
          <w:sz w:val="20"/>
          <w:szCs w:val="20"/>
          <w:color w:val="auto"/>
        </w:rPr>
      </w:pPr>
      <w:r>
        <w:rPr>
          <w:rFonts w:ascii="Times New Roman" w:cs="Times New Roman" w:eastAsia="Times New Roman" w:hAnsi="Times New Roman"/>
          <w:sz w:val="21"/>
          <w:szCs w:val="21"/>
          <w:color w:val="auto"/>
        </w:rPr>
        <w:t>The undersigned hereby makes, constitutes and appoints each of Jon Keyser and Craig Conti of Verra Mobility Corporation (the “Company”), and Irina Abbas of Hogan Lovells US LLP, or any of them acting singly, and with full power of substitution, re-substitution and delegation, the undersigned’s true and lawful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(each of such persons and their substitutes and delegees being referred to herein as the "Attorney-in-Fact"), with full power to act for the undersigned and in the undersigned's name, place and stead, in the undersigned’s capacity as an officer, director or stockholder of the Company, to:</w:t>
      </w:r>
    </w:p>
    <w:p>
      <w:pPr>
        <w:spacing w:after="0" w:line="157" w:lineRule="exact"/>
        <w:rPr>
          <w:sz w:val="20"/>
          <w:szCs w:val="20"/>
          <w:color w:val="auto"/>
        </w:rPr>
      </w:pPr>
    </w:p>
    <w:p>
      <w:pPr>
        <w:jc w:val="both"/>
        <w:ind w:left="620" w:hanging="307"/>
        <w:spacing w:after="0" w:line="262"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378"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379"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w:t>
      </w:r>
      <w:r>
        <w:rPr>
          <w:rFonts w:ascii="Times New Roman" w:cs="Times New Roman" w:eastAsia="Times New Roman" w:hAnsi="Times New Roman"/>
          <w:sz w:val="17"/>
          <w:szCs w:val="17"/>
          <w:color w:val="auto"/>
        </w:rPr>
        <w:t xml:space="preserve"> below;</w:t>
      </w:r>
    </w:p>
    <w:p>
      <w:pPr>
        <w:spacing w:after="0" w:line="35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submit or otherwise deliver SEC Filings to any securities exchange on which the Company’s securities may be listed or traded;</w:t>
      </w:r>
    </w:p>
    <w:p>
      <w:pPr>
        <w:spacing w:after="0" w:line="200" w:lineRule="exact"/>
        <w:rPr>
          <w:rFonts w:ascii="Times New Roman" w:cs="Times New Roman" w:eastAsia="Times New Roman" w:hAnsi="Times New Roman"/>
          <w:sz w:val="17"/>
          <w:szCs w:val="17"/>
          <w:color w:val="auto"/>
        </w:rPr>
      </w:pPr>
    </w:p>
    <w:p>
      <w:pPr>
        <w:spacing w:after="0" w:line="224" w:lineRule="exact"/>
        <w:rPr>
          <w:rFonts w:ascii="Times New Roman" w:cs="Times New Roman" w:eastAsia="Times New Roman" w:hAnsi="Times New Roman"/>
          <w:sz w:val="17"/>
          <w:szCs w:val="17"/>
          <w:color w:val="auto"/>
        </w:rPr>
      </w:pPr>
    </w:p>
    <w:p>
      <w:pPr>
        <w:jc w:val="both"/>
        <w:ind w:left="620" w:hanging="307"/>
        <w:spacing w:after="0" w:line="262"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378" w:lineRule="exact"/>
        <w:rPr>
          <w:rFonts w:ascii="Times New Roman" w:cs="Times New Roman" w:eastAsia="Times New Roman" w:hAnsi="Times New Roman"/>
          <w:sz w:val="17"/>
          <w:szCs w:val="17"/>
          <w:color w:val="auto"/>
        </w:rPr>
      </w:pPr>
    </w:p>
    <w:p>
      <w:pPr>
        <w:ind w:left="620" w:right="20" w:hanging="307"/>
        <w:spacing w:after="0" w:line="287"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358"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3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The undersigned acknowledges that:</w:t>
      </w:r>
    </w:p>
    <w:p>
      <w:pPr>
        <w:spacing w:after="0" w:line="181" w:lineRule="exact"/>
        <w:rPr>
          <w:sz w:val="20"/>
          <w:szCs w:val="20"/>
          <w:color w:val="auto"/>
        </w:rPr>
      </w:pPr>
    </w:p>
    <w:p>
      <w:pPr>
        <w:ind w:left="1100" w:hanging="308"/>
        <w:spacing w:after="0" w:line="287"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Power of Attorney authorizes, but does not require, the Attorney-in-Fact to act in his or her discretion on information provided to such Attorney-in-Fact without independent verification of such information;</w:t>
      </w:r>
    </w:p>
    <w:p>
      <w:pPr>
        <w:spacing w:after="0" w:line="358" w:lineRule="exact"/>
        <w:rPr>
          <w:rFonts w:ascii="Times New Roman" w:cs="Times New Roman" w:eastAsia="Times New Roman" w:hAnsi="Times New Roman"/>
          <w:sz w:val="17"/>
          <w:szCs w:val="17"/>
          <w:color w:val="auto"/>
        </w:rPr>
      </w:pPr>
    </w:p>
    <w:p>
      <w:pPr>
        <w:ind w:left="1100" w:hanging="309"/>
        <w:spacing w:after="0" w:line="287"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52" w:lineRule="exact"/>
        <w:rPr>
          <w:rFonts w:ascii="Times New Roman" w:cs="Times New Roman" w:eastAsia="Times New Roman" w:hAnsi="Times New Roman"/>
          <w:sz w:val="17"/>
          <w:szCs w:val="17"/>
          <w:color w:val="auto"/>
        </w:rPr>
      </w:pPr>
    </w:p>
    <w:p>
      <w:pPr>
        <w:jc w:val="both"/>
        <w:ind w:left="1100" w:hanging="309"/>
        <w:spacing w:after="0" w:line="270"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66" w:lineRule="exact"/>
        <w:rPr>
          <w:rFonts w:ascii="Times New Roman" w:cs="Times New Roman" w:eastAsia="Times New Roman" w:hAnsi="Times New Roman"/>
          <w:sz w:val="17"/>
          <w:szCs w:val="17"/>
          <w:color w:val="auto"/>
        </w:rPr>
      </w:pPr>
    </w:p>
    <w:p>
      <w:pPr>
        <w:jc w:val="both"/>
        <w:ind w:left="1100" w:hanging="309"/>
        <w:spacing w:after="0" w:line="270"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58" w:lineRule="exact"/>
        <w:rPr>
          <w:sz w:val="20"/>
          <w:szCs w:val="20"/>
          <w:color w:val="auto"/>
        </w:rPr>
      </w:pPr>
    </w:p>
    <w:p>
      <w:pPr>
        <w:jc w:val="both"/>
        <w:ind w:firstLine="788"/>
        <w:spacing w:after="0" w:line="239" w:lineRule="auto"/>
        <w:rPr>
          <w:sz w:val="20"/>
          <w:szCs w:val="20"/>
          <w:color w:val="auto"/>
        </w:rPr>
      </w:pPr>
      <w:r>
        <w:rPr>
          <w:rFonts w:ascii="Times New Roman" w:cs="Times New Roman" w:eastAsia="Times New Roman" w:hAnsi="Times New Roman"/>
          <w:sz w:val="21"/>
          <w:szCs w:val="21"/>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48" w:lineRule="exact"/>
        <w:rPr>
          <w:sz w:val="20"/>
          <w:szCs w:val="20"/>
          <w:color w:val="auto"/>
        </w:rPr>
      </w:pPr>
    </w:p>
    <w:p>
      <w:pPr>
        <w:jc w:val="both"/>
        <w:ind w:firstLine="788"/>
        <w:spacing w:after="0" w:line="239"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as of May 6, 2026.</w:t>
      </w:r>
    </w:p>
    <w:p>
      <w:pPr>
        <w:spacing w:after="0" w:line="17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u w:val="single" w:color="auto"/>
          <w:color w:val="auto"/>
        </w:rPr>
        <w:t>/s/ Stacey Moser</w:t>
      </w:r>
    </w:p>
    <w:p>
      <w:pPr>
        <w:spacing w:after="0" w:line="1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Stacey Moser</w:t>
      </w:r>
    </w:p>
    <w:sectPr>
      <w:pgSz w:w="11900" w:h="16838" w:orient="portrait"/>
      <w:cols w:equalWidth="0" w:num="1">
        <w:col w:w="10980"/>
      </w:cols>
      <w:pgMar w:left="460" w:top="110" w:right="459" w:bottom="31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077684" TargetMode="External"/><Relationship Id="rId14" Type="http://schemas.openxmlformats.org/officeDocument/2006/relationships/hyperlink" Target="http://www.sec.gov/cgi-bin/browse-edgar?action=getcompany&amp;CIK=0001682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2026-06-16T16:50:59Z</dcterms:created>
  <dcterms:modified xsi:type="dcterms:W3CDTF">2026-06-16T16:50:59Z</dcterms:modified>
</cp:coreProperties>
</file>