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141605</wp:posOffset>
            </wp:positionV>
            <wp:extent cx="1903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173355</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 w:lineRule="exact"/>
        <w:rPr>
          <w:sz w:val="24"/>
          <w:szCs w:val="24"/>
          <w:color w:val="auto"/>
        </w:rPr>
      </w:pPr>
    </w:p>
    <w:p>
      <w:pPr>
        <w:ind w:left="3640" w:right="1720" w:hanging="3632"/>
        <w:spacing w:after="0" w:line="266" w:lineRule="auto"/>
        <w:tabs>
          <w:tab w:leader="none" w:pos="3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3300" w:right="1720" w:hanging="3292"/>
        <w:spacing w:after="0" w:line="320" w:lineRule="auto"/>
        <w:tabs>
          <w:tab w:leader="none" w:pos="36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156845</wp:posOffset>
            </wp:positionV>
            <wp:extent cx="1903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VERRA MOBILITY CORPORATION</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Exact name of registrant as specified in its charter</w:t>
      </w:r>
      <w:r>
        <w:rPr>
          <w:rFonts w:ascii="Times New Roman" w:cs="Times New Roman" w:eastAsia="Times New Roman" w:hAnsi="Times New Roman"/>
          <w:sz w:val="16"/>
          <w:szCs w:val="16"/>
          <w:color w:val="auto"/>
        </w:rPr>
        <w:t>)</w:t>
      </w:r>
    </w:p>
    <w:p>
      <w:pPr>
        <w:spacing w:after="0" w:line="224" w:lineRule="exact"/>
        <w:rPr>
          <w:sz w:val="24"/>
          <w:szCs w:val="24"/>
          <w:color w:val="auto"/>
        </w:rPr>
      </w:pPr>
    </w:p>
    <w:tbl>
      <w:tblPr>
        <w:tblLayout w:type="fixed"/>
        <w:tblInd w:w="500" w:type="dxa"/>
        <w:tblCellMar>
          <w:top w:w="0" w:type="dxa"/>
          <w:left w:w="0" w:type="dxa"/>
          <w:bottom w:w="0" w:type="dxa"/>
          <w:right w:w="0" w:type="dxa"/>
        </w:tblCellMar>
      </w:tblPr>
      <w:tr>
        <w:trPr>
          <w:trHeight w:val="214"/>
        </w:trPr>
        <w:tc>
          <w:tcPr>
            <w:tcW w:w="362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Pr>
          <w:p>
            <w:pPr>
              <w:jc w:val="right"/>
              <w:ind w:right="1639"/>
              <w:spacing w:after="0"/>
              <w:rPr>
                <w:sz w:val="20"/>
                <w:szCs w:val="20"/>
                <w:color w:val="auto"/>
              </w:rPr>
            </w:pPr>
            <w:r>
              <w:rPr>
                <w:rFonts w:ascii="Times New Roman" w:cs="Times New Roman" w:eastAsia="Times New Roman" w:hAnsi="Times New Roman"/>
                <w:sz w:val="16"/>
                <w:szCs w:val="16"/>
                <w:b w:val="1"/>
                <w:bCs w:val="1"/>
                <w:color w:val="auto"/>
              </w:rPr>
              <w:t>81-3563824</w:t>
            </w:r>
          </w:p>
        </w:tc>
      </w:tr>
      <w:tr>
        <w:trPr>
          <w:trHeight w:val="203"/>
        </w:trPr>
        <w:tc>
          <w:tcPr>
            <w:tcW w:w="362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State of</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tcPr>
          <w:p>
            <w:pPr>
              <w:jc w:val="center"/>
              <w:ind w:right="9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I.R.S. Employer</w:t>
            </w:r>
          </w:p>
        </w:tc>
      </w:tr>
      <w:tr>
        <w:trPr>
          <w:trHeight w:val="212"/>
        </w:trPr>
        <w:tc>
          <w:tcPr>
            <w:tcW w:w="3620" w:type="dxa"/>
            <w:vAlign w:val="bottom"/>
          </w:tcPr>
          <w:p>
            <w:pPr>
              <w:jc w:val="center"/>
              <w:ind w:left="879"/>
              <w:spacing w:after="0"/>
              <w:rPr>
                <w:sz w:val="20"/>
                <w:szCs w:val="20"/>
                <w:color w:val="auto"/>
              </w:rPr>
            </w:pPr>
            <w:r>
              <w:rPr>
                <w:rFonts w:ascii="Times New Roman" w:cs="Times New Roman" w:eastAsia="Times New Roman" w:hAnsi="Times New Roman"/>
                <w:sz w:val="16"/>
                <w:szCs w:val="16"/>
                <w:i w:val="1"/>
                <w:iCs w:val="1"/>
                <w:color w:val="auto"/>
              </w:rPr>
              <w:t>Incorporation</w:t>
            </w:r>
            <w:r>
              <w:rPr>
                <w:rFonts w:ascii="Times New Roman" w:cs="Times New Roman" w:eastAsia="Times New Roman" w:hAnsi="Times New Roman"/>
                <w:sz w:val="16"/>
                <w:szCs w:val="16"/>
                <w:color w:val="auto"/>
              </w:rPr>
              <w:t>)</w:t>
            </w:r>
          </w:p>
        </w:tc>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Pr>
          <w:p>
            <w:pPr>
              <w:jc w:val="center"/>
              <w:ind w:right="999"/>
              <w:spacing w:after="0"/>
              <w:rPr>
                <w:sz w:val="20"/>
                <w:szCs w:val="20"/>
                <w:color w:val="auto"/>
              </w:rPr>
            </w:pPr>
            <w:r>
              <w:rPr>
                <w:rFonts w:ascii="Times New Roman" w:cs="Times New Roman" w:eastAsia="Times New Roman" w:hAnsi="Times New Roman"/>
                <w:sz w:val="16"/>
                <w:szCs w:val="16"/>
                <w:i w:val="1"/>
                <w:iCs w:val="1"/>
                <w:color w:val="auto"/>
              </w:rPr>
              <w:t>Identification No.</w:t>
            </w:r>
            <w:r>
              <w:rPr>
                <w:rFonts w:ascii="Times New Roman" w:cs="Times New Roman" w:eastAsia="Times New Roman" w:hAnsi="Times New Roman"/>
                <w:sz w:val="16"/>
                <w:szCs w:val="16"/>
                <w:color w:val="auto"/>
              </w:rPr>
              <w:t>)</w:t>
            </w:r>
          </w:p>
        </w:tc>
      </w:tr>
      <w:tr>
        <w:trPr>
          <w:trHeight w:val="405"/>
        </w:trPr>
        <w:tc>
          <w:tcPr>
            <w:tcW w:w="362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1150 North Alma School Road</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tcPr>
          <w:p>
            <w:pPr>
              <w:jc w:val="right"/>
              <w:ind w:right="1839"/>
              <w:spacing w:after="0"/>
              <w:rPr>
                <w:sz w:val="20"/>
                <w:szCs w:val="20"/>
                <w:color w:val="auto"/>
              </w:rPr>
            </w:pPr>
            <w:r>
              <w:rPr>
                <w:rFonts w:ascii="Times New Roman" w:cs="Times New Roman" w:eastAsia="Times New Roman" w:hAnsi="Times New Roman"/>
                <w:sz w:val="16"/>
                <w:szCs w:val="16"/>
                <w:b w:val="1"/>
                <w:bCs w:val="1"/>
                <w:color w:val="auto"/>
              </w:rPr>
              <w:t>85201</w:t>
            </w:r>
          </w:p>
        </w:tc>
      </w:tr>
      <w:tr>
        <w:trPr>
          <w:trHeight w:val="206"/>
        </w:trPr>
        <w:tc>
          <w:tcPr>
            <w:tcW w:w="362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Mesa, Arizona</w:t>
            </w: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Zip Code</w:t>
            </w:r>
            <w:r>
              <w:rPr>
                <w:rFonts w:ascii="Times New Roman" w:cs="Times New Roman" w:eastAsia="Times New Roman" w:hAnsi="Times New Roman"/>
                <w:sz w:val="16"/>
                <w:szCs w:val="16"/>
                <w:color w:val="auto"/>
              </w:rPr>
              <w:t>)</w:t>
            </w:r>
          </w:p>
        </w:tc>
      </w:tr>
      <w:tr>
        <w:trPr>
          <w:trHeight w:val="212"/>
        </w:trPr>
        <w:tc>
          <w:tcPr>
            <w:tcW w:w="3620" w:type="dxa"/>
            <w:vAlign w:val="bottom"/>
          </w:tcPr>
          <w:p>
            <w:pPr>
              <w:jc w:val="center"/>
              <w:ind w:left="87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Address of Principal Executive Offices</w:t>
            </w:r>
            <w:r>
              <w:rPr>
                <w:rFonts w:ascii="Times New Roman" w:cs="Times New Roman" w:eastAsia="Times New Roman" w:hAnsi="Times New Roman"/>
                <w:sz w:val="16"/>
                <w:szCs w:val="16"/>
                <w:color w:val="auto"/>
              </w:rPr>
              <w:t>)</w:t>
            </w:r>
          </w:p>
        </w:tc>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33"/>
        </w:trPr>
        <w:tc>
          <w:tcPr>
            <w:tcW w:w="362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(480) 443-7000</w:t>
            </w:r>
          </w:p>
        </w:tc>
        <w:tc>
          <w:tcPr>
            <w:tcW w:w="3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12"/>
        </w:trPr>
        <w:tc>
          <w:tcPr>
            <w:tcW w:w="6920" w:type="dxa"/>
            <w:vAlign w:val="bottom"/>
            <w:gridSpan w:val="3"/>
          </w:tcPr>
          <w:p>
            <w:pPr>
              <w:jc w:val="center"/>
              <w:ind w:left="3239"/>
              <w:spacing w:after="0"/>
              <w:rPr>
                <w:sz w:val="20"/>
                <w:szCs w:val="20"/>
                <w:color w:val="auto"/>
              </w:rPr>
            </w:pP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6"/>
                <w:szCs w:val="16"/>
                <w:i w:val="1"/>
                <w:iCs w:val="1"/>
                <w:color w:val="auto"/>
                <w:w w:val="99"/>
              </w:rPr>
              <w:t>Registrant’s telephone number, including area code</w:t>
            </w:r>
            <w:r>
              <w:rPr>
                <w:rFonts w:ascii="Times New Roman" w:cs="Times New Roman" w:eastAsia="Times New Roman" w:hAnsi="Times New Roman"/>
                <w:sz w:val="16"/>
                <w:szCs w:val="16"/>
                <w:color w:val="auto"/>
                <w:w w:val="99"/>
              </w:rPr>
              <w:t>)</w:t>
            </w:r>
          </w:p>
        </w:tc>
        <w:tc>
          <w:tcPr>
            <w:tcW w:w="3160" w:type="dxa"/>
            <w:vAlign w:val="bottom"/>
          </w:tcPr>
          <w:p>
            <w:pPr>
              <w:spacing w:after="0"/>
              <w:rPr>
                <w:sz w:val="18"/>
                <w:szCs w:val="18"/>
                <w:color w:val="auto"/>
              </w:rPr>
            </w:pPr>
          </w:p>
        </w:tc>
      </w:tr>
      <w:tr>
        <w:trPr>
          <w:trHeight w:val="459"/>
        </w:trPr>
        <w:tc>
          <w:tcPr>
            <w:tcW w:w="10080" w:type="dxa"/>
            <w:vAlign w:val="bottom"/>
            <w:gridSpan w:val="4"/>
          </w:tcPr>
          <w:p>
            <w:pPr>
              <w:jc w:val="center"/>
              <w:ind w:left="9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405"/>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(Title of Each Class)</w:t>
            </w:r>
          </w:p>
        </w:tc>
        <w:tc>
          <w:tcPr>
            <w:tcW w:w="33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i w:val="1"/>
                <w:iCs w:val="1"/>
                <w:color w:val="auto"/>
              </w:rPr>
              <w:t>(Trading Symbol)</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(Name of Each Exchange on Which Registered)</w:t>
            </w:r>
          </w:p>
        </w:tc>
      </w:tr>
      <w:tr>
        <w:trPr>
          <w:trHeight w:val="243"/>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tc>
        <w:tc>
          <w:tcPr>
            <w:tcW w:w="33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VRRM</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Capital Market</w:t>
            </w:r>
          </w:p>
        </w:tc>
      </w:tr>
      <w:tr>
        <w:trPr>
          <w:trHeight w:val="243"/>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to purchase Class A Common Stock</w:t>
            </w:r>
          </w:p>
        </w:tc>
        <w:tc>
          <w:tcPr>
            <w:tcW w:w="33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VRRMW</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OTC Pink Marketplace</w:t>
            </w:r>
          </w:p>
        </w:tc>
      </w:tr>
    </w:tbl>
    <w:p>
      <w:pPr>
        <w:spacing w:after="0" w:line="235" w:lineRule="exact"/>
        <w:rPr>
          <w:sz w:val="24"/>
          <w:szCs w:val="24"/>
          <w:color w:val="auto"/>
        </w:rPr>
      </w:pPr>
    </w:p>
    <w:p>
      <w:pPr>
        <w:jc w:val="both"/>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spacing w:after="0" w:line="196" w:lineRule="exact"/>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the Exchange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360" w:type="dxa"/>
            <w:vAlign w:val="bottom"/>
          </w:tcPr>
          <w:p>
            <w:pPr>
              <w:ind w:left="32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October 31, 2022, there were 149,875,708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9"/>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VERRA MOBILITY CORPORATION</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7"/>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80" w:type="dxa"/>
            <w:vAlign w:val="bottom"/>
            <w:gridSpan w:val="11"/>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FOR THE QUARTER ENDED SEPTEMBER 30, 2022</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7"/>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I—FINANCIAL INFORMATION</w:t>
            </w:r>
          </w:p>
        </w:tc>
        <w:tc>
          <w:tcPr>
            <w:tcW w:w="6220" w:type="dxa"/>
            <w:vAlign w:val="bottom"/>
            <w:gridSpan w:val="12"/>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24"/>
                <w:szCs w:val="24"/>
                <w:color w:val="auto"/>
              </w:rPr>
            </w:pPr>
          </w:p>
        </w:tc>
        <w:tc>
          <w:tcPr>
            <w:tcW w:w="5520" w:type="dxa"/>
            <w:vAlign w:val="bottom"/>
            <w:gridSpan w:val="9"/>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1320" w:type="dxa"/>
            <w:vAlign w:val="bottom"/>
            <w:tcBorders>
              <w:top w:val="single" w:sz="8" w:color="0000FF"/>
            </w:tcBorders>
          </w:tcPr>
          <w:p>
            <w:pPr>
              <w:spacing w:after="0"/>
              <w:rPr>
                <w:sz w:val="24"/>
                <w:szCs w:val="24"/>
                <w:color w:val="auto"/>
              </w:rPr>
            </w:pPr>
          </w:p>
        </w:tc>
        <w:tc>
          <w:tcPr>
            <w:tcW w:w="2760" w:type="dxa"/>
            <w:vAlign w:val="bottom"/>
            <w:gridSpan w:val="2"/>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24"/>
                <w:szCs w:val="24"/>
                <w:color w:val="auto"/>
              </w:rPr>
            </w:pPr>
          </w:p>
        </w:tc>
        <w:tc>
          <w:tcPr>
            <w:tcW w:w="4740" w:type="dxa"/>
            <w:vAlign w:val="bottom"/>
            <w:gridSpan w:val="7"/>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20" w:type="dxa"/>
            <w:vAlign w:val="bottom"/>
            <w:tcBorders>
              <w:bottom w:val="single" w:sz="8" w:color="0000EE"/>
            </w:tcBorders>
          </w:tcPr>
          <w:p>
            <w:pPr>
              <w:spacing w:after="0"/>
              <w:rPr>
                <w:sz w:val="24"/>
                <w:szCs w:val="24"/>
                <w:color w:val="auto"/>
              </w:rPr>
            </w:pPr>
          </w:p>
        </w:tc>
        <w:tc>
          <w:tcPr>
            <w:tcW w:w="4200" w:type="dxa"/>
            <w:vAlign w:val="bottom"/>
            <w:gridSpan w:val="5"/>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160" w:type="dxa"/>
            <w:vAlign w:val="bottom"/>
            <w:tcBorders>
              <w:left w:val="single" w:sz="8" w:color="0000FF"/>
            </w:tcBorders>
            <w:gridSpan w:val="4"/>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gridSpan w:val="2"/>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6520" w:type="dxa"/>
            <w:vAlign w:val="bottom"/>
            <w:gridSpan w:val="13"/>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180" w:type="dxa"/>
            <w:vAlign w:val="bottom"/>
            <w:gridSpan w:val="11"/>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740" w:type="dxa"/>
            <w:vAlign w:val="bottom"/>
            <w:gridSpan w:val="14"/>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180" w:type="dxa"/>
            <w:vAlign w:val="bottom"/>
            <w:gridSpan w:val="16"/>
          </w:tcPr>
          <w:p>
            <w:pPr>
              <w:spacing w:after="0" w:line="20" w:lineRule="exact"/>
              <w:rPr>
                <w:sz w:val="1"/>
                <w:szCs w:val="1"/>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gridSpan w:val="2"/>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900" w:type="dxa"/>
            <w:vAlign w:val="bottom"/>
            <w:gridSpan w:val="18"/>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8220" w:type="dxa"/>
            <w:vAlign w:val="bottom"/>
            <w:gridSpan w:val="19"/>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709"/>
        </w:trPr>
        <w:tc>
          <w:tcPr>
            <w:tcW w:w="6640" w:type="dxa"/>
            <w:vAlign w:val="bottom"/>
            <w:gridSpan w:val="21"/>
          </w:tcPr>
          <w:p>
            <w:pPr>
              <w:jc w:val="center"/>
              <w:ind w:left="4510"/>
              <w:spacing w:after="0"/>
              <w:rPr>
                <w:sz w:val="20"/>
                <w:szCs w:val="20"/>
                <w:color w:val="auto"/>
              </w:rPr>
            </w:pPr>
            <w:r>
              <w:rPr>
                <w:rFonts w:ascii="Times New Roman" w:cs="Times New Roman" w:eastAsia="Times New Roman" w:hAnsi="Times New Roman"/>
                <w:sz w:val="18"/>
                <w:szCs w:val="18"/>
                <w:color w:val="auto"/>
                <w:w w:val="88"/>
              </w:rPr>
              <w:t>2</w:t>
            </w:r>
          </w:p>
        </w:tc>
        <w:tc>
          <w:tcPr>
            <w:tcW w:w="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374"/>
        <w:spacing w:after="0" w:line="24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of this Quarterly Report on Form 10-Q and in Part I, Item 1A. “Risk Factors” of our Annual Report on Form 10-K for the year ended December 31, 2021.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Factors that could cause actual results to differ materially from those expressed or implied in forward-looking statements include, among other things:</w:t>
      </w:r>
    </w:p>
    <w:p>
      <w:pPr>
        <w:spacing w:after="0" w:line="117" w:lineRule="exact"/>
        <w:rPr>
          <w:sz w:val="20"/>
          <w:szCs w:val="20"/>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government contracts, including legislative changes, termination rights, delays in payments, audits and investigations;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in our Commercial Services and Government Solutions segments;</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business and results of operations as a result of the novel coronavirus pandemic, including variant strains (“</w:t>
      </w: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revenues from key customers in our Commercial Services, Government Solutions and Parking Solutions segments;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prevalence of automated and other similar methods of photo enforcement, parking solutions or the use of tolling;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interest in outsourcing from our customers;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perform under our contracts and otherwise satisfy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a highly competitive and rapidly evolving market;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up with technological developments and changing customer preferences;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new products and changes to existing products and services;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acquisition strategy or integrate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or breaches of our networks or systems, including as a result of cyber-attacks;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uncertainties and exposures related to our international operations;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necessary intellectual property and adequately protect our existing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substantial level of indebtedness;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vendors and service providers;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share repurchase program;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litigation, disputes and regulatory investigations.</w:t>
      </w:r>
    </w:p>
    <w:p>
      <w:pPr>
        <w:spacing w:after="0" w:line="212"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occur. Moreover, we operate in a very competitive and rapidly changing environment. New risks emerge from time to time. It is not possible for our management to predict all risks, nor can we assess the effect of all factors on our business or the extent to which any factor, or combination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of factors, may cause actual results to differ materially from those contained in any forward-looking statements we may make. We undertake no obligation to update any of these forward-looking statements for any reason after the date of this Quarterly Report on Form 10-Q or to conform these statements to actual results or revised expectations.</w:t>
      </w:r>
    </w:p>
    <w:p>
      <w:pPr>
        <w:spacing w:after="0" w:line="169"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1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the terms “Verra Mobility,” the “Company,” “we,” “us,” and “our” as used in this Quarterly Report on Form 10-Q refer to Verra Mobility Corporation, a Delaware corporation, and its subsidiaries taken as a whole.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0"/>
        </w:trPr>
        <w:tc>
          <w:tcPr>
            <w:tcW w:w="20" w:type="dxa"/>
            <w:vAlign w:val="bottom"/>
          </w:tcPr>
          <w:p>
            <w:pPr>
              <w:spacing w:after="0"/>
              <w:rPr>
                <w:sz w:val="15"/>
                <w:szCs w:val="15"/>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 except per share data)</w:t>
            </w:r>
          </w:p>
        </w:tc>
        <w:tc>
          <w:tcPr>
            <w:tcW w:w="240" w:type="dxa"/>
            <w:vAlign w:val="bottom"/>
          </w:tcPr>
          <w:p>
            <w:pPr>
              <w:spacing w:after="0"/>
              <w:rPr>
                <w:sz w:val="15"/>
                <w:szCs w:val="15"/>
                <w:color w:val="auto"/>
              </w:rPr>
            </w:pPr>
          </w:p>
        </w:tc>
        <w:tc>
          <w:tcPr>
            <w:tcW w:w="138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16"/>
        </w:trPr>
        <w:tc>
          <w:tcPr>
            <w:tcW w:w="20" w:type="dxa"/>
            <w:vAlign w:val="bottom"/>
            <w:shd w:val="clear" w:color="auto" w:fill="CFF0FC"/>
          </w:tcPr>
          <w:p>
            <w:pPr>
              <w:spacing w:after="0"/>
              <w:rPr>
                <w:sz w:val="18"/>
                <w:szCs w:val="18"/>
                <w:color w:val="auto"/>
              </w:rPr>
            </w:pPr>
          </w:p>
        </w:tc>
        <w:tc>
          <w:tcPr>
            <w:tcW w:w="2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1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51,576</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101,283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18"/>
                <w:szCs w:val="18"/>
                <w:color w:val="auto"/>
              </w:rPr>
            </w:pPr>
          </w:p>
        </w:tc>
      </w:tr>
      <w:tr>
        <w:trPr>
          <w:trHeight w:val="171"/>
        </w:trPr>
        <w:tc>
          <w:tcPr>
            <w:tcW w:w="20" w:type="dxa"/>
            <w:vAlign w:val="bottom"/>
            <w:shd w:val="clear" w:color="auto" w:fill="CFF0FC"/>
          </w:tcPr>
          <w:p>
            <w:pPr>
              <w:spacing w:after="0"/>
              <w:rPr>
                <w:sz w:val="14"/>
                <w:szCs w:val="14"/>
                <w:color w:val="auto"/>
              </w:rPr>
            </w:pPr>
          </w:p>
        </w:tc>
        <w:tc>
          <w:tcPr>
            <w:tcW w:w="7540" w:type="dxa"/>
            <w:vAlign w:val="bottom"/>
            <w:gridSpan w:val="2"/>
            <w:shd w:val="clear" w:color="auto" w:fill="CFF0FC"/>
          </w:tcPr>
          <w:p>
            <w:pPr>
              <w:ind w:left="180"/>
              <w:spacing w:after="0" w:line="170"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$17.7 million and</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20" w:type="dxa"/>
            <w:vAlign w:val="bottom"/>
            <w:shd w:val="clear" w:color="auto" w:fill="CFF0FC"/>
          </w:tcPr>
          <w:p>
            <w:pPr>
              <w:spacing w:after="0"/>
              <w:rPr>
                <w:sz w:val="20"/>
                <w:szCs w:val="20"/>
                <w:color w:val="auto"/>
              </w:rPr>
            </w:pPr>
          </w:p>
        </w:tc>
        <w:tc>
          <w:tcPr>
            <w:tcW w:w="7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$12.1 million at September 30, 2022 and December 31, 2021, respectively)</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175,153</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160,979</w:t>
            </w:r>
          </w:p>
        </w:tc>
        <w:tc>
          <w:tcPr>
            <w:tcW w:w="1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29,109</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17,922</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35,955</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41,456</w:t>
            </w:r>
          </w:p>
        </w:tc>
        <w:tc>
          <w:tcPr>
            <w:tcW w:w="100" w:type="dxa"/>
            <w:vAlign w:val="bottom"/>
          </w:tcPr>
          <w:p>
            <w:pPr>
              <w:spacing w:after="0"/>
              <w:rPr>
                <w:sz w:val="18"/>
                <w:szCs w:val="18"/>
                <w:color w:val="auto"/>
              </w:rPr>
            </w:pPr>
          </w:p>
        </w:tc>
      </w:tr>
      <w:tr>
        <w:trPr>
          <w:trHeight w:val="210"/>
        </w:trPr>
        <w:tc>
          <w:tcPr>
            <w:tcW w:w="7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317,443</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348,069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Installation and service parts, net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105,268</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96,066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38,862</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399,992</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487,299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827,694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838,867</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75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1,718,333</w:t>
            </w:r>
          </w:p>
        </w:tc>
        <w:tc>
          <w:tcPr>
            <w:tcW w:w="3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1,837,056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6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69,135</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67,556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45,068</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 portion</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75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161,087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175,191</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1,204,006</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1,206,802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34,984</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 receivable agreement liability, net of current portion</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55,650</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Private placement warrant liabilities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47,524</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75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1,523,442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1,577,092</w:t>
            </w:r>
          </w:p>
        </w:tc>
        <w:tc>
          <w:tcPr>
            <w:tcW w:w="100" w:type="dxa"/>
            <w:vAlign w:val="bottom"/>
          </w:tcPr>
          <w:p>
            <w:pPr>
              <w:spacing w:after="0"/>
              <w:rPr>
                <w:sz w:val="18"/>
                <w:szCs w:val="18"/>
                <w:color w:val="auto"/>
              </w:rPr>
            </w:pPr>
          </w:p>
        </w:tc>
      </w:tr>
      <w:tr>
        <w:trPr>
          <w:trHeight w:val="216"/>
        </w:trPr>
        <w:tc>
          <w:tcPr>
            <w:tcW w:w="7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Preferred stock, $0.0001 par value</w:t>
            </w:r>
          </w:p>
        </w:tc>
        <w:tc>
          <w:tcPr>
            <w:tcW w:w="2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Common stock contingent consideration</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36,575</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307,471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309,883</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(128,236 )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(81,416 )</w:t>
            </w:r>
          </w:p>
        </w:tc>
      </w:tr>
      <w:tr>
        <w:trPr>
          <w:trHeight w:val="216"/>
        </w:trPr>
        <w:tc>
          <w:tcPr>
            <w:tcW w:w="20" w:type="dxa"/>
            <w:vAlign w:val="bottom"/>
          </w:tcPr>
          <w:p>
            <w:pPr>
              <w:spacing w:after="0"/>
              <w:rPr>
                <w:sz w:val="18"/>
                <w:szCs w:val="18"/>
                <w:color w:val="auto"/>
              </w:rPr>
            </w:pPr>
          </w:p>
        </w:tc>
        <w:tc>
          <w:tcPr>
            <w:tcW w:w="7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(20,934 )</w:t>
            </w: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(5,094 )</w:t>
            </w:r>
          </w:p>
        </w:tc>
      </w:tr>
      <w:tr>
        <w:trPr>
          <w:trHeight w:val="210"/>
        </w:trPr>
        <w:tc>
          <w:tcPr>
            <w:tcW w:w="75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194,891</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1,718,333</w:t>
            </w:r>
          </w:p>
        </w:tc>
        <w:tc>
          <w:tcPr>
            <w:tcW w:w="3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1,837,056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-3796665</wp:posOffset>
            </wp:positionV>
            <wp:extent cx="685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-2665095</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-1559560</wp:posOffset>
            </wp:positionV>
            <wp:extent cx="6858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41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 except per share data)</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2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180,617</w:t>
            </w: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141,811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516,253</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3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39,275</w:t>
            </w:r>
          </w:p>
        </w:tc>
        <w:tc>
          <w:tcPr>
            <w:tcW w:w="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3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197,656</w:t>
            </w: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162,095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555,528</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25,638</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60,536</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166,795</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41,126</w:t>
            </w: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122,913</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54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8"/>
                <w:szCs w:val="18"/>
                <w:color w:val="auto"/>
              </w:rPr>
              <w:t>Depreciation, amortization and (gain) loss on</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40" w:type="dxa"/>
            <w:vAlign w:val="bottom"/>
            <w:tcBorders>
              <w:bottom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disposal of assets, net</w:t>
            </w:r>
          </w:p>
        </w:tc>
        <w:tc>
          <w:tcPr>
            <w:tcW w:w="10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38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29,529</w:t>
            </w:r>
          </w:p>
        </w:tc>
        <w:tc>
          <w:tcPr>
            <w:tcW w:w="26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105,881</w:t>
            </w:r>
          </w:p>
        </w:tc>
        <w:tc>
          <w:tcPr>
            <w:tcW w:w="36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FF0FC"/>
            </w:tcBorders>
            <w:shd w:val="clear" w:color="auto" w:fill="CFF0FC"/>
          </w:tcPr>
          <w:p>
            <w:pPr>
              <w:spacing w:after="0"/>
              <w:rPr>
                <w:sz w:val="18"/>
                <w:szCs w:val="18"/>
                <w:color w:val="auto"/>
              </w:rPr>
            </w:pPr>
          </w:p>
        </w:tc>
        <w:tc>
          <w:tcPr>
            <w:tcW w:w="35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152,158</w:t>
            </w:r>
          </w:p>
        </w:tc>
        <w:tc>
          <w:tcPr>
            <w:tcW w:w="3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120,221</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432,863</w:t>
            </w:r>
          </w:p>
        </w:tc>
        <w:tc>
          <w:tcPr>
            <w:tcW w:w="3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45,498</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122,665</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20,260</w:t>
            </w: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49,024</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540" w:type="dxa"/>
            <w:vAlign w:val="bottom"/>
            <w:gridSpan w:val="3"/>
          </w:tcPr>
          <w:p>
            <w:pPr>
              <w:ind w:left="20"/>
              <w:spacing w:after="0" w:line="170" w:lineRule="exact"/>
              <w:rPr>
                <w:sz w:val="20"/>
                <w:szCs w:val="20"/>
                <w:color w:val="auto"/>
              </w:rPr>
            </w:pPr>
            <w:r>
              <w:rPr>
                <w:rFonts w:ascii="Times New Roman" w:cs="Times New Roman" w:eastAsia="Times New Roman" w:hAnsi="Times New Roman"/>
                <w:sz w:val="18"/>
                <w:szCs w:val="18"/>
                <w:color w:val="auto"/>
              </w:rPr>
              <w:t>Change in fair value of private placement</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0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(2,267 )</w:t>
            </w:r>
          </w:p>
        </w:tc>
        <w:tc>
          <w:tcPr>
            <w:tcW w:w="10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(5,067 )</w:t>
            </w:r>
          </w:p>
        </w:tc>
        <w:tc>
          <w:tcPr>
            <w:tcW w:w="38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(5,133 )</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10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(965 )</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0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(3,005 )</w:t>
            </w:r>
          </w:p>
        </w:tc>
        <w:tc>
          <w:tcPr>
            <w:tcW w:w="10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(3,005 )</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(2,462 )</w:t>
            </w:r>
          </w:p>
        </w:tc>
        <w:tc>
          <w:tcPr>
            <w:tcW w:w="10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(3,494 )</w:t>
            </w:r>
          </w:p>
        </w:tc>
        <w:tc>
          <w:tcPr>
            <w:tcW w:w="3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(9,367 )</w:t>
            </w: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(9,305 )</w:t>
            </w:r>
          </w:p>
        </w:tc>
        <w:tc>
          <w:tcPr>
            <w:tcW w:w="0" w:type="dxa"/>
            <w:vAlign w:val="bottom"/>
          </w:tcPr>
          <w:p>
            <w:pPr>
              <w:spacing w:after="0"/>
              <w:rPr>
                <w:sz w:val="1"/>
                <w:szCs w:val="1"/>
                <w:color w:val="auto"/>
              </w:rPr>
            </w:pPr>
          </w:p>
        </w:tc>
      </w:tr>
      <w:tr>
        <w:trPr>
          <w:trHeight w:val="209"/>
        </w:trPr>
        <w:tc>
          <w:tcPr>
            <w:tcW w:w="20" w:type="dxa"/>
            <w:vAlign w:val="bottom"/>
            <w:tcBorders>
              <w:top w:val="single" w:sz="8" w:color="CFF0FC"/>
            </w:tcBorders>
          </w:tcPr>
          <w:p>
            <w:pPr>
              <w:spacing w:after="0"/>
              <w:rPr>
                <w:sz w:val="18"/>
                <w:szCs w:val="18"/>
                <w:color w:val="auto"/>
              </w:rPr>
            </w:pPr>
          </w:p>
        </w:tc>
        <w:tc>
          <w:tcPr>
            <w:tcW w:w="35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10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12,526</w:t>
            </w:r>
          </w:p>
        </w:tc>
        <w:tc>
          <w:tcPr>
            <w:tcW w:w="38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30,554</w:t>
            </w:r>
          </w:p>
        </w:tc>
        <w:tc>
          <w:tcPr>
            <w:tcW w:w="36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32,972</w:t>
            </w: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92,111</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3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3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35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0" w:type="dxa"/>
            <w:vAlign w:val="bottom"/>
            <w:tcBorders>
              <w:bottom w:val="single" w:sz="8" w:color="auto"/>
            </w:tcBorders>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3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27,306</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64,257</w:t>
            </w:r>
          </w:p>
        </w:tc>
        <w:tc>
          <w:tcPr>
            <w:tcW w:w="3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540" w:type="dxa"/>
            <w:vAlign w:val="bottom"/>
            <w:gridSpan w:val="3"/>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Change in foreign currency translation</w:t>
            </w:r>
          </w:p>
        </w:tc>
        <w:tc>
          <w:tcPr>
            <w:tcW w:w="10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10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(8,167 )</w:t>
            </w:r>
          </w:p>
        </w:tc>
        <w:tc>
          <w:tcPr>
            <w:tcW w:w="10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(3,818 )</w:t>
            </w:r>
          </w:p>
        </w:tc>
        <w:tc>
          <w:tcPr>
            <w:tcW w:w="3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(15,840 )</w:t>
            </w:r>
          </w:p>
        </w:tc>
        <w:tc>
          <w:tcPr>
            <w:tcW w:w="4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(3,657 )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000" w:type="dxa"/>
            <w:vAlign w:val="bottom"/>
            <w:tcBorders>
              <w:top w:val="single" w:sz="8" w:color="auto"/>
              <w:bottom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16,409</w:t>
            </w:r>
          </w:p>
        </w:tc>
        <w:tc>
          <w:tcPr>
            <w:tcW w:w="3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2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48,417</w:t>
            </w:r>
          </w:p>
        </w:tc>
        <w:tc>
          <w:tcPr>
            <w:tcW w:w="3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w:t>
            </w: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380" w:type="dxa"/>
            <w:vAlign w:val="bottom"/>
          </w:tcPr>
          <w:p>
            <w:pPr>
              <w:spacing w:after="0"/>
              <w:rPr>
                <w:sz w:val="18"/>
                <w:szCs w:val="18"/>
                <w:color w:val="auto"/>
              </w:rPr>
            </w:pP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3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151,429</w:t>
            </w: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159,358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154,067</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158,304</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165,431</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160,433</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-3109595</wp:posOffset>
            </wp:positionV>
            <wp:extent cx="7145020" cy="304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020" cy="30416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-1999615</wp:posOffset>
            </wp:positionV>
            <wp:extent cx="7747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-1999615</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-1999615</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-1999615</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-1425575</wp:posOffset>
            </wp:positionV>
            <wp:extent cx="384873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48735" cy="16319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1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Nine Months Ended September 30, 2022</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3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36"/>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gridSpan w:val="3"/>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40" w:type="dxa"/>
            <w:vAlign w:val="bottom"/>
            <w:gridSpan w:val="2"/>
          </w:tcPr>
          <w:p>
            <w:pPr>
              <w:jc w:val="center"/>
              <w:ind w:right="275"/>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continue"/>
          </w:tcPr>
          <w:p>
            <w:pPr>
              <w:spacing w:after="0"/>
              <w:rPr>
                <w:sz w:val="15"/>
                <w:szCs w:val="15"/>
                <w:color w:val="auto"/>
              </w:rPr>
            </w:pPr>
          </w:p>
        </w:tc>
        <w:tc>
          <w:tcPr>
            <w:tcW w:w="1380" w:type="dxa"/>
            <w:vAlign w:val="bottom"/>
            <w:gridSpan w:val="3"/>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Pr>
          <w:p>
            <w:pPr>
              <w:spacing w:after="0"/>
              <w:rPr>
                <w:sz w:val="14"/>
                <w:szCs w:val="14"/>
                <w:color w:val="auto"/>
              </w:rPr>
            </w:pPr>
          </w:p>
        </w:tc>
        <w:tc>
          <w:tcPr>
            <w:tcW w:w="880" w:type="dxa"/>
            <w:vAlign w:val="bottom"/>
            <w:tcBorders>
              <w:bottom w:val="single" w:sz="8" w:color="auto"/>
            </w:tcBorders>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6"/>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2021</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156,079</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36,575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309,883</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(81,416</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(5,094</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259,964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8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7"/>
                <w:szCs w:val="17"/>
                <w:color w:val="auto"/>
              </w:rPr>
              <w:t>Vesting of restricted stock units</w:t>
            </w: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780" w:type="dxa"/>
            <w:vAlign w:val="bottom"/>
            <w:gridSpan w:val="3"/>
            <w:shd w:val="clear" w:color="auto" w:fill="CFF0FC"/>
          </w:tcPr>
          <w:p>
            <w:pPr>
              <w:ind w:left="20"/>
              <w:spacing w:after="0" w:line="154" w:lineRule="exact"/>
              <w:rPr>
                <w:sz w:val="20"/>
                <w:szCs w:val="20"/>
                <w:color w:val="auto"/>
              </w:rPr>
            </w:pPr>
            <w:r>
              <w:rPr>
                <w:rFonts w:ascii="Times New Roman" w:cs="Times New Roman" w:eastAsia="Times New Roman" w:hAnsi="Times New Roman"/>
                <w:sz w:val="17"/>
                <w:szCs w:val="17"/>
                <w:color w:val="auto"/>
              </w:rPr>
              <w:t>Payment of employee tax withholding</w:t>
            </w:r>
          </w:p>
        </w:tc>
        <w:tc>
          <w:tcPr>
            <w:tcW w:w="8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related to RSUs vesting</w:t>
            </w: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(1,436 )</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(1,436 )</w:t>
            </w: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780" w:type="dxa"/>
            <w:vAlign w:val="bottom"/>
            <w:gridSpan w:val="3"/>
            <w:shd w:val="clear" w:color="auto" w:fill="CFF0FC"/>
          </w:tcPr>
          <w:p>
            <w:pPr>
              <w:ind w:left="20"/>
              <w:spacing w:after="0" w:line="154" w:lineRule="exact"/>
              <w:rPr>
                <w:sz w:val="20"/>
                <w:szCs w:val="20"/>
                <w:color w:val="auto"/>
              </w:rPr>
            </w:pPr>
            <w:r>
              <w:rPr>
                <w:rFonts w:ascii="Times New Roman" w:cs="Times New Roman" w:eastAsia="Times New Roman" w:hAnsi="Times New Roman"/>
                <w:sz w:val="17"/>
                <w:szCs w:val="17"/>
                <w:color w:val="auto"/>
              </w:rPr>
              <w:t>Other comprehensive income, net of</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vMerge w:val="restart"/>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vMerge w:val="restart"/>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2,708</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2,708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tax</w:t>
            </w: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March 31,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156,240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36,575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312,986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(71,376 )</w:t>
            </w:r>
          </w:p>
        </w:tc>
        <w:tc>
          <w:tcPr>
            <w:tcW w:w="14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(2,386 )</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275,815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29,641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29,641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Share repurchases and retirement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(3,076 )</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(1 )</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(6,163 )</w:t>
            </w:r>
          </w:p>
        </w:tc>
        <w:tc>
          <w:tcPr>
            <w:tcW w:w="200" w:type="dxa"/>
            <w:vAlign w:val="bottom"/>
          </w:tcPr>
          <w:p>
            <w:pPr>
              <w:spacing w:after="0"/>
              <w:rPr>
                <w:sz w:val="17"/>
                <w:szCs w:val="17"/>
                <w:color w:val="auto"/>
              </w:rPr>
            </w:pPr>
          </w:p>
        </w:tc>
        <w:tc>
          <w:tcPr>
            <w:tcW w:w="10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(49,117 )</w:t>
            </w:r>
          </w:p>
        </w:tc>
        <w:tc>
          <w:tcPr>
            <w:tcW w:w="140" w:type="dxa"/>
            <w:vAlign w:val="bottom"/>
          </w:tcPr>
          <w:p>
            <w:pPr>
              <w:spacing w:after="0"/>
              <w:rPr>
                <w:sz w:val="17"/>
                <w:szCs w:val="17"/>
                <w:color w:val="auto"/>
              </w:rPr>
            </w:pPr>
          </w:p>
        </w:tc>
        <w:tc>
          <w:tcPr>
            <w:tcW w:w="12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(55,281 )</w:t>
            </w: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Vesting of RSUs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780" w:type="dxa"/>
            <w:vAlign w:val="bottom"/>
            <w:gridSpan w:val="3"/>
            <w:shd w:val="clear" w:color="auto" w:fill="CFF0FC"/>
          </w:tcPr>
          <w:p>
            <w:pPr>
              <w:ind w:left="20"/>
              <w:spacing w:after="0" w:line="154" w:lineRule="exact"/>
              <w:rPr>
                <w:sz w:val="20"/>
                <w:szCs w:val="20"/>
                <w:color w:val="auto"/>
              </w:rPr>
            </w:pPr>
            <w:r>
              <w:rPr>
                <w:rFonts w:ascii="Times New Roman" w:cs="Times New Roman" w:eastAsia="Times New Roman" w:hAnsi="Times New Roman"/>
                <w:sz w:val="17"/>
                <w:szCs w:val="17"/>
                <w:color w:val="auto"/>
              </w:rPr>
              <w:t>Payment of employee tax withholding</w:t>
            </w:r>
          </w:p>
        </w:tc>
        <w:tc>
          <w:tcPr>
            <w:tcW w:w="8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related to RSUs vesting</w:t>
            </w: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(203 )</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(203 )</w:t>
            </w: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(10,381 )</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(10,381 )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8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June 30,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153,220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36,575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311,252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(90,852 )</w:t>
            </w:r>
          </w:p>
        </w:tc>
        <w:tc>
          <w:tcPr>
            <w:tcW w:w="14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(12,767 )</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244,223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24,576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24,576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Share repurchases and retirement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(3,855 )</w:t>
            </w: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(7,830 )</w:t>
            </w:r>
          </w:p>
        </w:tc>
        <w:tc>
          <w:tcPr>
            <w:tcW w:w="200" w:type="dxa"/>
            <w:vAlign w:val="bottom"/>
          </w:tcPr>
          <w:p>
            <w:pPr>
              <w:spacing w:after="0"/>
              <w:rPr>
                <w:sz w:val="17"/>
                <w:szCs w:val="17"/>
                <w:color w:val="auto"/>
              </w:rPr>
            </w:pPr>
          </w:p>
        </w:tc>
        <w:tc>
          <w:tcPr>
            <w:tcW w:w="10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(61,960 )</w:t>
            </w:r>
          </w:p>
        </w:tc>
        <w:tc>
          <w:tcPr>
            <w:tcW w:w="140" w:type="dxa"/>
            <w:vAlign w:val="bottom"/>
          </w:tcPr>
          <w:p>
            <w:pPr>
              <w:spacing w:after="0"/>
              <w:rPr>
                <w:sz w:val="17"/>
                <w:szCs w:val="17"/>
                <w:color w:val="auto"/>
              </w:rPr>
            </w:pPr>
          </w:p>
        </w:tc>
        <w:tc>
          <w:tcPr>
            <w:tcW w:w="12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(69,790 )</w:t>
            </w: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Vesting of RSUs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780" w:type="dxa"/>
            <w:vAlign w:val="bottom"/>
            <w:gridSpan w:val="3"/>
            <w:shd w:val="clear" w:color="auto" w:fill="CFF0FC"/>
          </w:tcPr>
          <w:p>
            <w:pPr>
              <w:ind w:left="20"/>
              <w:spacing w:after="0" w:line="154" w:lineRule="exact"/>
              <w:rPr>
                <w:sz w:val="20"/>
                <w:szCs w:val="20"/>
                <w:color w:val="auto"/>
              </w:rPr>
            </w:pPr>
            <w:r>
              <w:rPr>
                <w:rFonts w:ascii="Times New Roman" w:cs="Times New Roman" w:eastAsia="Times New Roman" w:hAnsi="Times New Roman"/>
                <w:sz w:val="17"/>
                <w:szCs w:val="17"/>
                <w:color w:val="auto"/>
              </w:rPr>
              <w:t>Payment of employee tax withholding</w:t>
            </w:r>
          </w:p>
        </w:tc>
        <w:tc>
          <w:tcPr>
            <w:tcW w:w="8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related to RSUs vesting</w:t>
            </w: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(1,433 )</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(1,433 )</w:t>
            </w: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(8,167 )</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(8,167 )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8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September 30,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149,551</w:t>
            </w:r>
          </w:p>
        </w:tc>
        <w:tc>
          <w:tcPr>
            <w:tcW w:w="2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36,575</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307,471</w:t>
            </w:r>
          </w:p>
        </w:tc>
        <w:tc>
          <w:tcPr>
            <w:tcW w:w="2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(128,236 )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(20,934 )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194,891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-2477135</wp:posOffset>
            </wp:positionV>
            <wp:extent cx="7683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-2477135</wp:posOffset>
            </wp:positionV>
            <wp:extent cx="7683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-2477135</wp:posOffset>
            </wp:positionV>
            <wp:extent cx="7747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-2477135</wp:posOffset>
            </wp:positionV>
            <wp:extent cx="6858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-2477135</wp:posOffset>
            </wp:positionV>
            <wp:extent cx="6858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-2477135</wp:posOffset>
            </wp:positionV>
            <wp:extent cx="6858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-2477135</wp:posOffset>
            </wp:positionV>
            <wp:extent cx="6858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-1319530</wp:posOffset>
            </wp:positionV>
            <wp:extent cx="7683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-1319530</wp:posOffset>
            </wp:positionV>
            <wp:extent cx="7683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-1319530</wp:posOffset>
            </wp:positionV>
            <wp:extent cx="7747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-1319530</wp:posOffset>
            </wp:positionV>
            <wp:extent cx="6858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-1319530</wp:posOffset>
            </wp:positionV>
            <wp:extent cx="6858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-1319530</wp:posOffset>
            </wp:positionV>
            <wp:extent cx="6858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-162560</wp:posOffset>
            </wp:positionV>
            <wp:extent cx="76835"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-162560</wp:posOffset>
            </wp:positionV>
            <wp:extent cx="7683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-162560</wp:posOffset>
            </wp:positionV>
            <wp:extent cx="7747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-162560</wp:posOffset>
            </wp:positionV>
            <wp:extent cx="6858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-162560</wp:posOffset>
            </wp:positionV>
            <wp:extent cx="6858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-162560</wp:posOffset>
            </wp:positionV>
            <wp:extent cx="6858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41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Nine Months Ended September 30, 2021</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32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6"/>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gridSpan w:val="3"/>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2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continue"/>
          </w:tcPr>
          <w:p>
            <w:pPr>
              <w:spacing w:after="0"/>
              <w:rPr>
                <w:sz w:val="15"/>
                <w:szCs w:val="15"/>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Pr>
          <w:p>
            <w:pPr>
              <w:spacing w:after="0"/>
              <w:rPr>
                <w:sz w:val="14"/>
                <w:szCs w:val="14"/>
                <w:color w:val="auto"/>
              </w:rPr>
            </w:pPr>
          </w:p>
        </w:tc>
        <w:tc>
          <w:tcPr>
            <w:tcW w:w="880" w:type="dxa"/>
            <w:vAlign w:val="bottom"/>
            <w:tcBorders>
              <w:bottom w:val="single" w:sz="8" w:color="auto"/>
            </w:tcBorders>
          </w:tcPr>
          <w:p>
            <w:pPr>
              <w:jc w:val="right"/>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5"/>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6"/>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2020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162,269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36,575</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373,620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(94,850</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315,572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(8,915 )</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(8,915 )</w:t>
            </w: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Vesting of RSUs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4"/>
        </w:trPr>
        <w:tc>
          <w:tcPr>
            <w:tcW w:w="278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7"/>
                <w:szCs w:val="17"/>
                <w:color w:val="auto"/>
              </w:rPr>
              <w:t>Payment of employee tax withholding</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related to RSUs vesting</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(857 )</w:t>
            </w:r>
          </w:p>
        </w:tc>
        <w:tc>
          <w:tcPr>
            <w:tcW w:w="200" w:type="dxa"/>
            <w:vAlign w:val="bottom"/>
          </w:tcPr>
          <w:p>
            <w:pPr>
              <w:spacing w:after="0"/>
              <w:rPr>
                <w:sz w:val="20"/>
                <w:szCs w:val="20"/>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(857 )</w:t>
            </w:r>
          </w:p>
        </w:tc>
        <w:tc>
          <w:tcPr>
            <w:tcW w:w="0" w:type="dxa"/>
            <w:vAlign w:val="bottom"/>
          </w:tcPr>
          <w:p>
            <w:pPr>
              <w:spacing w:after="0"/>
              <w:rPr>
                <w:sz w:val="1"/>
                <w:szCs w:val="1"/>
                <w:color w:val="auto"/>
              </w:rPr>
            </w:pPr>
          </w:p>
        </w:tc>
      </w:tr>
      <w:tr>
        <w:trPr>
          <w:trHeight w:val="204"/>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(190 )</w:t>
            </w:r>
          </w:p>
        </w:tc>
        <w:tc>
          <w:tcPr>
            <w:tcW w:w="2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(190 )</w:t>
            </w:r>
          </w:p>
        </w:tc>
        <w:tc>
          <w:tcPr>
            <w:tcW w:w="0" w:type="dxa"/>
            <w:vAlign w:val="bottom"/>
          </w:tcPr>
          <w:p>
            <w:pPr>
              <w:spacing w:after="0"/>
              <w:rPr>
                <w:sz w:val="1"/>
                <w:szCs w:val="1"/>
                <w:color w:val="auto"/>
              </w:rPr>
            </w:pPr>
          </w:p>
        </w:tc>
      </w:tr>
      <w:tr>
        <w:trPr>
          <w:trHeight w:val="196"/>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March 31, 2021</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162,360</w:t>
            </w: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36,575</w:t>
            </w: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375,671</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(103,765</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308,518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Vesting of RSUs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780" w:type="dxa"/>
            <w:vAlign w:val="bottom"/>
            <w:gridSpan w:val="3"/>
            <w:shd w:val="clear" w:color="auto" w:fill="CFF0FC"/>
          </w:tcPr>
          <w:p>
            <w:pPr>
              <w:ind w:left="20"/>
              <w:spacing w:after="0" w:line="154" w:lineRule="exact"/>
              <w:rPr>
                <w:sz w:val="20"/>
                <w:szCs w:val="20"/>
                <w:color w:val="auto"/>
              </w:rPr>
            </w:pPr>
            <w:r>
              <w:rPr>
                <w:rFonts w:ascii="Times New Roman" w:cs="Times New Roman" w:eastAsia="Times New Roman" w:hAnsi="Times New Roman"/>
                <w:sz w:val="17"/>
                <w:szCs w:val="17"/>
                <w:color w:val="auto"/>
              </w:rPr>
              <w:t>Payment of employee tax withholding</w:t>
            </w:r>
          </w:p>
        </w:tc>
        <w:tc>
          <w:tcPr>
            <w:tcW w:w="8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related to RSUs vesting</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(96 )</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(96 )</w:t>
            </w: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780" w:type="dxa"/>
            <w:vAlign w:val="bottom"/>
            <w:gridSpan w:val="3"/>
            <w:shd w:val="clear" w:color="auto" w:fill="CFF0FC"/>
          </w:tcPr>
          <w:p>
            <w:pPr>
              <w:ind w:left="20"/>
              <w:spacing w:after="0" w:line="154" w:lineRule="exact"/>
              <w:rPr>
                <w:sz w:val="20"/>
                <w:szCs w:val="20"/>
                <w:color w:val="auto"/>
              </w:rPr>
            </w:pPr>
            <w:r>
              <w:rPr>
                <w:rFonts w:ascii="Times New Roman" w:cs="Times New Roman" w:eastAsia="Times New Roman" w:hAnsi="Times New Roman"/>
                <w:sz w:val="17"/>
                <w:szCs w:val="17"/>
                <w:color w:val="auto"/>
              </w:rPr>
              <w:t>Other comprehensive income, net of</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vMerge w:val="restart"/>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tax</w:t>
            </w: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June 30,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162,408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36,575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379,235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(99,773 )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27,306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27,306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Share repurchase and retirement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(6,849 )</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(71,985 )</w:t>
            </w:r>
          </w:p>
        </w:tc>
        <w:tc>
          <w:tcPr>
            <w:tcW w:w="200" w:type="dxa"/>
            <w:vAlign w:val="bottom"/>
          </w:tcPr>
          <w:p>
            <w:pPr>
              <w:spacing w:after="0"/>
              <w:rPr>
                <w:sz w:val="17"/>
                <w:szCs w:val="17"/>
                <w:color w:val="auto"/>
              </w:rPr>
            </w:pPr>
          </w:p>
        </w:tc>
        <w:tc>
          <w:tcPr>
            <w:tcW w:w="10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(28,015 )</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(100,000 )</w:t>
            </w: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Vesting of RSUs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780" w:type="dxa"/>
            <w:vAlign w:val="bottom"/>
            <w:gridSpan w:val="3"/>
            <w:shd w:val="clear" w:color="auto" w:fill="CFF0FC"/>
          </w:tcPr>
          <w:p>
            <w:pPr>
              <w:ind w:left="20"/>
              <w:spacing w:after="0" w:line="154" w:lineRule="exact"/>
              <w:rPr>
                <w:sz w:val="20"/>
                <w:szCs w:val="20"/>
                <w:color w:val="auto"/>
              </w:rPr>
            </w:pPr>
            <w:r>
              <w:rPr>
                <w:rFonts w:ascii="Times New Roman" w:cs="Times New Roman" w:eastAsia="Times New Roman" w:hAnsi="Times New Roman"/>
                <w:sz w:val="17"/>
                <w:szCs w:val="17"/>
                <w:color w:val="auto"/>
              </w:rPr>
              <w:t>Adjustment to employee tax</w:t>
            </w:r>
          </w:p>
        </w:tc>
        <w:tc>
          <w:tcPr>
            <w:tcW w:w="8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withholding related to RSUs vesting</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(3,818 )</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(3,818 )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8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September 30,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155,564</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36,575</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311,003</w:t>
            </w:r>
          </w:p>
        </w:tc>
        <w:tc>
          <w:tcPr>
            <w:tcW w:w="2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(100,482 )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(3,446 )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243,666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-1319530</wp:posOffset>
            </wp:positionV>
            <wp:extent cx="7683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-1319530</wp:posOffset>
            </wp:positionV>
            <wp:extent cx="7683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-1319530</wp:posOffset>
            </wp:positionV>
            <wp:extent cx="7747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-1319530</wp:posOffset>
            </wp:positionV>
            <wp:extent cx="7747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-1319530</wp:posOffset>
            </wp:positionV>
            <wp:extent cx="6858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-1319530</wp:posOffset>
            </wp:positionV>
            <wp:extent cx="6858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-161925</wp:posOffset>
            </wp:positionV>
            <wp:extent cx="76835"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-161925</wp:posOffset>
            </wp:positionV>
            <wp:extent cx="76835"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-161925</wp:posOffset>
            </wp:positionV>
            <wp:extent cx="7747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-161925</wp:posOffset>
            </wp:positionV>
            <wp:extent cx="7747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-161925</wp:posOffset>
            </wp:positionV>
            <wp:extent cx="6858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-161925</wp:posOffset>
            </wp:positionV>
            <wp:extent cx="6858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left="41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20" w:type="dxa"/>
            <w:vAlign w:val="bottom"/>
          </w:tcPr>
          <w:p>
            <w:pPr>
              <w:spacing w:after="0"/>
              <w:rPr>
                <w:sz w:val="13"/>
                <w:szCs w:val="13"/>
                <w:color w:val="auto"/>
              </w:rPr>
            </w:pPr>
          </w:p>
        </w:tc>
        <w:tc>
          <w:tcPr>
            <w:tcW w:w="76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64,257</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22,383</w:t>
            </w:r>
          </w:p>
        </w:tc>
        <w:tc>
          <w:tcPr>
            <w:tcW w:w="100" w:type="dxa"/>
            <w:vAlign w:val="bottom"/>
          </w:tcPr>
          <w:p>
            <w:pPr>
              <w:spacing w:after="0"/>
              <w:rPr>
                <w:sz w:val="18"/>
                <w:szCs w:val="18"/>
                <w:color w:val="auto"/>
              </w:rPr>
            </w:pPr>
          </w:p>
        </w:tc>
      </w:tr>
      <w:tr>
        <w:trPr>
          <w:trHeight w:val="216"/>
        </w:trPr>
        <w:tc>
          <w:tcPr>
            <w:tcW w:w="7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84,756</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38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(5,133 )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(965 )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38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(3,005 )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(17,310 )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(8,677 )</w:t>
            </w: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r>
      <w:tr>
        <w:trPr>
          <w:trHeight w:val="216"/>
        </w:trPr>
        <w:tc>
          <w:tcPr>
            <w:tcW w:w="7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(25,846 )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(5,442 )</w:t>
            </w: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(4,205 )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(5,655 )</w:t>
            </w: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38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(9,056 )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(5,387 )</w:t>
            </w: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(1,978 )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(1,717 )</w:t>
            </w:r>
          </w:p>
        </w:tc>
      </w:tr>
      <w:tr>
        <w:trPr>
          <w:trHeight w:val="209"/>
        </w:trPr>
        <w:tc>
          <w:tcPr>
            <w:tcW w:w="7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148,776</w:t>
            </w: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129,284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Acquisition of business, net of cash and restricted cash acquired</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(107,004 )</w:t>
            </w: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Partial payment of contingent consideration</w:t>
            </w:r>
          </w:p>
        </w:tc>
        <w:tc>
          <w:tcPr>
            <w:tcW w:w="38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(647 )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(35,927 )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(15,633 )</w:t>
            </w: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proceeds from the sale of assets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r>
      <w:tr>
        <w:trPr>
          <w:trHeight w:val="209"/>
        </w:trPr>
        <w:tc>
          <w:tcPr>
            <w:tcW w:w="7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(36,434</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(122,412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Repayment on the revolver</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(25,000 )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380" w:type="dxa"/>
            <w:vAlign w:val="bottom"/>
          </w:tcPr>
          <w:p>
            <w:pPr>
              <w:spacing w:after="0"/>
              <w:rPr>
                <w:sz w:val="18"/>
                <w:szCs w:val="18"/>
                <w:color w:val="auto"/>
              </w:rPr>
            </w:pPr>
          </w:p>
        </w:tc>
        <w:tc>
          <w:tcPr>
            <w:tcW w:w="1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996,750</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(6,764 )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(882,905 )</w:t>
            </w: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8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(410 )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(6,628 )</w:t>
            </w: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 of debt extinguishment costs</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(1,066 )</w:t>
            </w: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repurchases and retirement</w:t>
            </w:r>
          </w:p>
        </w:tc>
        <w:tc>
          <w:tcPr>
            <w:tcW w:w="38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(125,071 )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(100,000 )</w:t>
            </w: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employee tax withholding related to RSUs vesting</w:t>
            </w:r>
          </w:p>
        </w:tc>
        <w:tc>
          <w:tcPr>
            <w:tcW w:w="38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(3,072 )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(924 )</w:t>
            </w: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Settlement of contingent consideration</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(205 )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6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(159,525 )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8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(48,803 )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104,432</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55,629</w:t>
            </w:r>
          </w:p>
        </w:tc>
        <w:tc>
          <w:tcPr>
            <w:tcW w:w="3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131,192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7"/>
        </w:trPr>
        <w:tc>
          <w:tcPr>
            <w:tcW w:w="7700" w:type="dxa"/>
            <w:vAlign w:val="bottom"/>
            <w:gridSpan w:val="3"/>
            <w:shd w:val="clear" w:color="auto" w:fill="CFF0FC"/>
          </w:tcPr>
          <w:p>
            <w:pPr>
              <w:ind w:left="20"/>
              <w:spacing w:after="0" w:line="167"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3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8"/>
        </w:trPr>
        <w:tc>
          <w:tcPr>
            <w:tcW w:w="7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 the condensed consolidated balance sheets</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51,576</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128,247</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55,629</w:t>
            </w:r>
          </w:p>
        </w:tc>
        <w:tc>
          <w:tcPr>
            <w:tcW w:w="3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131,192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-1584960</wp:posOffset>
            </wp:positionV>
            <wp:extent cx="6858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-1294130</wp:posOffset>
            </wp:positionV>
            <wp:extent cx="6858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-1294130</wp:posOffset>
            </wp:positionV>
            <wp:extent cx="6858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-1010920</wp:posOffset>
            </wp:positionV>
            <wp:extent cx="68580"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308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ind w:left="41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w:t>
            </w:r>
          </w:p>
        </w:tc>
        <w:tc>
          <w:tcPr>
            <w:tcW w:w="13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43,455</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investing and financing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1"/>
        </w:trPr>
        <w:tc>
          <w:tcPr>
            <w:tcW w:w="77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Purchases of installation and service parts and property and equipment in accounts payable and</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 at period-end</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shd w:val="clear" w:color="auto" w:fill="CFF0FC"/>
          </w:tcPr>
          <w:p>
            <w:pPr>
              <w:spacing w:after="0"/>
              <w:rPr>
                <w:sz w:val="20"/>
                <w:szCs w:val="20"/>
                <w:color w:val="auto"/>
              </w:rPr>
            </w:pPr>
          </w:p>
        </w:tc>
      </w:tr>
      <w:tr>
        <w:trPr>
          <w:trHeight w:val="234"/>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related to asset retirement obligations and property and equipment</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20"/>
                <w:szCs w:val="20"/>
                <w:color w:val="auto"/>
              </w:rPr>
            </w:pP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p>
      <w:pPr>
        <w:ind w:left="41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3"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04"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Verra Mobility Corporation (collectively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Verra Mobility</w:t>
      </w:r>
      <w:r>
        <w:rPr>
          <w:rFonts w:ascii="Times New Roman" w:cs="Times New Roman" w:eastAsia="Times New Roman" w:hAnsi="Times New Roman"/>
          <w:sz w:val="18"/>
          <w:szCs w:val="18"/>
          <w:color w:val="auto"/>
        </w:rPr>
        <w:t>”), formerly known as Gores Holdings II, Inc. (“</w:t>
      </w:r>
      <w:r>
        <w:rPr>
          <w:rFonts w:ascii="Times New Roman" w:cs="Times New Roman" w:eastAsia="Times New Roman" w:hAnsi="Times New Roman"/>
          <w:sz w:val="18"/>
          <w:szCs w:val="18"/>
          <w:b w:val="1"/>
          <w:bCs w:val="1"/>
          <w:i w:val="1"/>
          <w:iCs w:val="1"/>
          <w:color w:val="auto"/>
        </w:rPr>
        <w:t>Gores</w:t>
      </w:r>
      <w:r>
        <w:rPr>
          <w:rFonts w:ascii="Times New Roman" w:cs="Times New Roman" w:eastAsia="Times New Roman" w:hAnsi="Times New Roman"/>
          <w:sz w:val="18"/>
          <w:szCs w:val="18"/>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following which its shares began trading on the Nasdaq Capital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On June 21, 2018, Gores entered into an Agreement and Plan of Merger (as amended,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with Greenlight Holding II Corporation, PE Greenlight Holdings, LLC (the “</w:t>
      </w:r>
      <w:r>
        <w:rPr>
          <w:rFonts w:ascii="Times New Roman" w:cs="Times New Roman" w:eastAsia="Times New Roman" w:hAnsi="Times New Roman"/>
          <w:sz w:val="18"/>
          <w:szCs w:val="18"/>
          <w:b w:val="1"/>
          <w:bCs w:val="1"/>
          <w:i w:val="1"/>
          <w:iCs w:val="1"/>
          <w:color w:val="auto"/>
        </w:rPr>
        <w:t>Platinum Stockholder</w:t>
      </w:r>
      <w:r>
        <w:rPr>
          <w:rFonts w:ascii="Times New Roman" w:cs="Times New Roman" w:eastAsia="Times New Roman" w:hAnsi="Times New Roman"/>
          <w:sz w:val="18"/>
          <w:szCs w:val="18"/>
          <w:color w:val="auto"/>
        </w:rPr>
        <w:t>”), AM Merger Sub I, Inc., a direct, wholly owned subsidiary of Gores and AM Merger Sub II, LLC, a direct, wholly owned subsidiary of Gores. On October 17, 2018, the transactions contemplated by the Merger Agreement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were consummated. In connection with the closing of the Business Combination, Gores changed its name to Verra Mobility Corporation. As a result of the Business Combination, Verra Mobility Corporation became the owner, directly or indirectly, of all of the equity interests of Verra Mobility Holdings, LLC and its subsidiaries.</w:t>
      </w:r>
    </w:p>
    <w:p>
      <w:pPr>
        <w:spacing w:after="0" w:line="1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Verra Mobility offers integrated technology solutions and services to its customers who are located throughout the world, primarily within the United States, Australia, Canada and Europe. The Company is organized into three operating segments: Commercial Services, Government Solutions and Parking Solutions (see Note 15.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The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and consumer tolling services through Pagatelia S.L.</w:t>
      </w:r>
    </w:p>
    <w:p>
      <w:pPr>
        <w:spacing w:after="0" w:line="181"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The Government Solutions segment offers photo enforcement solutions and services to its customers. Through its acquisition of Redflex Holdings Limited (“</w:t>
      </w:r>
      <w:r>
        <w:rPr>
          <w:rFonts w:ascii="Times New Roman" w:cs="Times New Roman" w:eastAsia="Times New Roman" w:hAnsi="Times New Roman"/>
          <w:sz w:val="18"/>
          <w:szCs w:val="18"/>
          <w:b w:val="1"/>
          <w:bCs w:val="1"/>
          <w:i w:val="1"/>
          <w:iCs w:val="1"/>
          <w:color w:val="auto"/>
        </w:rPr>
        <w:t>Redflex</w:t>
      </w:r>
      <w:r>
        <w:rPr>
          <w:rFonts w:ascii="Times New Roman" w:cs="Times New Roman" w:eastAsia="Times New Roman" w:hAnsi="Times New Roman"/>
          <w:sz w:val="18"/>
          <w:szCs w:val="18"/>
          <w:color w:val="auto"/>
        </w:rPr>
        <w:t>”) in June 2021, the Company expanded its current footprint in the United States and gained access to international markets. The Government Solutions segment provides complete, end-to-end speed, red-light, school bus stop arm and bus lane enforcement solutions within the United States and Canada.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acquired through Redflex primarily involve the sale of traffic enforcement products and related maintenance services.</w:t>
      </w:r>
    </w:p>
    <w:p>
      <w:pPr>
        <w:spacing w:after="0" w:line="180"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The Parking Solutions segment offers an integrated suite of parking software and hardware solutions to its customers, which include universities, municipalities, parking operators, healthcare facilities and transportation hubs. The Company added this new operating segment as a result of the acquisition of T2 Systems Parent Corporation (“</w:t>
      </w:r>
      <w:r>
        <w:rPr>
          <w:rFonts w:ascii="Times New Roman" w:cs="Times New Roman" w:eastAsia="Times New Roman" w:hAnsi="Times New Roman"/>
          <w:sz w:val="18"/>
          <w:szCs w:val="18"/>
          <w:b w:val="1"/>
          <w:bCs w:val="1"/>
          <w:i w:val="1"/>
          <w:iCs w:val="1"/>
          <w:color w:val="auto"/>
        </w:rPr>
        <w:t>T2 Systems</w:t>
      </w:r>
      <w:r>
        <w:rPr>
          <w:rFonts w:ascii="Times New Roman" w:cs="Times New Roman" w:eastAsia="Times New Roman" w:hAnsi="Times New Roman"/>
          <w:sz w:val="18"/>
          <w:szCs w:val="18"/>
          <w:color w:val="auto"/>
        </w:rPr>
        <w:t xml:space="preserve">”) on December 7, 2021, which allowed the Company to diversify its operations into the parking solutions space (see Note 3.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Parking Solutions segment develops specialized hardware and parking management software that provides a platform for the issuance of parking permits, enforcement, gateless vehicle counting, event parking and citation services. T2 Systems also produces and markets its proprietary software as a service to its customers throughout the United States and Canada.</w:t>
      </w:r>
    </w:p>
    <w:p>
      <w:pPr>
        <w:spacing w:after="0" w:line="284"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prepared in accordance with generally accepted accounting principles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right="60" w:firstLine="374"/>
        <w:spacing w:after="0" w:line="244"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GAAP requires management to make estimates and assumptions that affect the amounts reported in the unaudited condensed consolidated financial statements and accompanying notes. Significant estimates and assumptions include those related to the fair values assigned to net assets acquired (including identifiable intangibles) in business combinations, revenue recognition, inventory valuation, allowance for credit losses, fair value of the private placement warrant liabilities, valuation allowance on deferred tax assets, impairment assessments of goodwill, intangible assets and other long-lived assets, asset retirement obligations, contingent consideration and the recognition and measurement of loss contingencies.</w:t>
      </w:r>
    </w:p>
    <w:p>
      <w:pPr>
        <w:spacing w:after="0" w:line="195"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Management believes that its estimates and assumptions are reasonable in the circumstances; however, actual results could differ materially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accounts receivable, net. Revenue from the single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Solutions customer exceeding 10% of total revenue is presented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27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780" w:type="dxa"/>
            <w:vAlign w:val="bottom"/>
          </w:tcPr>
          <w:p>
            <w:pPr>
              <w:spacing w:after="0"/>
              <w:rPr>
                <w:sz w:val="14"/>
                <w:szCs w:val="14"/>
                <w:color w:val="auto"/>
              </w:rPr>
            </w:pPr>
          </w:p>
        </w:tc>
        <w:tc>
          <w:tcPr>
            <w:tcW w:w="9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4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City of New York Department of Transportation</w:t>
            </w:r>
          </w:p>
        </w:tc>
        <w:tc>
          <w:tcPr>
            <w:tcW w:w="9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29% and 39% of total accounts receivable, net as of September 30,</w:t>
      </w:r>
    </w:p>
    <w:p>
      <w:pPr>
        <w:spacing w:after="0" w:line="31" w:lineRule="exact"/>
        <w:rPr>
          <w:sz w:val="20"/>
          <w:szCs w:val="20"/>
          <w:color w:val="auto"/>
        </w:rPr>
      </w:pPr>
    </w:p>
    <w:p>
      <w:pPr>
        <w:jc w:val="both"/>
        <w:ind w:right="80"/>
        <w:spacing w:after="0" w:line="245" w:lineRule="auto"/>
        <w:rPr>
          <w:sz w:val="20"/>
          <w:szCs w:val="20"/>
          <w:color w:val="auto"/>
        </w:rPr>
      </w:pPr>
      <w:r>
        <w:rPr>
          <w:rFonts w:ascii="Times New Roman" w:cs="Times New Roman" w:eastAsia="Times New Roman" w:hAnsi="Times New Roman"/>
          <w:sz w:val="18"/>
          <w:szCs w:val="18"/>
          <w:color w:val="auto"/>
        </w:rPr>
        <w:t>2022 and December 31, 2021, respectively. There is no material reserve related to NYCDOT open receivables as amounts are deemed collectible based on current conditions and expectations. No other Government Solutions customer exceeded 10% of total accounts receivable, net as of any period presented.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customer revenues generated through the Company’s Commercial Services partners as a percent of total revenue are presented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Hertz Corporation</w:t>
            </w:r>
          </w:p>
        </w:tc>
        <w:tc>
          <w:tcPr>
            <w:tcW w:w="9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Avis Budget Group, Inc.</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9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Enterprise Holdings, Inc.</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9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Commercial Services customer exceeded 10% of total accounts receivable, net as of any period presented.</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significant customer concentrations that exceeded 10% of total revenue or accounts receivables, net for the Parking Solutions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08" w:lineRule="exact"/>
        <w:rPr>
          <w:sz w:val="20"/>
          <w:szCs w:val="20"/>
          <w:color w:val="auto"/>
        </w:rPr>
      </w:pPr>
    </w:p>
    <w:p>
      <w:pPr>
        <w:jc w:val="both"/>
        <w:ind w:right="60" w:firstLine="374"/>
        <w:spacing w:after="0" w:line="244" w:lineRule="auto"/>
        <w:rPr>
          <w:sz w:val="20"/>
          <w:szCs w:val="20"/>
          <w:color w:val="auto"/>
        </w:rPr>
      </w:pPr>
      <w:r>
        <w:rPr>
          <w:rFonts w:ascii="Times New Roman" w:cs="Times New Roman" w:eastAsia="Times New Roman" w:hAnsi="Times New Roman"/>
          <w:sz w:val="18"/>
          <w:szCs w:val="18"/>
          <w:color w:val="auto"/>
        </w:rPr>
        <w:t>The Company reviews historical credit losses and customer payment trends on receivables and develops loss rate estimates as of the balance sheet date, which includes adjustments for current and future expectations using probability-weighted assumptions about potential outcomes.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evaluates the adequacy of its allowance for expected credit losses by comparing its actual write-offs to its previously recorded estimates and adjusts appropriately.</w:t>
      </w:r>
    </w:p>
    <w:p>
      <w:pPr>
        <w:spacing w:after="0" w:line="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identified portfolio segments based on the type of business, industry in which the customer operates and historical credit loss patterns.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activity in the allowance for credit losses for the nine months ended September 30, 2022 and 2021, respectively:</w:t>
      </w:r>
    </w:p>
    <w:p>
      <w:pPr>
        <w:spacing w:after="0" w:line="1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44" w:right="2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60" w:type="dxa"/>
            <w:vAlign w:val="bottom"/>
            <w:gridSpan w:val="4"/>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Commercial Services</w:t>
            </w:r>
          </w:p>
        </w:tc>
        <w:tc>
          <w:tcPr>
            <w:tcW w:w="120" w:type="dxa"/>
            <w:vAlign w:val="bottom"/>
          </w:tcPr>
          <w:p>
            <w:pPr>
              <w:spacing w:after="0"/>
              <w:rPr>
                <w:sz w:val="13"/>
                <w:szCs w:val="13"/>
                <w:color w:val="auto"/>
              </w:rPr>
            </w:pPr>
          </w:p>
        </w:tc>
        <w:tc>
          <w:tcPr>
            <w:tcW w:w="1300" w:type="dxa"/>
            <w:vAlign w:val="bottom"/>
            <w:gridSpan w:val="3"/>
          </w:tcPr>
          <w:p>
            <w:pPr>
              <w:jc w:val="right"/>
              <w:ind w:right="395"/>
              <w:spacing w:after="0" w:line="160"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3"/>
                <w:szCs w:val="13"/>
                <w:color w:val="auto"/>
              </w:rPr>
            </w:pPr>
          </w:p>
        </w:tc>
        <w:tc>
          <w:tcPr>
            <w:tcW w:w="1660" w:type="dxa"/>
            <w:vAlign w:val="bottom"/>
            <w:gridSpan w:val="6"/>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5"/>
                <w:szCs w:val="15"/>
                <w:color w:val="auto"/>
              </w:rPr>
            </w:pPr>
          </w:p>
        </w:tc>
        <w:tc>
          <w:tcPr>
            <w:tcW w:w="1520" w:type="dxa"/>
            <w:vAlign w:val="bottom"/>
            <w:gridSpan w:val="3"/>
          </w:tcPr>
          <w:p>
            <w:pPr>
              <w:jc w:val="right"/>
              <w:ind w:right="460"/>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(Driver-billed) </w:t>
            </w:r>
            <w:r>
              <w:rPr>
                <w:rFonts w:ascii="Times New Roman" w:cs="Times New Roman" w:eastAsia="Times New Roman" w:hAnsi="Times New Roman"/>
                <w:sz w:val="19"/>
                <w:szCs w:val="19"/>
                <w:b w:val="1"/>
                <w:bCs w:val="1"/>
                <w:color w:val="auto"/>
                <w:w w:val="98"/>
                <w:vertAlign w:val="superscript"/>
              </w:rPr>
              <w:t>(1)</w:t>
            </w:r>
          </w:p>
        </w:tc>
        <w:tc>
          <w:tcPr>
            <w:tcW w:w="120" w:type="dxa"/>
            <w:vAlign w:val="bottom"/>
          </w:tcPr>
          <w:p>
            <w:pPr>
              <w:spacing w:after="0"/>
              <w:rPr>
                <w:sz w:val="15"/>
                <w:szCs w:val="15"/>
                <w:color w:val="auto"/>
              </w:rPr>
            </w:pPr>
          </w:p>
        </w:tc>
        <w:tc>
          <w:tcPr>
            <w:tcW w:w="130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Parking Solutions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3,649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4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(2,810 )</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(2,089 )</w:t>
            </w:r>
          </w:p>
        </w:tc>
        <w:tc>
          <w:tcPr>
            <w:tcW w:w="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FF0FC"/>
          </w:tcPr>
          <w:p>
            <w:pPr>
              <w:spacing w:after="0"/>
              <w:rPr>
                <w:sz w:val="18"/>
                <w:szCs w:val="18"/>
                <w:color w:val="auto"/>
              </w:rPr>
            </w:pPr>
          </w:p>
        </w:tc>
        <w:tc>
          <w:tcPr>
            <w:tcW w:w="1500" w:type="dxa"/>
            <w:vAlign w:val="bottom"/>
            <w:gridSpan w:val="4"/>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(430 )</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(5,355 )</w:t>
            </w:r>
          </w:p>
        </w:tc>
        <w:tc>
          <w:tcPr>
            <w:tcW w:w="0" w:type="dxa"/>
            <w:vAlign w:val="bottom"/>
          </w:tcPr>
          <w:p>
            <w:pPr>
              <w:spacing w:after="0"/>
              <w:rPr>
                <w:sz w:val="1"/>
                <w:szCs w:val="1"/>
                <w:color w:val="auto"/>
              </w:rPr>
            </w:pPr>
          </w:p>
        </w:tc>
      </w:tr>
      <w:tr>
        <w:trPr>
          <w:trHeight w:val="210"/>
        </w:trPr>
        <w:tc>
          <w:tcPr>
            <w:tcW w:w="20" w:type="dxa"/>
            <w:vAlign w:val="bottom"/>
            <w:tcBorders>
              <w:top w:val="single" w:sz="8" w:color="CFF0FC"/>
            </w:tcBorders>
          </w:tcPr>
          <w:p>
            <w:pPr>
              <w:spacing w:after="0"/>
              <w:rPr>
                <w:sz w:val="18"/>
                <w:szCs w:val="18"/>
                <w:color w:val="auto"/>
              </w:rPr>
            </w:pPr>
          </w:p>
        </w:tc>
        <w:tc>
          <w:tcPr>
            <w:tcW w:w="318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4,317</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Borders>
              <w:top w:val="single" w:sz="8" w:color="CFF0FC"/>
            </w:tcBorders>
            <w:gridSpan w:val="2"/>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Commercial Services</w:t>
            </w:r>
          </w:p>
        </w:tc>
        <w:tc>
          <w:tcPr>
            <w:tcW w:w="1240" w:type="dxa"/>
            <w:vAlign w:val="bottom"/>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2"/>
          </w:tcPr>
          <w:p>
            <w:pPr>
              <w:jc w:val="center"/>
              <w:ind w:right="76"/>
              <w:spacing w:after="0" w:line="146"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(Driver-billed)</w:t>
            </w:r>
          </w:p>
        </w:tc>
        <w:tc>
          <w:tcPr>
            <w:tcW w:w="420" w:type="dxa"/>
            <w:vAlign w:val="bottom"/>
          </w:tcPr>
          <w:p>
            <w:pPr>
              <w:jc w:val="right"/>
              <w:ind w:right="224"/>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300" w:type="dxa"/>
            <w:vAlign w:val="bottom"/>
          </w:tcPr>
          <w:p>
            <w:pPr>
              <w:spacing w:after="0"/>
              <w:rPr>
                <w:sz w:val="16"/>
                <w:szCs w:val="16"/>
                <w:color w:val="auto"/>
              </w:rPr>
            </w:pPr>
          </w:p>
        </w:tc>
        <w:tc>
          <w:tcPr>
            <w:tcW w:w="1240" w:type="dxa"/>
            <w:vAlign w:val="bottom"/>
            <w:gridSpan w:val="3"/>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Government Solutions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1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3,210</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4,277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7,944</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(820 )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(408 )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3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(3,446 )</w:t>
            </w: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(3,512 )</w:t>
            </w:r>
          </w:p>
        </w:tc>
        <w:tc>
          <w:tcPr>
            <w:tcW w:w="0" w:type="dxa"/>
            <w:vAlign w:val="bottom"/>
          </w:tcPr>
          <w:p>
            <w:pPr>
              <w:spacing w:after="0"/>
              <w:rPr>
                <w:sz w:val="1"/>
                <w:szCs w:val="1"/>
                <w:color w:val="auto"/>
              </w:rPr>
            </w:pPr>
          </w:p>
        </w:tc>
      </w:tr>
      <w:tr>
        <w:trPr>
          <w:trHeight w:val="210"/>
        </w:trPr>
        <w:tc>
          <w:tcPr>
            <w:tcW w:w="20" w:type="dxa"/>
            <w:vAlign w:val="bottom"/>
            <w:tcBorders>
              <w:top w:val="single" w:sz="8" w:color="CFF0FC"/>
            </w:tcBorders>
          </w:tcPr>
          <w:p>
            <w:pPr>
              <w:spacing w:after="0"/>
              <w:rPr>
                <w:sz w:val="18"/>
                <w:szCs w:val="18"/>
                <w:color w:val="auto"/>
              </w:rPr>
            </w:pPr>
          </w:p>
        </w:tc>
        <w:tc>
          <w:tcPr>
            <w:tcW w:w="318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4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7,708</w:t>
            </w:r>
          </w:p>
        </w:tc>
        <w:tc>
          <w:tcPr>
            <w:tcW w:w="300" w:type="dxa"/>
            <w:vAlign w:val="bottom"/>
            <w:tcBorders>
              <w:top w:val="single" w:sz="8" w:color="CFF0FC"/>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3,412</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2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-1199515</wp:posOffset>
            </wp:positionV>
            <wp:extent cx="7683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-1199515</wp:posOffset>
            </wp:positionV>
            <wp:extent cx="7683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-1199515</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-1199515</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-170815</wp:posOffset>
            </wp:positionV>
            <wp:extent cx="7683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685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jc w:val="both"/>
        <w:ind w:left="680" w:hanging="372"/>
        <w:spacing w:after="0" w:line="258"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Driver-billed consists of receivables from drivers of rental cars and fleet management companies for which the Company bills on behalf of its customers. Receivables not collected from drivers within a defined number of days are transferred to customers subject to applicable bad debt sharing agreements.</w:t>
      </w:r>
    </w:p>
    <w:p>
      <w:pPr>
        <w:spacing w:after="0" w:line="16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Commercial Services (Driver-billed) portfolio segment’s credit loss estimate as of September 30, 2022 increased compared to the prior year due to increased revenue that impacted the volume of transactions as a result of recovery from COVID-19. The Commercial Services (All other) portfolio segment's credit loss estimate decreased at September 30, 2022 mainly due to a $1.7 million write-off for a rental car customer who filed for bankruptcy.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16"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Deferred revenue represents amounts that have been invoiced in advance and are expected to be recognized as revenue in future periods, and it primarily relates to Government Solutions and Parking Solutions customers. The Company had approximately $9.8 million and $8.9 million of deferred revenue in the Government Solutions segment as of September 30, 2022 and December 31, 2021, respectively. The majority of the remaining performance obligations as of September 30, 2022 are expected to be completed and recognized as revenue in the next 12 months and $3.2 million is expected to be recognized between 2023 through 2027. The Company had approximately $25.6 million and $20.9 million of deferred revenue in the Parking Solutions segment as of September 30, 2022 and December 31, 2021, respectively. The majority of the remaining performance obligations as of September 30, 2022 are expected to be completed and recognized as revenue in the next 12 months and $0.6 million is expected to be recognized in 2023.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Adopted</w:t>
      </w:r>
    </w:p>
    <w:p>
      <w:pPr>
        <w:spacing w:after="0" w:line="210" w:lineRule="exact"/>
        <w:rPr>
          <w:sz w:val="20"/>
          <w:szCs w:val="20"/>
          <w:color w:val="auto"/>
        </w:rPr>
      </w:pPr>
    </w:p>
    <w:p>
      <w:pPr>
        <w:jc w:val="both"/>
        <w:ind w:firstLine="374"/>
        <w:spacing w:after="0" w:line="248" w:lineRule="auto"/>
        <w:rPr>
          <w:sz w:val="20"/>
          <w:szCs w:val="20"/>
          <w:color w:val="auto"/>
        </w:rPr>
      </w:pPr>
      <w:r>
        <w:rPr>
          <w:rFonts w:ascii="Times New Roman" w:cs="Times New Roman" w:eastAsia="Times New Roman" w:hAnsi="Times New Roman"/>
          <w:sz w:val="18"/>
          <w:szCs w:val="18"/>
          <w:color w:val="auto"/>
        </w:rPr>
        <w:t>In May 2021, the Financial Accounting Standards Board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2021-04,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260), Debt—Modifications and Extinguishments (Subtopic 470-50), Compensation—Stock Compensation (Topic 718), and Derivatives and Hedging —Contracts in Entity’s Own Equity (Subtopic 815-40): Issuer’s Accounting for Certain Modifications or Exchanges of Freestanding Equity-Classified</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Written Call Options</w:t>
      </w:r>
      <w:r>
        <w:rPr>
          <w:rFonts w:ascii="Times New Roman" w:cs="Times New Roman" w:eastAsia="Times New Roman" w:hAnsi="Times New Roman"/>
          <w:sz w:val="18"/>
          <w:szCs w:val="18"/>
          <w:color w:val="auto"/>
        </w:rPr>
        <w:t>. This ASU provides guidance for a modification or an exchange of a freestanding equity-classified written call option that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scope of another topic. It specifically addresses the measurement and recognition of the effect of a modification of the terms or conditions or an exchange of a freestanding equity-classified written call option if it remains equity-classified after the modification or exchange. The Company adopted this standard as of January 1, 2022, which did not have an impact on its financial statements and related disclosures, as the Company had no transactions subject to the standard. If the Company were to have modifications or exchanges in the future, such guidance would apply.</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w:t>
      </w:r>
    </w:p>
    <w:p>
      <w:pPr>
        <w:spacing w:after="0" w:line="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Assistance</w:t>
      </w:r>
      <w:r>
        <w:rPr>
          <w:rFonts w:ascii="Times New Roman" w:cs="Times New Roman" w:eastAsia="Times New Roman" w:hAnsi="Times New Roman"/>
          <w:sz w:val="18"/>
          <w:szCs w:val="18"/>
          <w:color w:val="auto"/>
        </w:rPr>
        <w:t>, to increase transparency in financial reporting by requiring business entities to disclose information about certain types of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they receive. The amendments require annual disclosures regarding the nature of any transactions with a government accounted for by applying a grant or contribution accounting model by analogy and the related accounting policy used, the effect of the assistance on the entity’s financial statements, and the significant terms and conditions of the transactions. The Company adopted the ASU as of January 1, 2022, which did not have a material impact on its financial statements or related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Not Yet Adopted</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The ASU provides temporary optional guidance to ease the potential burden in accounting for reference rate reform. It provides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expedients and exceptions for applying GAAP to contract modifications, subject to meeting certain criteria, that reference LIBOR or another reference rate expected to be discontinued. In January 2021, the FASB issued ASU 2021-01, </w:t>
      </w:r>
      <w:r>
        <w:rPr>
          <w:rFonts w:ascii="Times New Roman" w:cs="Times New Roman" w:eastAsia="Times New Roman" w:hAnsi="Times New Roman"/>
          <w:sz w:val="18"/>
          <w:szCs w:val="18"/>
          <w:i w:val="1"/>
          <w:iCs w:val="1"/>
          <w:color w:val="auto"/>
        </w:rPr>
        <w:t>Reference Rate Reform (Topic 848): Scope</w:t>
      </w:r>
      <w:r>
        <w:rPr>
          <w:rFonts w:ascii="Times New Roman" w:cs="Times New Roman" w:eastAsia="Times New Roman" w:hAnsi="Times New Roman"/>
          <w:sz w:val="18"/>
          <w:szCs w:val="18"/>
          <w:color w:val="auto"/>
        </w:rPr>
        <w:t>, which clarifies that certain optional expedients and exceptions in Topic 848 for contract modifications and hedge accounting apply to derivatives that are affected by the discounting transition. The amendments are effective as of March 12, 2020 through December 31, 2022, to help stakeholders during the global market-wide reference rate transition period.</w:t>
      </w:r>
    </w:p>
    <w:p>
      <w:pPr>
        <w:spacing w:after="0" w:line="182"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 xml:space="preserve">Under the terms of the 2021 Term Loan (as defined below) discussed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 the event there is a benchmark transition away from LIBOR, a benchmark replacement rate has been defined in the 2021 Term Loan agreement along with the mechanism for such a transition to take place. The Company does not anticipate this transition will have a material impact on its financial statements.</w:t>
      </w:r>
    </w:p>
    <w:p>
      <w:pPr>
        <w:spacing w:after="0" w:line="174"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 xml:space="preserve">On June 30,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The ASU clarifies that a contractual restriction on the sale of an equity security is not considered part of the unit of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equity security and, therefore, is not considered in measuring fair value. It also requires entities with investments in equity securities subject to contractual sale restrictions to disclose certain qualitative and quantitative information about such securities. The guidance is effective for fiscal years, including interim periods beginning after December 15, 2023. Early adoption is permitted. The Company is currently evaluating the impact of this standard on its financial statements.</w:t>
      </w:r>
    </w:p>
    <w:p>
      <w:pPr>
        <w:spacing w:after="0" w:line="286"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T2 Systems Acquisition</w:t>
      </w:r>
    </w:p>
    <w:p>
      <w:pPr>
        <w:spacing w:after="0" w:line="216"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On December 7, 2021, the Company acquired all of the outstanding shares of T2 Systems, which offers an integrated suite of parking software and hardware solutions to its customers. This acquisition supports the Company’s strategy to expand and diversify into new markets within the mobility sector. The Company has included the financial results of T2 Systems in the financial statements from the date of acquisition, and reported within the Parking Solutions segment.</w:t>
      </w:r>
    </w:p>
    <w:p>
      <w:pPr>
        <w:spacing w:after="0" w:line="17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paid a purchase price of $353.2 million. Transaction costs for T2 Systems were $3.4 million, which primarily related to professional fees and other expenses related to the acquisition.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4" w:name="page15"/>
    <w:bookmarkEnd w:id="14"/>
    <w:p>
      <w:pPr>
        <w:ind w:left="380"/>
        <w:spacing w:after="0"/>
        <w:rPr>
          <w:sz w:val="20"/>
          <w:szCs w:val="20"/>
          <w:color w:val="auto"/>
        </w:rPr>
      </w:pPr>
      <w:r>
        <w:rPr>
          <w:rFonts w:ascii="Times New Roman" w:cs="Times New Roman" w:eastAsia="Times New Roman" w:hAnsi="Times New Roman"/>
          <w:sz w:val="18"/>
          <w:szCs w:val="18"/>
          <w:color w:val="auto"/>
        </w:rPr>
        <w:t>The allocation of the preliminary purchase consideration is summarized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9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7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1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7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1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7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1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7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1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Trademark</w:t>
            </w:r>
          </w:p>
        </w:tc>
        <w:tc>
          <w:tcPr>
            <w:tcW w:w="7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164,300</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91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7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9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7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231,000</w:t>
            </w:r>
          </w:p>
        </w:tc>
        <w:tc>
          <w:tcPr>
            <w:tcW w:w="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1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7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1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7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91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7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72,989</w:t>
            </w:r>
          </w:p>
        </w:tc>
        <w:tc>
          <w:tcPr>
            <w:tcW w:w="100" w:type="dxa"/>
            <w:vAlign w:val="bottom"/>
          </w:tcPr>
          <w:p>
            <w:pPr>
              <w:spacing w:after="0"/>
              <w:rPr>
                <w:sz w:val="18"/>
                <w:szCs w:val="18"/>
                <w:color w:val="auto"/>
              </w:rPr>
            </w:pPr>
          </w:p>
        </w:tc>
      </w:tr>
      <w:tr>
        <w:trPr>
          <w:trHeight w:val="216"/>
        </w:trPr>
        <w:tc>
          <w:tcPr>
            <w:tcW w:w="91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 acquired and liabilities assumed</w:t>
            </w: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353,237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282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color w:val="auto"/>
        </w:rPr>
        <w:t>Goodwill consists largely of the expected cash flows and future growth anticipated for the Company and was assigned to the Company’s Parking Solutions segment. The goodwill is not deductible for tax purposes. The preliminary customer relationships value was based on the multi-period excess earnings methodology utilizing projected cash flows. The significant assumptions used to value customer relationships included, among others, customer upsell and churn rates, forecasted revenue growth rates attributable to existing customers, forecasted EBITDA margins and the discount rate. The preliminary values for the trademark and the developed technology related assets were based on a relief-from-royalty method. The significant assumptions used to value these intangible assets included, among others, forecasted revenue growth rates, royalty rates and the expected obsolescence curve. The trademark, customer relationships and the developed technology related assets were assigned preliminary useful lives of 10.0 years, 10.0 years, and 6.1 years, respectively.</w:t>
      </w:r>
    </w:p>
    <w:p>
      <w:pPr>
        <w:spacing w:after="0" w:line="173"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As of September 30, 2022, the valuation of assets acquired and liabilities assumed is preliminary. The primary areas that remain preliminary relate to the fair values of unbilled receivables, intangible assets acquired, deferred revenue, legal and other contingencies as of the acquisition date, income and non-income based taxes and residual goodwill. The Company expects to finalize the valuation as soon as practicable, but not later than one year from the acquisition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NuPark Acquisition</w:t>
      </w:r>
    </w:p>
    <w:p>
      <w:pPr>
        <w:spacing w:after="0" w:line="104"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On December 13, 2021, the Company completed the acquisition of NuPark (“</w:t>
      </w:r>
      <w:r>
        <w:rPr>
          <w:rFonts w:ascii="Times New Roman" w:cs="Times New Roman" w:eastAsia="Times New Roman" w:hAnsi="Times New Roman"/>
          <w:sz w:val="18"/>
          <w:szCs w:val="18"/>
          <w:b w:val="1"/>
          <w:bCs w:val="1"/>
          <w:i w:val="1"/>
          <w:iCs w:val="1"/>
          <w:color w:val="auto"/>
        </w:rPr>
        <w:t>NuPark</w:t>
      </w:r>
      <w:r>
        <w:rPr>
          <w:rFonts w:ascii="Times New Roman" w:cs="Times New Roman" w:eastAsia="Times New Roman" w:hAnsi="Times New Roman"/>
          <w:sz w:val="18"/>
          <w:szCs w:val="18"/>
          <w:color w:val="auto"/>
        </w:rPr>
        <w:t>”), a provider of parking services and permit management product platform from Passport Labs, Inc., which expanded the Company’s presence in the United States in the Parking Solutions segment. The acquisition date fair value of the consideration transferred to Passport Labs, Inc. was approximately $7.0 million, which consisted primarily of $5.0 million of cash paid at closing and $1.5 million of contingent consideration payable. The Company recorded $0.3 million of tangible assets, $4.9 million of customer relationships intangible assets valued using a multi-period excess earnings methodology, with an estimated useful life of 10.0 years, and $1.3 million of assumed liabilities, which was primarily deferred revenue. Goodwill recorded was $3.2 million for future growth anticipated for the Company and is expected to be deductible for tax purposes. The Company has included the financial results of NuPark in the financial statements from the date of acquisition, which were not material. The transaction costs for the acquisition were not material.</w:t>
      </w:r>
    </w:p>
    <w:p>
      <w:pPr>
        <w:spacing w:after="0" w:line="1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made payments that totaled approximately $0.9 million to settle in full the contingent consideration payable to Passport Labs Inc, and as a result, the Company adjusted the customer relationships intangible assets' value by reducing it $0.6 million to $4.3 million.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at: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5"/>
                <w:szCs w:val="15"/>
                <w:color w:val="auto"/>
              </w:rPr>
            </w:pPr>
          </w:p>
        </w:tc>
        <w:tc>
          <w:tcPr>
            <w:tcW w:w="13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tolls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100" w:type="dxa"/>
            <w:vAlign w:val="bottom"/>
          </w:tcPr>
          <w:p>
            <w:pPr>
              <w:spacing w:after="0"/>
              <w:rPr>
                <w:sz w:val="18"/>
                <w:szCs w:val="18"/>
                <w:color w:val="auto"/>
              </w:rPr>
            </w:pPr>
          </w:p>
        </w:tc>
      </w:tr>
      <w:tr>
        <w:trPr>
          <w:trHeight w:val="216"/>
        </w:trPr>
        <w:tc>
          <w:tcPr>
            <w:tcW w:w="7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computer maintenance</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Pr>
          <w:p>
            <w:pPr>
              <w:spacing w:after="0"/>
              <w:rPr>
                <w:sz w:val="18"/>
                <w:szCs w:val="18"/>
                <w:color w:val="auto"/>
              </w:rPr>
            </w:pPr>
          </w:p>
        </w:tc>
      </w:tr>
      <w:tr>
        <w:trPr>
          <w:trHeight w:val="216"/>
        </w:trPr>
        <w:tc>
          <w:tcPr>
            <w:tcW w:w="7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Costs to fulfill a customer contract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Pr>
          <w:p>
            <w:pPr>
              <w:spacing w:after="0"/>
              <w:rPr>
                <w:sz w:val="18"/>
                <w:szCs w:val="18"/>
                <w:color w:val="auto"/>
              </w:rPr>
            </w:pPr>
          </w:p>
        </w:tc>
      </w:tr>
      <w:tr>
        <w:trPr>
          <w:trHeight w:val="216"/>
        </w:trPr>
        <w:tc>
          <w:tcPr>
            <w:tcW w:w="7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supplies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Borders>
              <w:bottom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tcBorders>
              <w:bottom w:val="single" w:sz="8" w:color="CFF0FC"/>
            </w:tcBorders>
          </w:tcPr>
          <w:p>
            <w:pPr>
              <w:spacing w:after="0"/>
              <w:rPr>
                <w:sz w:val="18"/>
                <w:szCs w:val="18"/>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76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35,955</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changes in the carrying amount of goodwill by reportable segment: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Pr>
          <w:p>
            <w:pPr>
              <w:spacing w:after="0"/>
              <w:rPr>
                <w:sz w:val="15"/>
                <w:szCs w:val="15"/>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00" w:type="dxa"/>
            <w:vAlign w:val="bottom"/>
          </w:tcPr>
          <w:p>
            <w:pPr>
              <w:spacing w:after="0"/>
              <w:rPr>
                <w:sz w:val="15"/>
                <w:szCs w:val="15"/>
                <w:color w:val="auto"/>
              </w:rPr>
            </w:pPr>
          </w:p>
        </w:tc>
        <w:tc>
          <w:tcPr>
            <w:tcW w:w="9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60" w:type="dxa"/>
            <w:vAlign w:val="bottom"/>
          </w:tcPr>
          <w:p>
            <w:pPr>
              <w:spacing w:after="0"/>
              <w:rPr>
                <w:sz w:val="15"/>
                <w:szCs w:val="15"/>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5"/>
                <w:szCs w:val="15"/>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5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425,081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198,386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838,867</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(9,652 )</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(1,521 )</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(11,173 )</w:t>
            </w:r>
          </w:p>
        </w:tc>
      </w:tr>
      <w:tr>
        <w:trPr>
          <w:trHeight w:val="249"/>
        </w:trPr>
        <w:tc>
          <w:tcPr>
            <w:tcW w:w="57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415,429</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213,879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198,386</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827,694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-25400</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consist of the following as of the respective period-ends: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5"/>
                <w:szCs w:val="15"/>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5"/>
                <w:szCs w:val="15"/>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r>
      <w:tr>
        <w:trPr>
          <w:trHeight w:val="216"/>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27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0.4 years</w:t>
            </w:r>
          </w:p>
        </w:tc>
        <w:tc>
          <w:tcPr>
            <w:tcW w:w="1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36,006</w:t>
            </w: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31,973</w:t>
            </w:r>
          </w:p>
        </w:tc>
        <w:tc>
          <w:tcPr>
            <w:tcW w:w="28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0.5 years</w:t>
            </w: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36,225</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31,429</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58,475</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 years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49,982</w:t>
            </w:r>
          </w:p>
        </w:tc>
        <w:tc>
          <w:tcPr>
            <w:tcW w:w="100" w:type="dxa"/>
            <w:vAlign w:val="bottom"/>
          </w:tcPr>
          <w:p>
            <w:pPr>
              <w:spacing w:after="0"/>
              <w:rPr>
                <w:sz w:val="18"/>
                <w:szCs w:val="18"/>
                <w:color w:val="auto"/>
              </w:rPr>
            </w:pPr>
          </w:p>
        </w:tc>
      </w:tr>
      <w:tr>
        <w:trPr>
          <w:trHeight w:val="216"/>
        </w:trPr>
        <w:tc>
          <w:tcPr>
            <w:tcW w:w="3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5.8 years</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555,010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210,586</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6.5 years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561,767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167,255</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 years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200,237</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152,719</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 years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202,768</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127,350</w:t>
            </w:r>
          </w:p>
        </w:tc>
        <w:tc>
          <w:tcPr>
            <w:tcW w:w="100" w:type="dxa"/>
            <w:vAlign w:val="bottom"/>
          </w:tcPr>
          <w:p>
            <w:pPr>
              <w:spacing w:after="0"/>
              <w:rPr>
                <w:sz w:val="18"/>
                <w:szCs w:val="18"/>
                <w:color w:val="auto"/>
              </w:rPr>
            </w:pPr>
          </w:p>
        </w:tc>
      </w:tr>
      <w:tr>
        <w:trPr>
          <w:trHeight w:val="250"/>
        </w:trPr>
        <w:tc>
          <w:tcPr>
            <w:tcW w:w="37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carrying value of intangible assets</w:t>
            </w:r>
          </w:p>
        </w:tc>
        <w:tc>
          <w:tcPr>
            <w:tcW w:w="10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853,745</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453,753</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863,315</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37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(453,753 )</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(376,016 )</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37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399,992</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487,299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-334010</wp:posOffset>
            </wp:positionV>
            <wp:extent cx="246888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68880" cy="1714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-25400</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Amortization expense was $26.6 million and $22.9 million for the three months ended September 30, 2022 and 2021, respectively, and was $81.0 million and $66.9 million for the nine months ended September 30, 2022 and 2021, respectively.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Estimated amortization expense in future years is expected to be: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6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3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662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76,953</w:t>
            </w:r>
          </w:p>
        </w:tc>
        <w:tc>
          <w:tcPr>
            <w:tcW w:w="10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80" w:type="dxa"/>
            <w:vAlign w:val="bottom"/>
            <w:shd w:val="clear" w:color="auto" w:fill="CFF0FC"/>
          </w:tcPr>
          <w:p>
            <w:pPr>
              <w:spacing w:after="0"/>
              <w:rPr>
                <w:sz w:val="18"/>
                <w:szCs w:val="18"/>
                <w:color w:val="auto"/>
              </w:rPr>
            </w:pPr>
          </w:p>
        </w:tc>
        <w:tc>
          <w:tcPr>
            <w:tcW w:w="60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66,469</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63,771</w:t>
            </w:r>
          </w:p>
        </w:tc>
        <w:tc>
          <w:tcPr>
            <w:tcW w:w="100" w:type="dxa"/>
            <w:vAlign w:val="bottom"/>
          </w:tcPr>
          <w:p>
            <w:pPr>
              <w:spacing w:after="0"/>
              <w:rPr>
                <w:sz w:val="18"/>
                <w:szCs w:val="18"/>
                <w:color w:val="auto"/>
              </w:rPr>
            </w:pPr>
          </w:p>
        </w:tc>
      </w:tr>
      <w:tr>
        <w:trPr>
          <w:trHeight w:val="216"/>
        </w:trPr>
        <w:tc>
          <w:tcPr>
            <w:tcW w:w="1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80" w:type="dxa"/>
            <w:vAlign w:val="bottom"/>
            <w:shd w:val="clear" w:color="auto" w:fill="CFF0FC"/>
          </w:tcPr>
          <w:p>
            <w:pPr>
              <w:spacing w:after="0"/>
              <w:rPr>
                <w:sz w:val="18"/>
                <w:szCs w:val="18"/>
                <w:color w:val="auto"/>
              </w:rPr>
            </w:pPr>
          </w:p>
        </w:tc>
        <w:tc>
          <w:tcPr>
            <w:tcW w:w="60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56,784</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111,049</w:t>
            </w:r>
          </w:p>
        </w:tc>
        <w:tc>
          <w:tcPr>
            <w:tcW w:w="100" w:type="dxa"/>
            <w:vAlign w:val="bottom"/>
          </w:tcPr>
          <w:p>
            <w:pPr>
              <w:spacing w:after="0"/>
              <w:rPr>
                <w:sz w:val="18"/>
                <w:szCs w:val="18"/>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34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60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80" w:type="dxa"/>
            <w:vAlign w:val="bottom"/>
          </w:tcPr>
          <w:p>
            <w:pPr>
              <w:jc w:val="right"/>
              <w:ind w:right="3750"/>
              <w:spacing w:after="0"/>
              <w:rPr>
                <w:sz w:val="20"/>
                <w:szCs w:val="20"/>
                <w:color w:val="auto"/>
              </w:rPr>
            </w:pPr>
            <w:r>
              <w:rPr>
                <w:rFonts w:ascii="Times New Roman" w:cs="Times New Roman" w:eastAsia="Times New Roman" w:hAnsi="Times New Roman"/>
                <w:sz w:val="18"/>
                <w:szCs w:val="18"/>
                <w:color w:val="auto"/>
              </w:rPr>
              <w:t>16</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60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6" w:name="page17"/>
    <w:bookmarkEnd w:id="16"/>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consist of the following at: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5"/>
                <w:szCs w:val="15"/>
                <w:color w:val="auto"/>
              </w:rPr>
            </w:pPr>
          </w:p>
        </w:tc>
        <w:tc>
          <w:tcPr>
            <w:tcW w:w="13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Pr>
          <w:p>
            <w:pPr>
              <w:spacing w:after="0"/>
              <w:rPr>
                <w:sz w:val="18"/>
                <w:szCs w:val="18"/>
                <w:color w:val="auto"/>
              </w:rPr>
            </w:pPr>
          </w:p>
        </w:tc>
      </w:tr>
      <w:tr>
        <w:trPr>
          <w:trHeight w:val="216"/>
        </w:trPr>
        <w:tc>
          <w:tcPr>
            <w:tcW w:w="7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deferred tax liabilities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tcPr>
          <w:p>
            <w:pPr>
              <w:spacing w:after="0"/>
              <w:rPr>
                <w:sz w:val="18"/>
                <w:szCs w:val="18"/>
                <w:color w:val="auto"/>
              </w:rPr>
            </w:pPr>
          </w:p>
        </w:tc>
      </w:tr>
      <w:tr>
        <w:trPr>
          <w:trHeight w:val="216"/>
        </w:trPr>
        <w:tc>
          <w:tcPr>
            <w:tcW w:w="7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due to customers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Payroll liabilities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18"/>
                <w:szCs w:val="18"/>
                <w:color w:val="auto"/>
              </w:rPr>
            </w:pPr>
          </w:p>
        </w:tc>
      </w:tr>
      <w:tr>
        <w:trPr>
          <w:trHeight w:val="216"/>
        </w:trPr>
        <w:tc>
          <w:tcPr>
            <w:tcW w:w="7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Advanced deposits</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tcPr>
          <w:p>
            <w:pPr>
              <w:spacing w:after="0"/>
              <w:rPr>
                <w:sz w:val="18"/>
                <w:szCs w:val="18"/>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76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45,068</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a summary of the Company’s long-term debt at: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5"/>
                <w:szCs w:val="15"/>
                <w:color w:val="auto"/>
              </w:rPr>
            </w:pPr>
          </w:p>
        </w:tc>
        <w:tc>
          <w:tcPr>
            <w:tcW w:w="13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 due 2028</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888,361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895,125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8"/>
                <w:szCs w:val="18"/>
                <w:color w:val="auto"/>
              </w:rPr>
            </w:pPr>
          </w:p>
        </w:tc>
      </w:tr>
      <w:tr>
        <w:trPr>
          <w:trHeight w:val="216"/>
        </w:trPr>
        <w:tc>
          <w:tcPr>
            <w:tcW w:w="7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PPP Loan</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2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r>
      <w:tr>
        <w:trPr>
          <w:trHeight w:val="216"/>
        </w:trPr>
        <w:tc>
          <w:tcPr>
            <w:tcW w:w="7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original issue discounts</w:t>
            </w: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(5,916 )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(6,753 )</w:t>
            </w:r>
          </w:p>
        </w:tc>
      </w:tr>
      <w:tr>
        <w:trPr>
          <w:trHeight w:val="216"/>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(19,420 )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(22,551 )</w:t>
            </w:r>
          </w:p>
        </w:tc>
      </w:tr>
      <w:tr>
        <w:trPr>
          <w:trHeight w:val="209"/>
        </w:trPr>
        <w:tc>
          <w:tcPr>
            <w:tcW w:w="7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1,213,025</w:t>
            </w: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1,243,754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(9,019 )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(36,952 )</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76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1,204,006</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1,206,802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and Senior Notes</w:t>
      </w:r>
    </w:p>
    <w:p>
      <w:pPr>
        <w:spacing w:after="0" w:line="106"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In March 2021, VM Consolidated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$650.0 million, maturing on March 26, 2028, and an accordion feature providing for an additional $250.0 million of term loans, subject to satisfaction of certain requirements. In connection with the 2021 Term Loan, the Company had an offering discount cost of $3.3 million and $0.7 million of deferred financing costs, both of which were capitalized and are amortized over the remaining life of the 2021 Term Loan.</w:t>
      </w:r>
    </w:p>
    <w:p>
      <w:pPr>
        <w:spacing w:after="0" w:line="173"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 addition, in March 2021, VM Consolidated issued an aggregate principal amount of $350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on April 15, 2029. In connection with the issuance of the Senior Notes, the Company incurred $5.7 million in lender and third-party costs, which were capitalized as deferred financing costs and are being amortized over the remaining life of the Senior Notes.</w:t>
      </w:r>
    </w:p>
    <w:p>
      <w:pPr>
        <w:spacing w:after="0" w:line="1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net proceeds from both the 2021 Term Loan and the Senior Notes were used in March 2021 to repay in full all outstanding debt which was represented by the First Lien Term Loan Credit Agreement (as amended, the “</w:t>
      </w:r>
      <w:r>
        <w:rPr>
          <w:rFonts w:ascii="Times New Roman" w:cs="Times New Roman" w:eastAsia="Times New Roman" w:hAnsi="Times New Roman"/>
          <w:sz w:val="18"/>
          <w:szCs w:val="18"/>
          <w:b w:val="1"/>
          <w:bCs w:val="1"/>
          <w:i w:val="1"/>
          <w:iCs w:val="1"/>
          <w:color w:val="auto"/>
        </w:rPr>
        <w:t>2018 Term Loan</w:t>
      </w:r>
      <w:r>
        <w:rPr>
          <w:rFonts w:ascii="Times New Roman" w:cs="Times New Roman" w:eastAsia="Times New Roman" w:hAnsi="Times New Roman"/>
          <w:sz w:val="18"/>
          <w:szCs w:val="18"/>
          <w:color w:val="auto"/>
        </w:rPr>
        <w:t>”) with a balance of $865.6 million.</w:t>
      </w:r>
    </w:p>
    <w:p>
      <w:pPr>
        <w:spacing w:after="0" w:line="162"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On December 7, 2021, VM Consolidated entered into an agreement to exercise the accordion feature under the 2021 Term Loan, borrowing $250.0 million in incremental term loans (“</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The proceeds from the Incremental Term Loan were used, along with cash on hand, to fund the acquisition of T2 Systems, including repayment in full all outstanding debt for T2 Systems. In connection with the Incremental Term Loan, the Company had an offering discount cost of $1.3 million and $3.8 million of deferred financing costs, both of which were capitalized and are amortized over the remaining life of the 2021 Term Loan. The Incremental Term Loan accrued interest from the date of borrowing until December 31, 2021, at which time, it was combined with the 2021 Term Loan to be a single tranche of term loan borrowings. The total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principal outstanding under the 2021 Term Loan, which includes the Incremental Term Loan, was $888.4 million at September 30, 2022.</w:t>
      </w:r>
    </w:p>
    <w:p>
      <w:pPr>
        <w:spacing w:after="0" w:line="225"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As of September 30, 2022, the interest rate on the 2021 Term Loan was 6.1%.</w:t>
      </w:r>
    </w:p>
    <w:p>
      <w:pPr>
        <w:spacing w:after="0" w:line="190"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r>
      <w:tr>
        <w:trPr>
          <w:trHeight w:val="148"/>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r>
      <w:tr>
        <w:trPr>
          <w:trHeight w:val="200"/>
        </w:trPr>
        <w:tc>
          <w:tcPr>
            <w:tcW w:w="87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20" w:type="dxa"/>
            <w:vAlign w:val="bottom"/>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872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2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176"/>
        </w:trPr>
        <w:tc>
          <w:tcPr>
            <w:tcW w:w="3360" w:type="dxa"/>
            <w:vAlign w:val="bottom"/>
          </w:tcPr>
          <w:p>
            <w:pPr>
              <w:spacing w:after="0"/>
              <w:rPr>
                <w:sz w:val="15"/>
                <w:szCs w:val="15"/>
                <w:color w:val="auto"/>
              </w:rPr>
            </w:pPr>
          </w:p>
        </w:tc>
        <w:tc>
          <w:tcPr>
            <w:tcW w:w="5360" w:type="dxa"/>
            <w:vAlign w:val="bottom"/>
            <w:gridSpan w:val="4"/>
          </w:tcPr>
          <w:p>
            <w:pPr>
              <w:jc w:val="center"/>
              <w:ind w:right="3360"/>
              <w:spacing w:after="0" w:line="176" w:lineRule="exact"/>
              <w:rPr>
                <w:sz w:val="20"/>
                <w:szCs w:val="20"/>
                <w:color w:val="auto"/>
              </w:rPr>
            </w:pPr>
            <w:r>
              <w:rPr>
                <w:rFonts w:ascii="Times New Roman" w:cs="Times New Roman" w:eastAsia="Times New Roman" w:hAnsi="Times New Roman"/>
                <w:sz w:val="18"/>
                <w:szCs w:val="18"/>
                <w:color w:val="auto"/>
                <w:w w:val="99"/>
              </w:rPr>
              <w:t>&lt; 3.70:1.00 and &gt; 3.20:1.00</w:t>
            </w:r>
          </w:p>
        </w:tc>
        <w:tc>
          <w:tcPr>
            <w:tcW w:w="252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76"/>
        </w:trPr>
        <w:tc>
          <w:tcPr>
            <w:tcW w:w="8720" w:type="dxa"/>
            <w:vAlign w:val="bottom"/>
            <w:gridSpan w:val="5"/>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0%</w:t>
            </w: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On or after April 15, 2024,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all or a portion of the Senior Notes at the redemption prices set forth below in percentages by year, plus accrued and unpaid interest: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8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102.750%</w:t>
            </w:r>
          </w:p>
        </w:tc>
      </w:tr>
      <w:tr>
        <w:trPr>
          <w:trHeight w:val="216"/>
        </w:trPr>
        <w:tc>
          <w:tcPr>
            <w:tcW w:w="8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5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101.375%</w:t>
            </w:r>
          </w:p>
        </w:tc>
      </w:tr>
      <w:tr>
        <w:trPr>
          <w:trHeight w:val="216"/>
        </w:trPr>
        <w:tc>
          <w:tcPr>
            <w:tcW w:w="8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2026 and thereafter</w:t>
            </w:r>
          </w:p>
        </w:tc>
        <w:tc>
          <w:tcPr>
            <w:tcW w:w="2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the Company may redeem up to 40% of the Senior Notes before April 15, 2024, with the net cash proceeds from certain equity offerings.</w:t>
      </w:r>
    </w:p>
    <w:p>
      <w:pPr>
        <w:spacing w:after="0" w:line="212"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Company evaluated the March 2021 refinancing transactions on a lender-by-lender basis and accounted for the portion of the transaction that did not meet the accounting criteria for debt extinguishment as a debt modification. Accordingly, the Company recognized a loss on extinguishment of debt of $5.3 million on the 2018 Term Loan during the nine months ended September 30, 2021 consisting of a $4.0 million write-off of pre-existing deferred financing costs and discounts and $1.3 million of lender and third-party costs associated with the issuance of the 2021 Term Loan.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PPP Loan</w:t>
      </w:r>
    </w:p>
    <w:p>
      <w:pPr>
        <w:spacing w:after="0" w:line="102"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During fiscal year 2020, Redflex received a $2.9 million loan from the U.S. Small Business Administration (“</w:t>
      </w:r>
      <w:r>
        <w:rPr>
          <w:rFonts w:ascii="Times New Roman" w:cs="Times New Roman" w:eastAsia="Times New Roman" w:hAnsi="Times New Roman"/>
          <w:sz w:val="18"/>
          <w:szCs w:val="18"/>
          <w:b w:val="1"/>
          <w:bCs w:val="1"/>
          <w:i w:val="1"/>
          <w:iCs w:val="1"/>
          <w:color w:val="auto"/>
        </w:rPr>
        <w:t>SBA</w:t>
      </w:r>
      <w:r>
        <w:rPr>
          <w:rFonts w:ascii="Times New Roman" w:cs="Times New Roman" w:eastAsia="Times New Roman" w:hAnsi="Times New Roman"/>
          <w:sz w:val="18"/>
          <w:szCs w:val="18"/>
          <w:color w:val="auto"/>
        </w:rPr>
        <w:t>”) as part of the Paycheck Protection Program (“</w:t>
      </w:r>
      <w:r>
        <w:rPr>
          <w:rFonts w:ascii="Times New Roman" w:cs="Times New Roman" w:eastAsia="Times New Roman" w:hAnsi="Times New Roman"/>
          <w:sz w:val="18"/>
          <w:szCs w:val="18"/>
          <w:b w:val="1"/>
          <w:bCs w:val="1"/>
          <w:i w:val="1"/>
          <w:iCs w:val="1"/>
          <w:color w:val="auto"/>
        </w:rPr>
        <w:t>PPP Loan</w:t>
      </w:r>
      <w:r>
        <w:rPr>
          <w:rFonts w:ascii="Times New Roman" w:cs="Times New Roman" w:eastAsia="Times New Roman" w:hAnsi="Times New Roman"/>
          <w:sz w:val="18"/>
          <w:szCs w:val="18"/>
          <w:color w:val="auto"/>
        </w:rPr>
        <w:t>”) to offset certain employment and other allowable costs incurred as a result of the COVID-19 pandemic. In early 2021, Redflex applied for forgiveness of this loan, and on September 23, 2022, the Company was notified by the SBA that the loan, together with accrued interest, had been fully forgiven under the provisions of the PPP Loan program. Accordingly, the Company recognized a $3.0 million gain on extinguishment of debt in the consolidated statement of operations for the three and nine months ended September 30,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115"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The Company has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$75.0 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December 31, 2021, the Company had $25.0 million in outstanding borrowings on the Revolver, which was repaid in full in January 2022. At September 30, 2022, the availability to borrow was $72.1 million, net of $0.2 million of outstanding letters of credit.</w:t>
      </w:r>
    </w:p>
    <w:p>
      <w:pPr>
        <w:spacing w:after="0" w:line="1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the Company is also required to pay participation and fronting fees at 1.38% on $0.2 million of outstanding letters of credit as of September 30,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8" w:name="page19"/>
    <w:bookmarkEnd w:id="18"/>
    <w:p>
      <w:pPr>
        <w:jc w:val="both"/>
        <w:ind w:right="60" w:firstLine="374"/>
        <w:spacing w:after="0" w:line="250"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September 30, 2022, the Company was compliant with all debt covenants.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The Company recorded interest expense, including amortization of deferred financing costs and discounts, of $20.3 million and $11.6 million for the three months ended September 30, 2022 and 2021, respectively, and $49.0 million and $32.5 million for the nine months ended September 30, 2022 and 2021, respectively.</w:t>
      </w:r>
    </w:p>
    <w:p>
      <w:pPr>
        <w:spacing w:after="0" w:line="169"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The weighted average effective interest rates on the Company’s outstanding borrowings were 5.9% and 4.1% at September 30, 2022 and December 31, 2021, respectively.</w:t>
      </w:r>
    </w:p>
    <w:p>
      <w:pPr>
        <w:spacing w:after="0" w:line="266"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jc w:val="both"/>
        <w:ind w:right="60" w:firstLine="374"/>
        <w:spacing w:after="0" w:line="251"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Fair value is based on observable inputs such as quoted prices for identical assets or liabilities in active markets.</w:t>
      </w:r>
    </w:p>
    <w:p>
      <w:pPr>
        <w:spacing w:after="0" w:line="185" w:lineRule="exact"/>
        <w:rPr>
          <w:sz w:val="20"/>
          <w:szCs w:val="20"/>
          <w:color w:val="auto"/>
        </w:rPr>
      </w:pPr>
    </w:p>
    <w:p>
      <w:pPr>
        <w:ind w:left="760" w:right="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Fair value is determined using quoted prices for similar assets or liabilities in active markets,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inputs other than quoted prices that are directly or indirectly observable.</w:t>
      </w:r>
    </w:p>
    <w:p>
      <w:pPr>
        <w:spacing w:after="0" w:line="132" w:lineRule="exact"/>
        <w:rPr>
          <w:sz w:val="20"/>
          <w:szCs w:val="20"/>
          <w:color w:val="auto"/>
        </w:rPr>
      </w:pPr>
    </w:p>
    <w:p>
      <w:pPr>
        <w:ind w:left="760" w:right="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Fair value is determined using one or more significant inputs that are unobservable in active markets at the measurement date, such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model, discounted cash flow, or similar technique.</w:t>
      </w:r>
    </w:p>
    <w:p>
      <w:pPr>
        <w:spacing w:after="0" w:line="161"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long-term debt was calculated based upon available market information. The carrying value and the estimated fair value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in</w:t>
            </w: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8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3"/>
                <w:szCs w:val="13"/>
                <w:color w:val="auto"/>
              </w:rPr>
            </w:pPr>
          </w:p>
        </w:tc>
        <w:tc>
          <w:tcPr>
            <w:tcW w:w="1120" w:type="dxa"/>
            <w:vAlign w:val="bottom"/>
          </w:tcPr>
          <w:p>
            <w:pPr>
              <w:jc w:val="right"/>
              <w:ind w:right="322"/>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321"/>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19"/>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317"/>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40" w:type="dxa"/>
            <w:vAlign w:val="bottom"/>
          </w:tcPr>
          <w:p>
            <w:pPr>
              <w:spacing w:after="0"/>
              <w:rPr>
                <w:sz w:val="15"/>
                <w:szCs w:val="15"/>
                <w:color w:val="auto"/>
              </w:rPr>
            </w:pPr>
          </w:p>
        </w:tc>
        <w:tc>
          <w:tcPr>
            <w:tcW w:w="11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16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shd w:val="clear" w:color="auto" w:fill="CFF0FC"/>
          </w:tcPr>
          <w:p>
            <w:pPr>
              <w:spacing w:after="0"/>
              <w:rPr>
                <w:sz w:val="20"/>
                <w:szCs w:val="20"/>
                <w:color w:val="auto"/>
              </w:rPr>
            </w:pPr>
          </w:p>
        </w:tc>
        <w:tc>
          <w:tcPr>
            <w:tcW w:w="3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14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FF0FC"/>
          </w:tcPr>
          <w:p>
            <w:pPr>
              <w:spacing w:after="0"/>
              <w:rPr>
                <w:sz w:val="20"/>
                <w:szCs w:val="20"/>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867,587</w:t>
            </w:r>
          </w:p>
        </w:tc>
        <w:tc>
          <w:tcPr>
            <w:tcW w:w="5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875,035</w:t>
            </w:r>
          </w:p>
        </w:tc>
        <w:tc>
          <w:tcPr>
            <w:tcW w:w="5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871,467</w:t>
            </w:r>
          </w:p>
        </w:tc>
        <w:tc>
          <w:tcPr>
            <w:tcW w:w="5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2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160" w:type="dxa"/>
            <w:vAlign w:val="bottom"/>
            <w:shd w:val="clear" w:color="auto" w:fill="CFF0FC"/>
          </w:tcPr>
          <w:p>
            <w:pPr>
              <w:spacing w:after="0"/>
              <w:rPr>
                <w:sz w:val="6"/>
                <w:szCs w:val="6"/>
                <w:color w:val="auto"/>
              </w:rPr>
            </w:pPr>
          </w:p>
        </w:tc>
        <w:tc>
          <w:tcPr>
            <w:tcW w:w="1400" w:type="dxa"/>
            <w:vAlign w:val="bottom"/>
            <w:vMerge w:val="continue"/>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240" w:type="dxa"/>
            <w:vAlign w:val="bottom"/>
            <w:vMerge w:val="continue"/>
            <w:shd w:val="clear" w:color="auto" w:fill="CFF0FC"/>
          </w:tcPr>
          <w:p>
            <w:pPr>
              <w:spacing w:after="0"/>
              <w:rPr>
                <w:sz w:val="6"/>
                <w:szCs w:val="6"/>
                <w:color w:val="auto"/>
              </w:rPr>
            </w:pPr>
          </w:p>
        </w:tc>
        <w:tc>
          <w:tcPr>
            <w:tcW w:w="1120" w:type="dxa"/>
            <w:vAlign w:val="bottom"/>
            <w:vMerge w:val="continue"/>
            <w:shd w:val="clear" w:color="auto" w:fill="CFF0FC"/>
          </w:tcPr>
          <w:p>
            <w:pPr>
              <w:spacing w:after="0"/>
              <w:rPr>
                <w:sz w:val="6"/>
                <w:szCs w:val="6"/>
                <w:color w:val="auto"/>
              </w:rPr>
            </w:pPr>
          </w:p>
        </w:tc>
        <w:tc>
          <w:tcPr>
            <w:tcW w:w="560" w:type="dxa"/>
            <w:vAlign w:val="bottom"/>
            <w:gridSpan w:val="2"/>
            <w:vMerge w:val="continue"/>
            <w:shd w:val="clear" w:color="auto" w:fill="CFF0FC"/>
          </w:tcPr>
          <w:p>
            <w:pPr>
              <w:spacing w:after="0"/>
              <w:rPr>
                <w:sz w:val="6"/>
                <w:szCs w:val="6"/>
                <w:color w:val="auto"/>
              </w:rPr>
            </w:pPr>
          </w:p>
        </w:tc>
        <w:tc>
          <w:tcPr>
            <w:tcW w:w="1180" w:type="dxa"/>
            <w:vAlign w:val="bottom"/>
            <w:vMerge w:val="continue"/>
            <w:shd w:val="clear" w:color="auto" w:fill="CFF0FC"/>
          </w:tcPr>
          <w:p>
            <w:pPr>
              <w:spacing w:after="0"/>
              <w:rPr>
                <w:sz w:val="6"/>
                <w:szCs w:val="6"/>
                <w:color w:val="auto"/>
              </w:rPr>
            </w:pPr>
          </w:p>
        </w:tc>
        <w:tc>
          <w:tcPr>
            <w:tcW w:w="540" w:type="dxa"/>
            <w:vAlign w:val="bottom"/>
            <w:gridSpan w:val="2"/>
            <w:vMerge w:val="continue"/>
            <w:shd w:val="clear" w:color="auto" w:fill="CFF0FC"/>
          </w:tcPr>
          <w:p>
            <w:pPr>
              <w:spacing w:after="0"/>
              <w:rPr>
                <w:sz w:val="6"/>
                <w:szCs w:val="6"/>
                <w:color w:val="auto"/>
              </w:rPr>
            </w:pPr>
          </w:p>
        </w:tc>
        <w:tc>
          <w:tcPr>
            <w:tcW w:w="1100" w:type="dxa"/>
            <w:vAlign w:val="bottom"/>
            <w:vMerge w:val="continue"/>
            <w:shd w:val="clear" w:color="auto" w:fill="CFF0FC"/>
          </w:tcPr>
          <w:p>
            <w:pPr>
              <w:spacing w:after="0"/>
              <w:rPr>
                <w:sz w:val="6"/>
                <w:szCs w:val="6"/>
                <w:color w:val="auto"/>
              </w:rPr>
            </w:pPr>
          </w:p>
        </w:tc>
        <w:tc>
          <w:tcPr>
            <w:tcW w:w="500" w:type="dxa"/>
            <w:vAlign w:val="bottom"/>
            <w:gridSpan w:val="2"/>
            <w:vMerge w:val="continue"/>
            <w:shd w:val="clear" w:color="auto" w:fill="CFF0FC"/>
          </w:tcPr>
          <w:p>
            <w:pPr>
              <w:spacing w:after="0"/>
              <w:rPr>
                <w:sz w:val="6"/>
                <w:szCs w:val="6"/>
                <w:color w:val="auto"/>
              </w:rPr>
            </w:pPr>
          </w:p>
        </w:tc>
        <w:tc>
          <w:tcPr>
            <w:tcW w:w="116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160" w:type="dxa"/>
            <w:vAlign w:val="bottom"/>
            <w:shd w:val="clear" w:color="auto" w:fill="CFF0FC"/>
          </w:tcPr>
          <w:p>
            <w:pPr>
              <w:spacing w:after="0"/>
              <w:rPr>
                <w:sz w:val="8"/>
                <w:szCs w:val="8"/>
                <w:color w:val="auto"/>
              </w:rPr>
            </w:pPr>
          </w:p>
        </w:tc>
        <w:tc>
          <w:tcPr>
            <w:tcW w:w="1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120" w:type="dxa"/>
            <w:vAlign w:val="bottom"/>
            <w:vMerge w:val="continue"/>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180" w:type="dxa"/>
            <w:vAlign w:val="bottom"/>
            <w:vMerge w:val="continue"/>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10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16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345,438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60" w:firstLine="374"/>
        <w:spacing w:after="0" w:line="250" w:lineRule="auto"/>
        <w:rPr>
          <w:sz w:val="20"/>
          <w:szCs w:val="20"/>
          <w:color w:val="auto"/>
        </w:rPr>
      </w:pPr>
      <w:r>
        <w:rPr>
          <w:rFonts w:ascii="Times New Roman" w:cs="Times New Roman" w:eastAsia="Times New Roman" w:hAnsi="Times New Roman"/>
          <w:sz w:val="18"/>
          <w:szCs w:val="18"/>
          <w:color w:val="auto"/>
        </w:rPr>
        <w:t>The fair value of the private placement warrant liabilities is measured on a recurring basis and is estimated using the Black-Scholes option pricing model using significant unobservable inputs, primarily related to estimated volatility, and is therefore classified within level 3 of the fair value hierarchy. The key assumptions used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680" w:type="dxa"/>
            <w:vAlign w:val="bottom"/>
            <w:tcBorders>
              <w:top w:val="single" w:sz="8" w:color="auto"/>
            </w:tcBorders>
            <w:shd w:val="clear" w:color="auto" w:fill="CFF0FC"/>
          </w:tcPr>
          <w:p>
            <w:pPr>
              <w:jc w:val="right"/>
              <w:ind w:right="14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3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1680" w:type="dxa"/>
            <w:vAlign w:val="bottom"/>
          </w:tcPr>
          <w:p>
            <w:pPr>
              <w:jc w:val="right"/>
              <w:ind w:right="14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41.0 %</w:t>
            </w:r>
          </w:p>
        </w:tc>
        <w:tc>
          <w:tcPr>
            <w:tcW w:w="3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48.0 %</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life (in years)</w:t>
            </w:r>
          </w:p>
        </w:tc>
        <w:tc>
          <w:tcPr>
            <w:tcW w:w="1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4.06 %</w:t>
            </w:r>
          </w:p>
        </w:tc>
        <w:tc>
          <w:tcPr>
            <w:tcW w:w="3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0.66 %</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0.0 %</w:t>
            </w:r>
          </w:p>
        </w:tc>
        <w:tc>
          <w:tcPr>
            <w:tcW w:w="3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0"/>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1680" w:type="dxa"/>
            <w:vAlign w:val="bottom"/>
            <w:shd w:val="clear" w:color="auto" w:fill="CFF0FC"/>
          </w:tcPr>
          <w:p>
            <w:pPr>
              <w:jc w:val="right"/>
              <w:ind w:right="14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The Company is exposed to valuation risk on these Level 3 financial instruments. The risk of exposure is estimated using a sensitivity analysis of potential changes in the significant unobservable inputs, primarily the volatility input that is the most</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0" w:right="27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susceptible to valuation risk. A 5.0% increase to the volatility input at September 30, 2022 would increase the estimated fair value by $0.19 per unit. A 5.0% decrease to the volatility input at September 30, 2022 would decrease the estimated fair value by $0.18 per unit. The following summarizes the changes in fair value of private placement warrant liabilities included in net income for the respective periods: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5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41,000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8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(2,267 )</w:t>
            </w:r>
          </w:p>
        </w:tc>
        <w:tc>
          <w:tcPr>
            <w:tcW w:w="10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(5,067 )</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(5,133 )</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Pr>
          <w:p>
            <w:pPr>
              <w:spacing w:after="0"/>
              <w:rPr>
                <w:sz w:val="18"/>
                <w:szCs w:val="18"/>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45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88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3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35,933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-24765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The Company has an equity investment measured at cost of $3.2 million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as of September 30, 2022.</w:t>
      </w:r>
    </w:p>
    <w:p>
      <w:pPr>
        <w:spacing w:after="0" w:line="181"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The fair value of the contingent consideration payable in connection with the NuPark acquisition was $1.5 million at December 13, 2021 acquisition date and was classified within level 3 of the fair value hierarchy. The valuation of the contingent consideration was measured using a discounted cash flow model and the significant unobservable inputs used in the measurement relate to forecasts of annualized revenue developed by the Company. During the nine months ended September 30, 2022, the Company made payments that totaled approximately $0.9 million to settle in full the contingent consideration payable to Passport Labs Inc.</w:t>
      </w:r>
    </w:p>
    <w:p>
      <w:pPr>
        <w:spacing w:after="0" w:line="110"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basic and diluted net income per share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6"/>
        </w:trPr>
        <w:tc>
          <w:tcPr>
            <w:tcW w:w="4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27,306</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64,257</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22,383</w:t>
            </w:r>
          </w:p>
        </w:tc>
        <w:tc>
          <w:tcPr>
            <w:tcW w:w="100" w:type="dxa"/>
            <w:vAlign w:val="bottom"/>
          </w:tcPr>
          <w:p>
            <w:pPr>
              <w:spacing w:after="0"/>
              <w:rPr>
                <w:sz w:val="18"/>
                <w:szCs w:val="18"/>
                <w:color w:val="auto"/>
              </w:rPr>
            </w:pPr>
          </w:p>
        </w:tc>
      </w:tr>
      <w:tr>
        <w:trPr>
          <w:trHeight w:val="216"/>
        </w:trPr>
        <w:tc>
          <w:tcPr>
            <w:tcW w:w="4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151,429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159,358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154,067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161,334</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46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stock equivalents</w:t>
            </w: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4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165,431</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160,433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164,808</w:t>
            </w:r>
          </w:p>
        </w:tc>
        <w:tc>
          <w:tcPr>
            <w:tcW w:w="100" w:type="dxa"/>
            <w:vAlign w:val="bottom"/>
          </w:tcPr>
          <w:p>
            <w:pPr>
              <w:spacing w:after="0"/>
              <w:rPr>
                <w:sz w:val="18"/>
                <w:szCs w:val="18"/>
                <w:color w:val="auto"/>
              </w:rPr>
            </w:pPr>
          </w:p>
        </w:tc>
      </w:tr>
      <w:tr>
        <w:trPr>
          <w:trHeight w:val="216"/>
        </w:trPr>
        <w:tc>
          <w:tcPr>
            <w:tcW w:w="4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FF0FC"/>
          </w:tcPr>
          <w:p>
            <w:pPr>
              <w:spacing w:after="0"/>
              <w:rPr>
                <w:sz w:val="18"/>
                <w:szCs w:val="18"/>
                <w:color w:val="auto"/>
              </w:rPr>
            </w:pPr>
          </w:p>
        </w:tc>
      </w:tr>
      <w:tr>
        <w:trPr>
          <w:trHeight w:val="216"/>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r>
      <w:tr>
        <w:trPr>
          <w:trHeight w:val="171"/>
        </w:trPr>
        <w:tc>
          <w:tcPr>
            <w:tcW w:w="4640" w:type="dxa"/>
            <w:vAlign w:val="bottom"/>
            <w:gridSpan w:val="3"/>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Antidilutive shares excluded from diluted net income per</w:t>
            </w: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4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Contingently issuable shares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4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46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antidilutive shares excluded</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-1670685</wp:posOffset>
            </wp:positionV>
            <wp:extent cx="76835"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-1670685</wp:posOffset>
            </wp:positionV>
            <wp:extent cx="7747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-1670685</wp:posOffset>
            </wp:positionV>
            <wp:extent cx="6858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-170815</wp:posOffset>
            </wp:positionV>
            <wp:extent cx="7683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7747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685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6" w:lineRule="exact"/>
        <w:rPr>
          <w:sz w:val="20"/>
          <w:szCs w:val="20"/>
          <w:color w:val="auto"/>
        </w:rPr>
      </w:pPr>
    </w:p>
    <w:p>
      <w:pPr>
        <w:ind w:left="5540" w:right="2060" w:hanging="5145"/>
        <w:spacing w:after="0" w:line="519" w:lineRule="auto"/>
        <w:tabs>
          <w:tab w:leader="none" w:pos="7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Contingently issuable shares relate to the earn-out agreement as discussed in Note 13, </w:t>
      </w:r>
      <w:r>
        <w:rPr>
          <w:rFonts w:ascii="Times New Roman" w:cs="Times New Roman" w:eastAsia="Times New Roman" w:hAnsi="Times New Roman"/>
          <w:sz w:val="18"/>
          <w:szCs w:val="18"/>
          <w:i w:val="1"/>
          <w:iCs w:val="1"/>
          <w:color w:val="auto"/>
        </w:rPr>
        <w:t>Other Significant Transactions</w:t>
      </w: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Company’s interim income tax provision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177"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77"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Company’s effective income tax rate was 25.5% and 29.6% for the three months ended September 30, 2022 and 2021, respectively, and 30.2% and 43.9% for the nine months ended September 30, 2022 and 2021, respectively. The primary driver for the effective tax rate variance in the nine-month period is the increase in pre-tax income combined with the permanent differences related to the mark-to-market adjustment on the private placement warrants and the adjustment to the carrying value of the Company's tax receivable agreement.</w:t>
      </w:r>
    </w:p>
    <w:p>
      <w:pPr>
        <w:spacing w:after="0" w:line="177"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The total amount of unrecognized tax benefits increased by $8.4 million during the nine months ended September 30, 2022 primarily due to prior year tax positions associated with the Redflex acquisition. As of September 30, 2022, the total amount of unrecognized tax benefits was $11.2 million, of which $2.8 million would affect our effective tax rate if recognized. The Company recognizes interest and penalties related to unrecognized tax benefits through income tax expense. As of September 30, 2022, the Company had $0.2 million accrued for the payment of interest and penalties. We believe that it is reasonably possible that a decrease of up to $8.0 million in unrecognized tax benefits related to the Redflex acquisition may be necessary within the coming year, which will not have an impact to the statements of operations.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August 16, 2022, the U.S. enacted the Inflation Reduction Act of 2022, which, among other things, implements a 15% minimum tax on book income of certain large corporations, a 1% excise tax on net stock repurchases and several tax incentives to promote clean energy. The Company is currently evaluating the impacts of this legislation to the financial statements but does not expect them to be material.</w:t>
      </w:r>
    </w:p>
    <w:p>
      <w:pPr>
        <w:spacing w:after="0" w:line="169"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Effective January 1, 2022, the Tax Cuts and Jobs Act of 2017 requires taxpayers to capitalize, and subsequently amortize R&amp;D expenses over five years for research activities conducted in the U.S. and over fifteen years for research activities conducted outside of the U.S. This will result in an increase to our U.S. income tax liability and net deferred tax assets. The actual impact will depend on multiple factors, including the amount of R&amp;D expenses incurred and whether the research activities are performed within or outside of the U.S. The Company has evaluated the impacts of this change to the financial statements and noted them not to be material.</w:t>
      </w:r>
    </w:p>
    <w:p>
      <w:pPr>
        <w:spacing w:after="0" w:line="195"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The Company is subject to examination by the Internal Revenue Service and taxing authorities in various jurisdictions. The Company files U.S. federal and various foreign income tax returns which are subject to examination by the taxing authorities in the respective jurisdictions, generally for three or four years after they are filed. The Company’s state income tax returns are generally no longer subject to income tax examination by tax authorities prior to 2018; however, the Company’s net operating loss carryforwards and research credit carryforwards arising prior to that year are subject to adjustment. The Company is currently under audit by various state tax jurisdictions for the years 2018 and 2019, however, no material adjustments are anticipated. The Company regularly assesses the likelihood of tax deficiencies in each of the tax jurisdictions and, accordingly, makes appropriate adjustments to the tax provision as deemed necessary.</w:t>
      </w:r>
    </w:p>
    <w:p>
      <w:pPr>
        <w:spacing w:after="0" w:line="285"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 - 2022</w:t>
      </w:r>
    </w:p>
    <w:p>
      <w:pPr>
        <w:spacing w:after="0" w:line="214"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On May 7, 2022, the Company’s Board of Directors authorized a share repurchase program for up to an aggregate amount of $125.0 million of its outstanding shares of Class A Common Stock over the next twelve months from time to time in open market transactions, accelerated share repurchases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or in privately negotiated transactions, each as permitted under applicable rules and regulations, any of which may use pre-arranged trading plans that are designed to meet the requirements of Rule 10b5-1 of the Securities Exchange Act of 1934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1" w:name="page22"/>
    <w:bookmarkEnd w:id="21"/>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On May 12, 2022, the Company paid $50.0 million, which represented the amount initially authorized for an ASR, and received an initial delivery of 2,739,726 shares of its Class A Common Stock in accordance with an ASR agreement with a third-party financial institution. The final settlement occurred on August 3, 2022, at which time, the Company received 445,086 additional shares calculated using a volume-weighted average price over the term of the ASR agreement.</w:t>
      </w:r>
    </w:p>
    <w:p>
      <w:pPr>
        <w:spacing w:after="0" w:line="177"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color w:val="auto"/>
        </w:rPr>
        <w:t>In addition, the Company paid $6.9 million to repurchase 445,791 shares of its Class A Common Stock through open market transactions during the nine months ended September 30, 2022, which it subsequently retired. The Company discontinued open market repurchases during the third quarter of 2022 and its Board of Directors authorized an ASR for the remaining availability under the share repurchase program. On August 19, 2022, the Company paid $68.1 million for a second ASR, and received an initial delivery of 3,300,000 shares of its Class A Common Stock in accordance with an ASR agreement with a third-party financial institution. The final settlement is expected to occur during the fourth quarter of fiscal year 2022, at which time, a volume-weighted average price calculation over the term of the ASR agreement will be used to determine the final number and the average price of shares repurchased and retired. The Company accounted for each ASR transaction as a common stock repurchase and a forward contract indexed to its own common stock. The Company determined that the equity classification criteria was met for the forward contracts, therefore, it did not account for them as derivative instruments. The Company incurred $0.1 million of direct costs in connection with share repurchase transactions during the nine months ended September 30, 2022, which it included in the cost of the shares acquired.</w:t>
      </w:r>
    </w:p>
    <w:p>
      <w:pPr>
        <w:spacing w:after="0" w:line="1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paid a total of $125.0 million for shares repurchases and $0.1 million for direct costs during the nine months ended September 30, 2022 and accounted for the transactions by deducting the par value from the common stock account, reducing $14.0 million from additional paid-in capital calculated using an average share price, and by increasing accumulated deficit for the remaining cost of $111.1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and Retirement - 2021</w:t>
      </w:r>
    </w:p>
    <w:p>
      <w:pPr>
        <w:spacing w:after="0" w:line="119"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On August 9, 2021, the Company announced that its Board of Directors authorized a share repurchase program for up to an aggregate amount of $100 million of its outstanding shares of Class A Common Stock. On August 20, 2021, the Company repurchased and retired 6,849,315 shares of its Class A Common Stock from the Platinum Stockholder at a price per share of $14.60. The Company paid $100 million to fund the share repurchase using existing cash on hand. The Company accounted for the share repurchase and retirement under the cost method by deducting its par value from the common stock account, reducing $72.0 million from the additional paid-in-capital account using the share price when the stock was originally issued, and the remaining excess cost of $28.0 million by increasing the accumulated deficit account.</w:t>
      </w:r>
    </w:p>
    <w:p>
      <w:pPr>
        <w:spacing w:after="0" w:line="286"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details the components of stock-based compensation for the respective periods: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45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3"/>
                <w:szCs w:val="13"/>
                <w:color w:val="auto"/>
              </w:rPr>
            </w:pPr>
          </w:p>
        </w:tc>
        <w:tc>
          <w:tcPr>
            <w:tcW w:w="1320" w:type="dxa"/>
            <w:vAlign w:val="bottom"/>
            <w:gridSpan w:val="2"/>
          </w:tcPr>
          <w:p>
            <w:pPr>
              <w:jc w:val="right"/>
              <w:ind w:right="5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47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FF0FC"/>
          </w:tcPr>
          <w:p>
            <w:pPr>
              <w:spacing w:after="0"/>
              <w:rPr>
                <w:sz w:val="18"/>
                <w:szCs w:val="18"/>
                <w:color w:val="auto"/>
              </w:rPr>
            </w:pPr>
          </w:p>
        </w:tc>
      </w:tr>
      <w:tr>
        <w:trPr>
          <w:trHeight w:val="216"/>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3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00" w:type="dxa"/>
            <w:vAlign w:val="bottom"/>
          </w:tcPr>
          <w:p>
            <w:pPr>
              <w:spacing w:after="0"/>
              <w:rPr>
                <w:sz w:val="18"/>
                <w:szCs w:val="18"/>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45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-24765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The increase in stock-based compensation expense of $3.5 million during the nine months ended September 30, 2022 is primarily due to approximately $2.0 million related to accelerated vesting of RSUs granted to two executive officers as part of their separation agreements, and the remaining due to increased stock-based compensation as a result of 2021 acquisitions.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 w:name="page23"/>
    <w:bookmarkEnd w:id="22"/>
    <w:p>
      <w:pPr>
        <w:ind w:right="8500" w:firstLine="8"/>
        <w:spacing w:after="0" w:line="381" w:lineRule="auto"/>
        <w:tabs>
          <w:tab w:leader="none" w:pos="36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Significant Transactions </w:t>
      </w:r>
      <w:r>
        <w:rPr>
          <w:rFonts w:ascii="Times New Roman" w:cs="Times New Roman" w:eastAsia="Times New Roman" w:hAnsi="Times New Roman"/>
          <w:sz w:val="17"/>
          <w:szCs w:val="17"/>
          <w:b w:val="1"/>
          <w:bCs w:val="1"/>
          <w:i w:val="1"/>
          <w:iCs w:val="1"/>
          <w:color w:val="auto"/>
        </w:rPr>
        <w:t>Tax Receivable Agreement</w:t>
      </w:r>
    </w:p>
    <w:p>
      <w:pPr>
        <w:jc w:val="both"/>
        <w:ind w:firstLine="374"/>
        <w:spacing w:after="0" w:line="232" w:lineRule="auto"/>
        <w:rPr>
          <w:sz w:val="20"/>
          <w:szCs w:val="20"/>
          <w:color w:val="auto"/>
        </w:rPr>
      </w:pPr>
      <w:r>
        <w:rPr>
          <w:rFonts w:ascii="Times New Roman" w:cs="Times New Roman" w:eastAsia="Times New Roman" w:hAnsi="Times New Roman"/>
          <w:sz w:val="18"/>
          <w:szCs w:val="18"/>
          <w:color w:val="auto"/>
        </w:rPr>
        <w:t>At the closing of the Business Combination, the Company entered into a Tax Receivable Agreement (“</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color w:val="auto"/>
        </w:rPr>
        <w:t>”) with the Platinum Stockholder. On August 3, 2022, the Platinum Stockholder sold and transferred to Lakeside Smart Holdco L.P.(“</w:t>
      </w:r>
      <w:r>
        <w:rPr>
          <w:rFonts w:ascii="Times New Roman" w:cs="Times New Roman" w:eastAsia="Times New Roman" w:hAnsi="Times New Roman"/>
          <w:sz w:val="18"/>
          <w:szCs w:val="18"/>
          <w:b w:val="1"/>
          <w:bCs w:val="1"/>
          <w:i w:val="1"/>
          <w:iCs w:val="1"/>
          <w:color w:val="auto"/>
        </w:rPr>
        <w:t>Lakeside</w:t>
      </w:r>
      <w:r>
        <w:rPr>
          <w:rFonts w:ascii="Times New Roman" w:cs="Times New Roman" w:eastAsia="Times New Roman" w:hAnsi="Times New Roman"/>
          <w:sz w:val="18"/>
          <w:szCs w:val="18"/>
          <w:color w:val="auto"/>
        </w:rPr>
        <w:t>”), all of its rights, remaining interests and obligations as of that date under the TRA. The TRA provides for the payment to Lakeside of 50.0% of the net cash savings, if any, in U.S. federal, state and local income tax that the Company actually realizes (or is deemed to realize in certain circumstances) in periods after the closing of the Business Combination as a result of the increased tax basis of certain acquired intangibles prior to the Business Combination. The Company generally retains the benefit of the remaining 50.0% of these cash savings. The Company estimated the potential maximum benefit to be paid will be approximately $70.0 million, and recorded an initial liability and corresponding charge to equity at the closing of the Business Combination. Subsequently, the Company made adjustments to this amount.</w:t>
      </w:r>
    </w:p>
    <w:p>
      <w:pPr>
        <w:spacing w:after="0" w:line="172"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At September 30, 2022, the TRA liability was approximately $60.8 million of which $5.1 million was the current portion and $55.7 million was the non-current portion, both of which are included in the respective tax receivable agreement liability line items on the condensed consolidated balance sheet.</w:t>
      </w:r>
    </w:p>
    <w:p>
      <w:pPr>
        <w:spacing w:after="0" w:line="176"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The Company recorded a $1.0 million benefit for the nine months ended September 30, 2022 and a $1.7 million charge for the nine months ended September 30, 2021. The TRA liability adjustment in 2022 is arising from lower estimated state tax rates due to changes in apportionment, whereas in 2021 it is arising from higher estimated state tax rates due to changes in statutory rates.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Agreement</w:t>
      </w:r>
    </w:p>
    <w:p>
      <w:pPr>
        <w:spacing w:after="0" w:line="104"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Under the Merger Agreement, the Platinum Stockholder is entitled to receive additional shares of Class A Common Stock (the “</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if the volume weighted average closing sale price of one share of Class A Common Stock on the Nasdaq exceeds certain thresholds for a period of at least 10 days out of 20 consecutive trading days at any time during the five-year period following the closing of the Business Combination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Earn-Out Shares are issued by the Company to the Platinum Stockholder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Price Thresholds</w:t>
            </w:r>
          </w:p>
        </w:tc>
        <w:tc>
          <w:tcPr>
            <w:tcW w:w="540" w:type="dxa"/>
            <w:vAlign w:val="bottom"/>
          </w:tcPr>
          <w:p>
            <w:pPr>
              <w:spacing w:after="0"/>
              <w:rPr>
                <w:sz w:val="16"/>
                <w:szCs w:val="16"/>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One-time Issuance of Shares</w:t>
            </w:r>
          </w:p>
        </w:tc>
      </w:tr>
      <w:tr>
        <w:trPr>
          <w:trHeight w:val="210"/>
        </w:trPr>
        <w:tc>
          <w:tcPr>
            <w:tcW w:w="6460" w:type="dxa"/>
            <w:vAlign w:val="bottom"/>
            <w:shd w:val="clear" w:color="auto" w:fill="CFF0FC"/>
          </w:tcPr>
          <w:p>
            <w:pPr>
              <w:jc w:val="center"/>
              <w:spacing w:after="0" w:line="210" w:lineRule="exact"/>
              <w:rPr>
                <w:sz w:val="20"/>
                <w:szCs w:val="20"/>
                <w:color w:val="auto"/>
              </w:rPr>
            </w:pPr>
            <w:r>
              <w:rPr>
                <w:rFonts w:ascii="Times New Roman" w:cs="Times New Roman" w:eastAsia="Times New Roman" w:hAnsi="Times New Roman"/>
                <w:sz w:val="18"/>
                <w:szCs w:val="18"/>
                <w:color w:val="auto"/>
                <w:w w:val="94"/>
              </w:rPr>
              <w:t xml:space="preserve">&gt; $13.00 </w:t>
            </w:r>
            <w:r>
              <w:rPr>
                <w:rFonts w:ascii="Times New Roman" w:cs="Times New Roman" w:eastAsia="Times New Roman" w:hAnsi="Times New Roman"/>
                <w:sz w:val="24"/>
                <w:szCs w:val="24"/>
                <w:color w:val="auto"/>
                <w:w w:val="94"/>
                <w:vertAlign w:val="superscript"/>
              </w:rPr>
              <w:t>(a)</w:t>
            </w:r>
          </w:p>
        </w:tc>
        <w:tc>
          <w:tcPr>
            <w:tcW w:w="540" w:type="dxa"/>
            <w:vAlign w:val="bottom"/>
            <w:shd w:val="clear" w:color="auto" w:fill="CFF0FC"/>
          </w:tcPr>
          <w:p>
            <w:pPr>
              <w:spacing w:after="0"/>
              <w:rPr>
                <w:sz w:val="18"/>
                <w:szCs w:val="18"/>
                <w:color w:val="auto"/>
              </w:rPr>
            </w:pPr>
          </w:p>
        </w:tc>
        <w:tc>
          <w:tcPr>
            <w:tcW w:w="4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2,500,000</w:t>
            </w:r>
          </w:p>
        </w:tc>
      </w:tr>
      <w:tr>
        <w:trPr>
          <w:trHeight w:val="216"/>
        </w:trPr>
        <w:tc>
          <w:tcPr>
            <w:tcW w:w="64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&gt; $15.50 </w:t>
            </w:r>
            <w:r>
              <w:rPr>
                <w:rFonts w:ascii="Times New Roman" w:cs="Times New Roman" w:eastAsia="Times New Roman" w:hAnsi="Times New Roman"/>
                <w:sz w:val="24"/>
                <w:szCs w:val="24"/>
                <w:color w:val="auto"/>
                <w:w w:val="94"/>
                <w:vertAlign w:val="superscript"/>
              </w:rPr>
              <w:t>(a)</w:t>
            </w:r>
          </w:p>
        </w:tc>
        <w:tc>
          <w:tcPr>
            <w:tcW w:w="47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r>
      <w:tr>
        <w:trPr>
          <w:trHeight w:val="216"/>
        </w:trPr>
        <w:tc>
          <w:tcPr>
            <w:tcW w:w="6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$18.00</w:t>
            </w:r>
          </w:p>
        </w:tc>
        <w:tc>
          <w:tcPr>
            <w:tcW w:w="4780" w:type="dxa"/>
            <w:vAlign w:val="bottom"/>
            <w:gridSpan w:val="2"/>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r>
      <w:tr>
        <w:trPr>
          <w:trHeight w:val="234"/>
        </w:trPr>
        <w:tc>
          <w:tcPr>
            <w:tcW w:w="6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&gt; $20.50</w:t>
            </w:r>
          </w:p>
        </w:tc>
        <w:tc>
          <w:tcPr>
            <w:tcW w:w="47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2,500,000</w:t>
            </w:r>
          </w:p>
        </w:tc>
      </w:tr>
    </w:tbl>
    <w:p>
      <w:pPr>
        <w:spacing w:after="0" w:line="179" w:lineRule="exact"/>
        <w:rPr>
          <w:sz w:val="20"/>
          <w:szCs w:val="20"/>
          <w:color w:val="auto"/>
        </w:rPr>
      </w:pPr>
    </w:p>
    <w:p>
      <w:pPr>
        <w:ind w:left="940" w:hanging="558"/>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and second tranches of Earn-Out Shares have been issued, as discussed below.</w:t>
      </w:r>
    </w:p>
    <w:p>
      <w:pPr>
        <w:spacing w:after="0" w:line="235"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If any of the Common Stock Price thresholds above (each, a “</w:t>
      </w:r>
      <w:r>
        <w:rPr>
          <w:rFonts w:ascii="Times New Roman" w:cs="Times New Roman" w:eastAsia="Times New Roman" w:hAnsi="Times New Roman"/>
          <w:sz w:val="18"/>
          <w:szCs w:val="18"/>
          <w:b w:val="1"/>
          <w:bCs w:val="1"/>
          <w:i w:val="1"/>
          <w:iCs w:val="1"/>
          <w:color w:val="auto"/>
        </w:rPr>
        <w:t>Triggering Event</w:t>
      </w:r>
      <w:r>
        <w:rPr>
          <w:rFonts w:ascii="Times New Roman" w:cs="Times New Roman" w:eastAsia="Times New Roman" w:hAnsi="Times New Roman"/>
          <w:sz w:val="18"/>
          <w:szCs w:val="18"/>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89"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If, during the earn-out period, there is a change of control (as defined in the Merger Agreement) that will result in the holders of the Company’s Class A Common Stock receiving a per share price equal to or in excess of the applicable Common Stock Price required in connection with any Triggering Event, then immediately prior to the consummation of such change of control: (a) any such Triggering Event that has not previously occurred shall be deemed to have occurred; and (b) the Company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195"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The Company estimated the original fair value of the contingently issuable shares to be $73.15 million, of which $36.6 million remains contingently issuable as of September 30, 2022.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a Triggering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Event, any issuable shares would be transferred from common stock contingent consideration to common stock and additional paid-in capital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contingently issuable shares not issued as a result of a Triggering Event not being attained by the end of the earn-out period will be canceled.</w:t>
      </w:r>
    </w:p>
    <w:p>
      <w:pPr>
        <w:spacing w:after="0" w:line="193"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On April 26, 2019 and on January 27, 2020, the Triggering Events for the issuance of the first and second tranches of Earn-Out Shares occurred, as the volume weighted average closing sale price per share of the Company’s Class A Common Stock as of that date had been greater than $13.00 and $15.50, respectively, for 10 out of 20 consecutive trading days. These Triggering Events resulted in the issuance of an aggregate 5,000,000 shares of the Company’s Class A Common Stock to the Platinum Stockholder and an increase in the Company’s common stock and additional paid-in capital accounts of $36.6 million, with a corresponding decrease to the common stock contingent consideration account. At September 30, 2022, the potential future Earn-Out Shares issuable are between zero and 5.0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Equity Investment</w:t>
      </w:r>
    </w:p>
    <w:p>
      <w:pPr>
        <w:spacing w:after="0" w:line="216"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Redflex Irish Investments Pty Ltd, a wholly owned indirect subsidiary of the Company, owns a 16% non-voting equity interest in Road Safety Operations Holdings Unlimited, which has a subsidiary, Road Safety Operations Holdings T/A Go Safe Ireland (“</w:t>
      </w:r>
      <w:r>
        <w:rPr>
          <w:rFonts w:ascii="Times New Roman" w:cs="Times New Roman" w:eastAsia="Times New Roman" w:hAnsi="Times New Roman"/>
          <w:sz w:val="18"/>
          <w:szCs w:val="18"/>
          <w:b w:val="1"/>
          <w:bCs w:val="1"/>
          <w:i w:val="1"/>
          <w:iCs w:val="1"/>
          <w:color w:val="auto"/>
        </w:rPr>
        <w:t>Go Safe</w:t>
      </w:r>
      <w:r>
        <w:rPr>
          <w:rFonts w:ascii="Times New Roman" w:cs="Times New Roman" w:eastAsia="Times New Roman" w:hAnsi="Times New Roman"/>
          <w:sz w:val="18"/>
          <w:szCs w:val="18"/>
          <w:color w:val="auto"/>
        </w:rPr>
        <w:t>”), which provides speed and traffic enforcement services and related equipment to its customers in Ireland. This investment was approximately $3.2 million and $3.7 million as of September 30, 2022 and December 31, 2021, respectively, and is presented within other non-current assets on the condensed consolidated balance sheets. The Company is engaged as a vendor to supply equipment and services to Go Safe and related revenues earned were approximately $0.2 million and $0.1 million for the three months ended September 30, 2022 and 2021, respectively and $0.8 million and $0.1 million for the nine months ended September 30, 2022 and 2021, respectively. The dividend income received for this investment in the nine months ended September 30, 2022 was $0.2 million.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ind w:left="360" w:hanging="352"/>
        <w:spacing w:after="0"/>
        <w:tabs>
          <w:tab w:leader="none" w:pos="3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$1.7 million of bank guarantees at September 30, 2022 required to support bids and contracts with certain international customers.</w:t>
      </w:r>
    </w:p>
    <w:p>
      <w:pPr>
        <w:spacing w:after="0" w:line="21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non-cancelable purchase commitments to certain vendors. The aggregate non-cancelable purchase commitments outstanding at September 30, 2022 were $39.3 million. The majority of these outstanding commitments are expected to be incurred in 2022 and 2023, and approximately $1.3 million is expected to be incurred between 2024 and 2025.</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is subject to tax audits in the normal course of business and does not have material contingencies recorded related to such audits.</w:t>
      </w:r>
    </w:p>
    <w:p>
      <w:pPr>
        <w:spacing w:after="0" w:line="212"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14"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spacing w:after="0" w:line="178"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Brantley v. City of Gretna </w:t>
      </w:r>
      <w:r>
        <w:rPr>
          <w:rFonts w:ascii="Times New Roman" w:cs="Times New Roman" w:eastAsia="Times New Roman" w:hAnsi="Times New Roman"/>
          <w:sz w:val="18"/>
          <w:szCs w:val="18"/>
          <w:color w:val="auto"/>
        </w:rPr>
        <w:t>is a class action lawsuit filed in the 24th Judicial District Court of Jefferson Parish, Louisiana against the City of Gretna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and its safety camera vendor, Redflex Traffic Systems, Inc. in April 2016.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is now pending. Based on the information available to the Company at present, it cannot reasonably estimate a range of loss for this action and, accordingly, it has not accrued any liability associated with this action.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08"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The Company has three operating and reportable segments, Commercial Services, Government Solutions and Parking Solutions. Commercial Services offers toll and violation management solutions and title and registration services to commercial fleet vehicle owners, rental car companies and violation-issuing authorities. Government Solutions implements and administers traffic safety programs and products for municipalities and government agencies of all sizes. Parking Solutions provides an integrated suite of parking software and hardware solutions to its customers. The Company’s Chief Operating Decision Maker function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is comprised of the Company’s CEO and certain defined representatives of the Company’s executive management team. The Company’s CODM monitors operating performance, allocates resources and deploys capital based on these three segments.</w:t>
      </w:r>
    </w:p>
    <w:p>
      <w:pPr>
        <w:spacing w:after="0" w:line="180"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expense, net. The tables below refer to this measure as segment profit. The aforementioned items are not indicative of operating performance, and, as a result are not included in the measures that are reviewed by the CODM for the segments. Other (income) expense, net included in segment profit below consists primarily of credit card rebates earned on the prepayment of tolling transactions and gains or losses on foreign currency transactions, and excludes certain non-operating expenses inapplicable to segments.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5" w:name="page26"/>
    <w:bookmarkEnd w:id="25"/>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During the third quarter of 2022, the Company changed its measure of segment profit to include (gain) loss on disposal of assets, net, and to exclude transaction and transformation expenses that were previously included within the selling, general and administrative expenses and other (income) expense line items below. The comparable prior periods have been recast to conform to the revised presentation, although the impact of this revision to previously reported segment profit was not material.</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set forth financial information by segment for the respective periods: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2022</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240" w:type="dxa"/>
            <w:vAlign w:val="bottom"/>
            <w:gridSpan w:val="2"/>
          </w:tcPr>
          <w:p>
            <w:pPr>
              <w:jc w:val="right"/>
              <w:ind w:right="440"/>
              <w:spacing w:after="0" w:line="158"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40" w:type="dxa"/>
            <w:vAlign w:val="bottom"/>
          </w:tcPr>
          <w:p>
            <w:pPr>
              <w:spacing w:after="0"/>
              <w:rPr>
                <w:sz w:val="13"/>
                <w:szCs w:val="13"/>
                <w:color w:val="auto"/>
              </w:rPr>
            </w:pPr>
          </w:p>
        </w:tc>
        <w:tc>
          <w:tcPr>
            <w:tcW w:w="800" w:type="dxa"/>
            <w:vAlign w:val="bottom"/>
          </w:tcPr>
          <w:p>
            <w:pPr>
              <w:jc w:val="right"/>
              <w:ind w:right="132"/>
              <w:spacing w:after="0" w:line="158" w:lineRule="exact"/>
              <w:rPr>
                <w:sz w:val="20"/>
                <w:szCs w:val="20"/>
                <w:color w:val="auto"/>
              </w:rPr>
            </w:pPr>
            <w:r>
              <w:rPr>
                <w:rFonts w:ascii="Times New Roman" w:cs="Times New Roman" w:eastAsia="Times New Roman" w:hAnsi="Times New Roman"/>
                <w:sz w:val="14"/>
                <w:szCs w:val="14"/>
                <w:b w:val="1"/>
                <w:bCs w:val="1"/>
                <w:color w:val="auto"/>
              </w:rPr>
              <w:t>Parking</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401"/>
              <w:spacing w:after="0" w:line="15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5"/>
                <w:szCs w:val="15"/>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5"/>
                <w:szCs w:val="15"/>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86,056</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77,441</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180,617</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100" w:type="dxa"/>
            <w:vAlign w:val="bottom"/>
          </w:tcPr>
          <w:p>
            <w:pPr>
              <w:spacing w:after="0"/>
              <w:rPr>
                <w:sz w:val="18"/>
                <w:szCs w:val="18"/>
                <w:color w:val="auto"/>
              </w:rPr>
            </w:pPr>
          </w:p>
        </w:tc>
      </w:tr>
      <w:tr>
        <w:trPr>
          <w:trHeight w:val="209"/>
        </w:trPr>
        <w:tc>
          <w:tcPr>
            <w:tcW w:w="20" w:type="dxa"/>
            <w:vAlign w:val="bottom"/>
            <w:shd w:val="clear" w:color="auto" w:fill="CFF0FC"/>
          </w:tcPr>
          <w:p>
            <w:pPr>
              <w:spacing w:after="0"/>
              <w:rPr>
                <w:sz w:val="18"/>
                <w:szCs w:val="18"/>
                <w:color w:val="auto"/>
              </w:rPr>
            </w:pPr>
          </w:p>
        </w:tc>
        <w:tc>
          <w:tcPr>
            <w:tcW w:w="4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86,056</w:t>
            </w: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89,728</w:t>
            </w: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21,872</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197,656</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tcPr>
          <w:p>
            <w:pPr>
              <w:spacing w:after="0"/>
              <w:rPr>
                <w:sz w:val="18"/>
                <w:szCs w:val="18"/>
                <w:color w:val="auto"/>
              </w:rPr>
            </w:pPr>
          </w:p>
        </w:tc>
      </w:tr>
      <w:tr>
        <w:trPr>
          <w:trHeight w:val="216"/>
        </w:trPr>
        <w:tc>
          <w:tcPr>
            <w:tcW w:w="48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60,205</w:t>
            </w:r>
          </w:p>
        </w:tc>
        <w:tc>
          <w:tcPr>
            <w:tcW w:w="100" w:type="dxa"/>
            <w:vAlign w:val="bottom"/>
          </w:tcPr>
          <w:p>
            <w:pPr>
              <w:spacing w:after="0"/>
              <w:rPr>
                <w:sz w:val="18"/>
                <w:szCs w:val="18"/>
                <w:color w:val="auto"/>
              </w:rPr>
            </w:pPr>
          </w:p>
        </w:tc>
      </w:tr>
      <w:tr>
        <w:trPr>
          <w:trHeight w:val="216"/>
        </w:trPr>
        <w:tc>
          <w:tcPr>
            <w:tcW w:w="48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35,378</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48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(3,869 )</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(454 )</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(4,238 )</w:t>
            </w:r>
          </w:p>
        </w:tc>
      </w:tr>
      <w:tr>
        <w:trPr>
          <w:trHeight w:val="210"/>
        </w:trPr>
        <w:tc>
          <w:tcPr>
            <w:tcW w:w="20" w:type="dxa"/>
            <w:vAlign w:val="bottom"/>
            <w:tcBorders>
              <w:top w:val="single" w:sz="8" w:color="CFF0FC"/>
            </w:tcBorders>
          </w:tcPr>
          <w:p>
            <w:pPr>
              <w:spacing w:after="0"/>
              <w:rPr>
                <w:sz w:val="18"/>
                <w:szCs w:val="18"/>
                <w:color w:val="auto"/>
              </w:rPr>
            </w:pPr>
          </w:p>
        </w:tc>
        <w:tc>
          <w:tcPr>
            <w:tcW w:w="48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56,369</w:t>
            </w: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30,357</w:t>
            </w: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90,894</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4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profit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56,369</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30,357</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4,168</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90,894</w:t>
            </w:r>
          </w:p>
        </w:tc>
        <w:tc>
          <w:tcPr>
            <w:tcW w:w="100" w:type="dxa"/>
            <w:vAlign w:val="bottom"/>
            <w:shd w:val="clear" w:color="auto" w:fill="CFF0FC"/>
          </w:tcPr>
          <w:p>
            <w:pPr>
              <w:spacing w:after="0"/>
              <w:rPr>
                <w:sz w:val="17"/>
                <w:szCs w:val="17"/>
                <w:color w:val="auto"/>
              </w:rPr>
            </w:pPr>
          </w:p>
        </w:tc>
      </w:tr>
      <w:tr>
        <w:trPr>
          <w:trHeight w:val="216"/>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35,079</w:t>
            </w:r>
          </w:p>
        </w:tc>
        <w:tc>
          <w:tcPr>
            <w:tcW w:w="100" w:type="dxa"/>
            <w:vAlign w:val="bottom"/>
          </w:tcPr>
          <w:p>
            <w:pPr>
              <w:spacing w:after="0"/>
              <w:rPr>
                <w:sz w:val="18"/>
                <w:szCs w:val="18"/>
                <w:color w:val="auto"/>
              </w:rPr>
            </w:pPr>
          </w:p>
        </w:tc>
      </w:tr>
      <w:tr>
        <w:trPr>
          <w:trHeight w:val="216"/>
        </w:trPr>
        <w:tc>
          <w:tcPr>
            <w:tcW w:w="48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and other related expenses</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Transformation expenses</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r>
      <w:tr>
        <w:trPr>
          <w:trHeight w:val="216"/>
        </w:trPr>
        <w:tc>
          <w:tcPr>
            <w:tcW w:w="48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(2,267 )</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(2,267 )</w:t>
            </w:r>
          </w:p>
        </w:tc>
      </w:tr>
      <w:tr>
        <w:trPr>
          <w:trHeight w:val="216"/>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Pr>
          <w:p>
            <w:pPr>
              <w:spacing w:after="0"/>
              <w:rPr>
                <w:sz w:val="18"/>
                <w:szCs w:val="18"/>
                <w:color w:val="auto"/>
              </w:rPr>
            </w:pPr>
          </w:p>
        </w:tc>
      </w:tr>
      <w:tr>
        <w:trPr>
          <w:trHeight w:val="216"/>
        </w:trPr>
        <w:tc>
          <w:tcPr>
            <w:tcW w:w="48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20,260</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(3,005 )</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(3,005 )</w:t>
            </w: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48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56,369</w:t>
            </w:r>
          </w:p>
        </w:tc>
        <w:tc>
          <w:tcPr>
            <w:tcW w:w="3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30,357</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(57,922</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-1439545</wp:posOffset>
            </wp:positionV>
            <wp:extent cx="7747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-1439545</wp:posOffset>
            </wp:positionV>
            <wp:extent cx="7683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-1439545</wp:posOffset>
            </wp:positionV>
            <wp:extent cx="685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-1439545</wp:posOffset>
            </wp:positionV>
            <wp:extent cx="685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-8255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2021</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540"/>
              <w:spacing w:after="0" w:line="158"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240" w:type="dxa"/>
            <w:vAlign w:val="bottom"/>
            <w:gridSpan w:val="2"/>
          </w:tcPr>
          <w:p>
            <w:pPr>
              <w:jc w:val="right"/>
              <w:ind w:right="540"/>
              <w:spacing w:after="0" w:line="15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77,257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64,554</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141,811</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100" w:type="dxa"/>
            <w:vAlign w:val="bottom"/>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77,257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84,838</w:t>
            </w: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162,095</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48,130</w:t>
            </w: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24,605</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(3,138 )</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(356 )</w:t>
            </w:r>
          </w:p>
        </w:tc>
        <w:tc>
          <w:tcPr>
            <w:tcW w:w="1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(3,494 )</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55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51,336</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30,715</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5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profit</w:t>
            </w: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51,336</w:t>
            </w:r>
          </w:p>
        </w:tc>
        <w:tc>
          <w:tcPr>
            <w:tcW w:w="8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30,715</w:t>
            </w:r>
          </w:p>
        </w:tc>
        <w:tc>
          <w:tcPr>
            <w:tcW w:w="3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82,051</w:t>
            </w:r>
          </w:p>
        </w:tc>
        <w:tc>
          <w:tcPr>
            <w:tcW w:w="100" w:type="dxa"/>
            <w:vAlign w:val="bottom"/>
          </w:tcPr>
          <w:p>
            <w:pPr>
              <w:spacing w:after="0"/>
              <w:rPr>
                <w:sz w:val="17"/>
                <w:szCs w:val="17"/>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29,529</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29,529</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Transaction and other related expenses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Transformation expenses</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(5,067 )</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(5,067 )</w:t>
            </w: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100" w:type="dxa"/>
            <w:vAlign w:val="bottom"/>
          </w:tcPr>
          <w:p>
            <w:pPr>
              <w:spacing w:after="0"/>
              <w:rPr>
                <w:sz w:val="18"/>
                <w:szCs w:val="18"/>
                <w:color w:val="auto"/>
              </w:rPr>
            </w:pPr>
          </w:p>
        </w:tc>
      </w:tr>
      <w:tr>
        <w:trPr>
          <w:trHeight w:val="216"/>
        </w:trPr>
        <w:tc>
          <w:tcPr>
            <w:tcW w:w="55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51,336</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30,715</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(43,253 )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26</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5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-1765300</wp:posOffset>
            </wp:positionV>
            <wp:extent cx="2888615"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88615" cy="16319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-642620</wp:posOffset>
            </wp:positionV>
            <wp:extent cx="7683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-642620</wp:posOffset>
            </wp:positionV>
            <wp:extent cx="7683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-642620</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2022</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3"/>
                <w:szCs w:val="13"/>
                <w:color w:val="auto"/>
              </w:rPr>
            </w:pPr>
          </w:p>
        </w:tc>
        <w:tc>
          <w:tcPr>
            <w:tcW w:w="1200" w:type="dxa"/>
            <w:vAlign w:val="bottom"/>
            <w:gridSpan w:val="2"/>
          </w:tcPr>
          <w:p>
            <w:pPr>
              <w:jc w:val="right"/>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40" w:type="dxa"/>
            <w:vAlign w:val="bottom"/>
          </w:tcPr>
          <w:p>
            <w:pPr>
              <w:spacing w:after="0"/>
              <w:rPr>
                <w:sz w:val="13"/>
                <w:szCs w:val="13"/>
                <w:color w:val="auto"/>
              </w:rPr>
            </w:pPr>
          </w:p>
        </w:tc>
        <w:tc>
          <w:tcPr>
            <w:tcW w:w="800" w:type="dxa"/>
            <w:vAlign w:val="bottom"/>
          </w:tcPr>
          <w:p>
            <w:pPr>
              <w:jc w:val="center"/>
              <w:ind w:right="52"/>
              <w:spacing w:after="0" w:line="158" w:lineRule="exact"/>
              <w:rPr>
                <w:sz w:val="20"/>
                <w:szCs w:val="20"/>
                <w:color w:val="auto"/>
              </w:rPr>
            </w:pPr>
            <w:r>
              <w:rPr>
                <w:rFonts w:ascii="Times New Roman" w:cs="Times New Roman" w:eastAsia="Times New Roman" w:hAnsi="Times New Roman"/>
                <w:sz w:val="14"/>
                <w:szCs w:val="14"/>
                <w:b w:val="1"/>
                <w:bCs w:val="1"/>
                <w:color w:val="auto"/>
              </w:rPr>
              <w:t>Parking</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480"/>
              <w:spacing w:after="0" w:line="15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5"/>
                <w:szCs w:val="15"/>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5"/>
                <w:szCs w:val="15"/>
                <w:color w:val="auto"/>
              </w:rPr>
            </w:pPr>
          </w:p>
        </w:tc>
        <w:tc>
          <w:tcPr>
            <w:tcW w:w="8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244,409</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225,337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46,507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516,253</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39,275</w:t>
            </w:r>
          </w:p>
        </w:tc>
        <w:tc>
          <w:tcPr>
            <w:tcW w:w="100" w:type="dxa"/>
            <w:vAlign w:val="bottom"/>
          </w:tcPr>
          <w:p>
            <w:pPr>
              <w:spacing w:after="0"/>
              <w:rPr>
                <w:sz w:val="18"/>
                <w:szCs w:val="18"/>
                <w:color w:val="auto"/>
              </w:rPr>
            </w:pPr>
          </w:p>
        </w:tc>
      </w:tr>
      <w:tr>
        <w:trPr>
          <w:trHeight w:val="209"/>
        </w:trPr>
        <w:tc>
          <w:tcPr>
            <w:tcW w:w="20" w:type="dxa"/>
            <w:vAlign w:val="bottom"/>
            <w:shd w:val="clear" w:color="auto" w:fill="CFF0FC"/>
          </w:tcPr>
          <w:p>
            <w:pPr>
              <w:spacing w:after="0"/>
              <w:rPr>
                <w:sz w:val="18"/>
                <w:szCs w:val="18"/>
                <w:color w:val="auto"/>
              </w:rPr>
            </w:pPr>
          </w:p>
        </w:tc>
        <w:tc>
          <w:tcPr>
            <w:tcW w:w="48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244,409</w:t>
            </w: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252,084</w:t>
            </w: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59,035</w:t>
            </w:r>
          </w:p>
        </w:tc>
        <w:tc>
          <w:tcPr>
            <w:tcW w:w="3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555,528</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00" w:type="dxa"/>
            <w:vAlign w:val="bottom"/>
          </w:tcPr>
          <w:p>
            <w:pPr>
              <w:spacing w:after="0"/>
              <w:rPr>
                <w:sz w:val="18"/>
                <w:szCs w:val="18"/>
                <w:color w:val="auto"/>
              </w:rPr>
            </w:pPr>
          </w:p>
        </w:tc>
      </w:tr>
      <w:tr>
        <w:trPr>
          <w:trHeight w:val="216"/>
        </w:trPr>
        <w:tc>
          <w:tcPr>
            <w:tcW w:w="4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25,638</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165,966</w:t>
            </w:r>
          </w:p>
        </w:tc>
        <w:tc>
          <w:tcPr>
            <w:tcW w:w="100" w:type="dxa"/>
            <w:vAlign w:val="bottom"/>
          </w:tcPr>
          <w:p>
            <w:pPr>
              <w:spacing w:after="0"/>
              <w:rPr>
                <w:sz w:val="18"/>
                <w:szCs w:val="18"/>
                <w:color w:val="auto"/>
              </w:rPr>
            </w:pPr>
          </w:p>
        </w:tc>
      </w:tr>
      <w:tr>
        <w:trPr>
          <w:trHeight w:val="216"/>
        </w:trPr>
        <w:tc>
          <w:tcPr>
            <w:tcW w:w="4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40,980</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45,732</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21,184</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107,896</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8"/>
                <w:szCs w:val="18"/>
                <w:color w:val="auto"/>
              </w:rPr>
            </w:pPr>
          </w:p>
        </w:tc>
      </w:tr>
      <w:tr>
        <w:trPr>
          <w:trHeight w:val="216"/>
        </w:trPr>
        <w:tc>
          <w:tcPr>
            <w:tcW w:w="4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(10,664 )</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(600 )</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(11,143 )</w:t>
            </w:r>
          </w:p>
        </w:tc>
      </w:tr>
      <w:tr>
        <w:trPr>
          <w:trHeight w:val="209"/>
        </w:trPr>
        <w:tc>
          <w:tcPr>
            <w:tcW w:w="20" w:type="dxa"/>
            <w:vAlign w:val="bottom"/>
            <w:tcBorders>
              <w:top w:val="single" w:sz="8" w:color="CFF0FC"/>
            </w:tcBorders>
          </w:tcPr>
          <w:p>
            <w:pPr>
              <w:spacing w:after="0"/>
              <w:rPr>
                <w:sz w:val="18"/>
                <w:szCs w:val="18"/>
                <w:color w:val="auto"/>
              </w:rPr>
            </w:pPr>
          </w:p>
        </w:tc>
        <w:tc>
          <w:tcPr>
            <w:tcW w:w="484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159,513</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85,087</w:t>
            </w: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10,348</w:t>
            </w: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254,948</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6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profit</w:t>
            </w: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159,513</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85,087</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10,348</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254,948</w:t>
            </w:r>
          </w:p>
        </w:tc>
        <w:tc>
          <w:tcPr>
            <w:tcW w:w="100" w:type="dxa"/>
            <w:vAlign w:val="bottom"/>
            <w:shd w:val="clear" w:color="auto" w:fill="CFF0FC"/>
          </w:tcPr>
          <w:p>
            <w:pPr>
              <w:spacing w:after="0"/>
              <w:rPr>
                <w:sz w:val="17"/>
                <w:szCs w:val="17"/>
                <w:color w:val="auto"/>
              </w:rPr>
            </w:pPr>
          </w:p>
        </w:tc>
      </w:tr>
      <w:tr>
        <w:trPr>
          <w:trHeight w:val="216"/>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100" w:type="dxa"/>
            <w:vAlign w:val="bottom"/>
          </w:tcPr>
          <w:p>
            <w:pPr>
              <w:spacing w:after="0"/>
              <w:rPr>
                <w:sz w:val="18"/>
                <w:szCs w:val="18"/>
                <w:color w:val="auto"/>
              </w:rPr>
            </w:pPr>
          </w:p>
        </w:tc>
      </w:tr>
      <w:tr>
        <w:trPr>
          <w:trHeight w:val="216"/>
        </w:trPr>
        <w:tc>
          <w:tcPr>
            <w:tcW w:w="4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and other related expenses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Transformation expenses</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8"/>
                <w:szCs w:val="18"/>
                <w:color w:val="auto"/>
              </w:rPr>
            </w:pPr>
          </w:p>
        </w:tc>
      </w:tr>
      <w:tr>
        <w:trPr>
          <w:trHeight w:val="216"/>
        </w:trPr>
        <w:tc>
          <w:tcPr>
            <w:tcW w:w="4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(5,133 )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(5,133 )</w:t>
            </w:r>
          </w:p>
        </w:tc>
      </w:tr>
      <w:tr>
        <w:trPr>
          <w:trHeight w:val="216"/>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(965 )</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(965 )</w:t>
            </w:r>
          </w:p>
        </w:tc>
      </w:tr>
      <w:tr>
        <w:trPr>
          <w:trHeight w:val="216"/>
        </w:trPr>
        <w:tc>
          <w:tcPr>
            <w:tcW w:w="4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49,024</w:t>
            </w:r>
          </w:p>
        </w:tc>
        <w:tc>
          <w:tcPr>
            <w:tcW w:w="100" w:type="dxa"/>
            <w:vAlign w:val="bottom"/>
          </w:tcPr>
          <w:p>
            <w:pPr>
              <w:spacing w:after="0"/>
              <w:rPr>
                <w:sz w:val="18"/>
                <w:szCs w:val="18"/>
                <w:color w:val="auto"/>
              </w:rPr>
            </w:pPr>
          </w:p>
        </w:tc>
      </w:tr>
      <w:tr>
        <w:trPr>
          <w:trHeight w:val="216"/>
        </w:trPr>
        <w:tc>
          <w:tcPr>
            <w:tcW w:w="4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(3,005 )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(3,005 )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159,513</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85,087</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10,348</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(162,837 )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-1576705</wp:posOffset>
            </wp:positionV>
            <wp:extent cx="7747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-1576705</wp:posOffset>
            </wp:positionV>
            <wp:extent cx="6858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-1576705</wp:posOffset>
            </wp:positionV>
            <wp:extent cx="6858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-1576705</wp:posOffset>
            </wp:positionV>
            <wp:extent cx="685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-170815</wp:posOffset>
            </wp:positionV>
            <wp:extent cx="7747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685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685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320"/>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520"/>
              <w:spacing w:after="0" w:line="158"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80" w:type="dxa"/>
            <w:vAlign w:val="bottom"/>
          </w:tcPr>
          <w:p>
            <w:pPr>
              <w:spacing w:after="0"/>
              <w:rPr>
                <w:sz w:val="13"/>
                <w:szCs w:val="13"/>
                <w:color w:val="auto"/>
              </w:rPr>
            </w:pPr>
          </w:p>
        </w:tc>
        <w:tc>
          <w:tcPr>
            <w:tcW w:w="1260" w:type="dxa"/>
            <w:vAlign w:val="bottom"/>
            <w:gridSpan w:val="2"/>
          </w:tcPr>
          <w:p>
            <w:pPr>
              <w:jc w:val="right"/>
              <w:ind w:right="560"/>
              <w:spacing w:after="0" w:line="158"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189,426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158,574</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348,000</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32,610</w:t>
            </w:r>
          </w:p>
        </w:tc>
        <w:tc>
          <w:tcPr>
            <w:tcW w:w="100" w:type="dxa"/>
            <w:vAlign w:val="bottom"/>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5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189,426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191,184</w:t>
            </w:r>
          </w:p>
        </w:tc>
        <w:tc>
          <w:tcPr>
            <w:tcW w:w="3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380,610</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15,562</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114,614</w:t>
            </w: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65,112</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(7,802 )</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(1,503 )</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(9,305 )</w:t>
            </w:r>
          </w:p>
        </w:tc>
      </w:tr>
      <w:tr>
        <w:trPr>
          <w:trHeight w:val="210"/>
        </w:trPr>
        <w:tc>
          <w:tcPr>
            <w:tcW w:w="20" w:type="dxa"/>
            <w:vAlign w:val="bottom"/>
            <w:tcBorders>
              <w:top w:val="single" w:sz="8" w:color="CFF0FC"/>
            </w:tcBorders>
          </w:tcPr>
          <w:p>
            <w:pPr>
              <w:spacing w:after="0"/>
              <w:rPr>
                <w:sz w:val="18"/>
                <w:szCs w:val="18"/>
                <w:color w:val="auto"/>
              </w:rPr>
            </w:pPr>
          </w:p>
        </w:tc>
        <w:tc>
          <w:tcPr>
            <w:tcW w:w="55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116,680</w:t>
            </w: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74,273</w:t>
            </w:r>
          </w:p>
        </w:tc>
        <w:tc>
          <w:tcPr>
            <w:tcW w:w="3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190,953</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52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profit</w:t>
            </w: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116,680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74,273</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190,953</w:t>
            </w:r>
          </w:p>
        </w:tc>
        <w:tc>
          <w:tcPr>
            <w:tcW w:w="100" w:type="dxa"/>
            <w:vAlign w:val="bottom"/>
            <w:shd w:val="clear" w:color="auto" w:fill="CFF0FC"/>
          </w:tcPr>
          <w:p>
            <w:pPr>
              <w:spacing w:after="0"/>
              <w:rPr>
                <w:sz w:val="17"/>
                <w:szCs w:val="17"/>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84,756</w:t>
            </w: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and other related expenses</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Transformation expenses</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adjustment</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32,481</w:t>
            </w:r>
          </w:p>
        </w:tc>
        <w:tc>
          <w:tcPr>
            <w:tcW w:w="100" w:type="dxa"/>
            <w:vAlign w:val="bottom"/>
          </w:tcPr>
          <w:p>
            <w:pPr>
              <w:spacing w:after="0"/>
              <w:rPr>
                <w:sz w:val="18"/>
                <w:szCs w:val="18"/>
                <w:color w:val="auto"/>
              </w:rPr>
            </w:pPr>
          </w:p>
        </w:tc>
      </w:tr>
      <w:tr>
        <w:trPr>
          <w:trHeight w:val="216"/>
        </w:trPr>
        <w:tc>
          <w:tcPr>
            <w:tcW w:w="55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116,680</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74,273</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(151,060 )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-1576705</wp:posOffset>
            </wp:positionV>
            <wp:extent cx="7747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-1576705</wp:posOffset>
            </wp:positionV>
            <wp:extent cx="6858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-1576705</wp:posOffset>
            </wp:positionV>
            <wp:extent cx="6858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-170815</wp:posOffset>
            </wp:positionV>
            <wp:extent cx="7747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858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5"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Company primarily operates within the United States, Australia, Canada, United Kingdom and in various other countries in Europe and Asia. Revenues earned from goods transferred to customers at a point in time were approximately $17.0 million and $20.3 million for the three months ended September 30, 2022 and 2021, respectively and were $39.3 million and $32.6 million for the nine months ended September 30, 2022 and 2021, respectively.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27" w:name="page28"/>
    <w:bookmarkEnd w:id="27"/>
    <w:p>
      <w:pPr>
        <w:ind w:left="380"/>
        <w:spacing w:after="0"/>
        <w:rPr>
          <w:sz w:val="20"/>
          <w:szCs w:val="20"/>
          <w:color w:val="auto"/>
        </w:rPr>
      </w:pPr>
      <w:r>
        <w:rPr>
          <w:rFonts w:ascii="Times New Roman" w:cs="Times New Roman" w:eastAsia="Times New Roman" w:hAnsi="Times New Roman"/>
          <w:sz w:val="18"/>
          <w:szCs w:val="18"/>
          <w:color w:val="auto"/>
        </w:rPr>
        <w:t>The following table details the revenues from international operations for the respective periods: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94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38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000" w:type="dxa"/>
            <w:vAlign w:val="bottom"/>
          </w:tcPr>
          <w:p>
            <w:pPr>
              <w:ind w:left="6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4"/>
                <w:szCs w:val="14"/>
                <w:color w:val="auto"/>
              </w:rPr>
            </w:pPr>
          </w:p>
        </w:tc>
        <w:tc>
          <w:tcPr>
            <w:tcW w:w="13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6"/>
        </w:trPr>
        <w:tc>
          <w:tcPr>
            <w:tcW w:w="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28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3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3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25,793</w:t>
            </w: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8"/>
                <w:szCs w:val="18"/>
                <w:color w:val="auto"/>
              </w:rPr>
            </w:pPr>
          </w:p>
        </w:tc>
      </w:tr>
      <w:tr>
        <w:trPr>
          <w:trHeight w:val="216"/>
        </w:trPr>
        <w:tc>
          <w:tcPr>
            <w:tcW w:w="3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15,716</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3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Pr>
          <w:p>
            <w:pPr>
              <w:spacing w:after="0"/>
              <w:rPr>
                <w:sz w:val="18"/>
                <w:szCs w:val="18"/>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38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23,176</w:t>
            </w: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15,326</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67,406</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-24765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Guarantor/Non-Guarantor Financial Information</w:t>
      </w:r>
    </w:p>
    <w:p>
      <w:pPr>
        <w:spacing w:after="0" w:line="108"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VM Consolidated is the lead borrower of the 2021 Term Loan and Senior Notes. VM Consolidated is owned by the Company through a series of holding companies that ultimately end with the Company. VM Consolidated is wholly owned by Greenlight Acquisition Corporation, which is wholly owned by Greenlight Intermediate Holding Corporation, which is wholly owned by Greenlight Holding Corporation, which is wholly owned by Verra Mobility Holdings, LLC, which is wholly owned by Verra Mobility Corporation. The principal elimination entries relate to investments in subsidiaries and intercompany balances and transactions, including transactions with the Company’s wholly owned guarantor subsidiaries and non-guarantor subsidiaries.</w:t>
      </w:r>
    </w:p>
    <w:p>
      <w:pPr>
        <w:spacing w:after="0" w:line="195"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The following financial information presents the condensed consolidated balance sheets as of September 30, 2022 and the related condensed consolidated statements of operations and comprehensive income for the three and nine months ended September 30, 2022 and the condensed consolidated statement of cash flows for the nine months ended September 30, 2022 for the Company, the combined guarantor subsidiaries and the combined non-guarantor subsidiaries.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 w:name="page29"/>
    <w:bookmarkEnd w:id="28"/>
    <w:p>
      <w:pPr>
        <w:ind w:left="388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at 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Non-</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96"/>
              <w:spacing w:after="0" w:line="160"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000" w:type="dxa"/>
            <w:vAlign w:val="bottom"/>
          </w:tcPr>
          <w:p>
            <w:pPr>
              <w:jc w:val="center"/>
              <w:ind w:right="56"/>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5"/>
                <w:szCs w:val="15"/>
                <w:color w:val="auto"/>
              </w:rPr>
            </w:pPr>
          </w:p>
        </w:tc>
        <w:tc>
          <w:tcPr>
            <w:tcW w:w="13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10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5"/>
                <w:szCs w:val="15"/>
                <w:color w:val="auto"/>
              </w:rPr>
            </w:pPr>
          </w:p>
        </w:tc>
        <w:tc>
          <w:tcPr>
            <w:tcW w:w="10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5"/>
                <w:szCs w:val="15"/>
                <w:color w:val="auto"/>
              </w:rPr>
            </w:pPr>
          </w:p>
        </w:tc>
      </w:tr>
      <w:tr>
        <w:trPr>
          <w:trHeight w:val="203"/>
        </w:trPr>
        <w:tc>
          <w:tcPr>
            <w:tcW w:w="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17,296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34,280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51,576</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4,053</w:t>
            </w:r>
          </w:p>
        </w:tc>
        <w:tc>
          <w:tcPr>
            <w:tcW w:w="100" w:type="dxa"/>
            <w:vAlign w:val="bottom"/>
          </w:tcPr>
          <w:p>
            <w:pPr>
              <w:spacing w:after="0"/>
              <w:rPr>
                <w:sz w:val="17"/>
                <w:szCs w:val="17"/>
                <w:color w:val="auto"/>
              </w:rPr>
            </w:pPr>
          </w:p>
        </w:tc>
      </w:tr>
      <w:tr>
        <w:trPr>
          <w:trHeight w:val="154"/>
        </w:trPr>
        <w:tc>
          <w:tcPr>
            <w:tcW w:w="20" w:type="dxa"/>
            <w:vAlign w:val="bottom"/>
            <w:shd w:val="clear" w:color="auto" w:fill="CFF0FC"/>
          </w:tcPr>
          <w:p>
            <w:pPr>
              <w:spacing w:after="0"/>
              <w:rPr>
                <w:sz w:val="13"/>
                <w:szCs w:val="13"/>
                <w:color w:val="auto"/>
              </w:rPr>
            </w:pPr>
          </w:p>
        </w:tc>
        <w:tc>
          <w:tcPr>
            <w:tcW w:w="4020" w:type="dxa"/>
            <w:vAlign w:val="bottom"/>
            <w:gridSpan w:val="2"/>
            <w:shd w:val="clear" w:color="auto" w:fill="CFF0FC"/>
          </w:tcPr>
          <w:p>
            <w:pPr>
              <w:ind w:left="180"/>
              <w:spacing w:after="0" w:line="154" w:lineRule="exact"/>
              <w:rPr>
                <w:sz w:val="20"/>
                <w:szCs w:val="20"/>
                <w:color w:val="auto"/>
              </w:rPr>
            </w:pPr>
            <w:r>
              <w:rPr>
                <w:rFonts w:ascii="Times New Roman" w:cs="Times New Roman" w:eastAsia="Times New Roman" w:hAnsi="Times New Roman"/>
                <w:sz w:val="17"/>
                <w:szCs w:val="17"/>
                <w:color w:val="auto"/>
              </w:rPr>
              <w:t>Accounts receivable (net of allowance for credit</w:t>
            </w:r>
          </w:p>
        </w:tc>
        <w:tc>
          <w:tcPr>
            <w:tcW w:w="18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38"/>
        </w:trPr>
        <w:tc>
          <w:tcPr>
            <w:tcW w:w="20" w:type="dxa"/>
            <w:vAlign w:val="bottom"/>
            <w:shd w:val="clear" w:color="auto" w:fill="CFF0FC"/>
          </w:tcPr>
          <w:p>
            <w:pPr>
              <w:spacing w:after="0"/>
              <w:rPr>
                <w:sz w:val="20"/>
                <w:szCs w:val="20"/>
                <w:color w:val="auto"/>
              </w:rPr>
            </w:pPr>
          </w:p>
        </w:tc>
        <w:tc>
          <w:tcPr>
            <w:tcW w:w="40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losses of $17.7 million)</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164,269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10,884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175,153</w:t>
            </w:r>
          </w:p>
        </w:tc>
        <w:tc>
          <w:tcPr>
            <w:tcW w:w="100" w:type="dxa"/>
            <w:vAlign w:val="bottom"/>
            <w:shd w:val="clear" w:color="auto" w:fill="CFF0FC"/>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Unbilled receivables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27,507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32,784</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Investment in subsidiary</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25,632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138,092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(163,724 )</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Inventory, net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17,922</w:t>
            </w:r>
          </w:p>
        </w:tc>
        <w:tc>
          <w:tcPr>
            <w:tcW w:w="10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40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30,893</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5,062</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35,955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25,632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383,723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71,812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(163,724 )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317,443</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Installation and service parts, net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88,543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105,268</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Operating lease assets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30,024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6,375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36,399</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Intangible assets, net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297,907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102,085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399,992</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689,501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138,193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827,694</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Due from affiliates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169,259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(169,259 )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40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Other non-current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8,401</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4,112</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12,513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194,891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1,517,123</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339,302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(332,983 )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1,718,333</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040" w:type="dxa"/>
            <w:vAlign w:val="bottom"/>
            <w:gridSpan w:val="3"/>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52,073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17,062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69,135</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22,302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32,758</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34,805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10,263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45,068</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Tax receivable agreement liability, current portion</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5,107</w:t>
            </w:r>
          </w:p>
        </w:tc>
        <w:tc>
          <w:tcPr>
            <w:tcW w:w="100" w:type="dxa"/>
            <w:vAlign w:val="bottom"/>
          </w:tcPr>
          <w:p>
            <w:pPr>
              <w:spacing w:after="0"/>
              <w:rPr>
                <w:sz w:val="17"/>
                <w:szCs w:val="17"/>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40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9,019</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123,306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37,781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161,087</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1,204,006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1,204,006</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28,146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32,692</w:t>
            </w:r>
          </w:p>
        </w:tc>
        <w:tc>
          <w:tcPr>
            <w:tcW w:w="100" w:type="dxa"/>
            <w:vAlign w:val="bottom"/>
          </w:tcPr>
          <w:p>
            <w:pPr>
              <w:spacing w:after="0"/>
              <w:rPr>
                <w:sz w:val="17"/>
                <w:szCs w:val="17"/>
                <w:color w:val="auto"/>
              </w:rPr>
            </w:pPr>
          </w:p>
        </w:tc>
      </w:tr>
      <w:tr>
        <w:trPr>
          <w:trHeight w:val="154"/>
        </w:trPr>
        <w:tc>
          <w:tcPr>
            <w:tcW w:w="20" w:type="dxa"/>
            <w:vAlign w:val="bottom"/>
            <w:shd w:val="clear" w:color="auto" w:fill="CFF0FC"/>
          </w:tcPr>
          <w:p>
            <w:pPr>
              <w:spacing w:after="0"/>
              <w:rPr>
                <w:sz w:val="13"/>
                <w:szCs w:val="13"/>
                <w:color w:val="auto"/>
              </w:rPr>
            </w:pPr>
          </w:p>
        </w:tc>
        <w:tc>
          <w:tcPr>
            <w:tcW w:w="4020" w:type="dxa"/>
            <w:vAlign w:val="bottom"/>
            <w:gridSpan w:val="2"/>
            <w:shd w:val="clear" w:color="auto" w:fill="CFF0FC"/>
          </w:tcPr>
          <w:p>
            <w:pPr>
              <w:ind w:left="100"/>
              <w:spacing w:after="0" w:line="154" w:lineRule="exact"/>
              <w:rPr>
                <w:sz w:val="20"/>
                <w:szCs w:val="20"/>
                <w:color w:val="auto"/>
              </w:rPr>
            </w:pPr>
            <w:r>
              <w:rPr>
                <w:rFonts w:ascii="Times New Roman" w:cs="Times New Roman" w:eastAsia="Times New Roman" w:hAnsi="Times New Roman"/>
                <w:sz w:val="17"/>
                <w:szCs w:val="17"/>
                <w:color w:val="auto"/>
              </w:rPr>
              <w:t>Tax receivable agreement liability, net of current</w:t>
            </w:r>
          </w:p>
        </w:tc>
        <w:tc>
          <w:tcPr>
            <w:tcW w:w="18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38"/>
        </w:trPr>
        <w:tc>
          <w:tcPr>
            <w:tcW w:w="20" w:type="dxa"/>
            <w:vAlign w:val="bottom"/>
            <w:shd w:val="clear" w:color="auto" w:fill="CFF0FC"/>
          </w:tcPr>
          <w:p>
            <w:pPr>
              <w:spacing w:after="0"/>
              <w:rPr>
                <w:sz w:val="20"/>
                <w:szCs w:val="20"/>
                <w:color w:val="auto"/>
              </w:rPr>
            </w:pPr>
          </w:p>
        </w:tc>
        <w:tc>
          <w:tcPr>
            <w:tcW w:w="4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portion</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55,650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55,650</w:t>
            </w:r>
          </w:p>
        </w:tc>
        <w:tc>
          <w:tcPr>
            <w:tcW w:w="100" w:type="dxa"/>
            <w:vAlign w:val="bottom"/>
            <w:shd w:val="clear" w:color="auto" w:fill="CFF0FC"/>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Private placement warrant liabilities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33,333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33,333</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Due to affiliates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29,832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139,427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(169,259 )</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Asset retirement obligation</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12,663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12,687</w:t>
            </w:r>
          </w:p>
        </w:tc>
        <w:tc>
          <w:tcPr>
            <w:tcW w:w="100" w:type="dxa"/>
            <w:vAlign w:val="bottom"/>
          </w:tcPr>
          <w:p>
            <w:pPr>
              <w:spacing w:after="0"/>
              <w:rPr>
                <w:sz w:val="17"/>
                <w:szCs w:val="17"/>
                <w:color w:val="auto"/>
              </w:rPr>
            </w:pPr>
          </w:p>
        </w:tc>
      </w:tr>
      <w:tr>
        <w:trPr>
          <w:trHeight w:val="203"/>
        </w:trPr>
        <w:tc>
          <w:tcPr>
            <w:tcW w:w="20" w:type="dxa"/>
            <w:vAlign w:val="bottom"/>
            <w:shd w:val="clear" w:color="auto" w:fill="CFF0FC"/>
          </w:tcPr>
          <w:p>
            <w:pPr>
              <w:spacing w:after="0"/>
              <w:rPr>
                <w:sz w:val="17"/>
                <w:szCs w:val="17"/>
                <w:color w:val="auto"/>
              </w:rPr>
            </w:pPr>
          </w:p>
        </w:tc>
        <w:tc>
          <w:tcPr>
            <w:tcW w:w="40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(713 )</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19,348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18,635</w:t>
            </w:r>
          </w:p>
        </w:tc>
        <w:tc>
          <w:tcPr>
            <w:tcW w:w="100" w:type="dxa"/>
            <w:vAlign w:val="bottom"/>
            <w:shd w:val="clear" w:color="auto" w:fill="CFF0FC"/>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5,352</w:t>
            </w:r>
          </w:p>
        </w:tc>
        <w:tc>
          <w:tcPr>
            <w:tcW w:w="100" w:type="dxa"/>
            <w:vAlign w:val="bottom"/>
          </w:tcPr>
          <w:p>
            <w:pPr>
              <w:spacing w:after="0"/>
              <w:rPr>
                <w:sz w:val="17"/>
                <w:szCs w:val="17"/>
                <w:color w:val="auto"/>
              </w:rPr>
            </w:pPr>
          </w:p>
        </w:tc>
      </w:tr>
      <w:tr>
        <w:trPr>
          <w:trHeight w:val="196"/>
        </w:trPr>
        <w:tc>
          <w:tcPr>
            <w:tcW w:w="40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1,491,491</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201,210</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(169,259</w:t>
            </w:r>
          </w:p>
        </w:tc>
        <w:tc>
          <w:tcPr>
            <w:tcW w:w="2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1,523,442</w:t>
            </w:r>
          </w:p>
        </w:tc>
        <w:tc>
          <w:tcPr>
            <w:tcW w:w="100" w:type="dxa"/>
            <w:vAlign w:val="bottom"/>
            <w:shd w:val="clear" w:color="auto" w:fill="CFF0FC"/>
          </w:tcPr>
          <w:p>
            <w:pPr>
              <w:spacing w:after="0"/>
              <w:rPr>
                <w:sz w:val="17"/>
                <w:szCs w:val="17"/>
                <w:color w:val="auto"/>
              </w:rPr>
            </w:pPr>
          </w:p>
        </w:tc>
      </w:tr>
      <w:tr>
        <w:trPr>
          <w:trHeight w:val="203"/>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194,891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25,632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138,092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(163,724 )</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194,891</w:t>
            </w:r>
          </w:p>
        </w:tc>
        <w:tc>
          <w:tcPr>
            <w:tcW w:w="100" w:type="dxa"/>
            <w:vAlign w:val="bottom"/>
          </w:tcPr>
          <w:p>
            <w:pPr>
              <w:spacing w:after="0"/>
              <w:rPr>
                <w:sz w:val="17"/>
                <w:szCs w:val="17"/>
                <w:color w:val="auto"/>
              </w:rPr>
            </w:pPr>
          </w:p>
        </w:tc>
      </w:tr>
      <w:tr>
        <w:trPr>
          <w:trHeight w:val="236"/>
        </w:trPr>
        <w:tc>
          <w:tcPr>
            <w:tcW w:w="40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194,891</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1,517,123</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339,302</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(332,983</w:t>
            </w:r>
          </w:p>
        </w:tc>
        <w:tc>
          <w:tcPr>
            <w:tcW w:w="240" w:type="dxa"/>
            <w:vAlign w:val="bottom"/>
            <w:tcBorders>
              <w:bottom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1,718,333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-3813810</wp:posOffset>
            </wp:positionV>
            <wp:extent cx="76835"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-3813810</wp:posOffset>
            </wp:positionV>
            <wp:extent cx="6858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-3813810</wp:posOffset>
            </wp:positionV>
            <wp:extent cx="6858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-3813810</wp:posOffset>
            </wp:positionV>
            <wp:extent cx="6858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-2776855</wp:posOffset>
            </wp:positionV>
            <wp:extent cx="76835"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-2776855</wp:posOffset>
            </wp:positionV>
            <wp:extent cx="68580" cy="163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-2776855</wp:posOffset>
            </wp:positionV>
            <wp:extent cx="68580"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-2776855</wp:posOffset>
            </wp:positionV>
            <wp:extent cx="68580"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-1713865</wp:posOffset>
            </wp:positionV>
            <wp:extent cx="76835"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-1713865</wp:posOffset>
            </wp:positionV>
            <wp:extent cx="6858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-1713865</wp:posOffset>
            </wp:positionV>
            <wp:extent cx="6858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-1713865</wp:posOffset>
            </wp:positionV>
            <wp:extent cx="6858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9" w:name="page30"/>
    <w:bookmarkEnd w:id="29"/>
    <w:p>
      <w:pPr>
        <w:ind w:left="388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Three Months Ended 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40" w:type="dxa"/>
            <w:vAlign w:val="bottom"/>
          </w:tcPr>
          <w:p>
            <w:pPr>
              <w:spacing w:after="0"/>
              <w:rPr>
                <w:sz w:val="13"/>
                <w:szCs w:val="13"/>
                <w:color w:val="auto"/>
              </w:rPr>
            </w:pPr>
          </w:p>
        </w:tc>
        <w:tc>
          <w:tcPr>
            <w:tcW w:w="122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0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15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14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161,993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18,624</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180,617</w:t>
            </w:r>
          </w:p>
        </w:tc>
        <w:tc>
          <w:tcPr>
            <w:tcW w:w="100" w:type="dxa"/>
            <w:vAlign w:val="bottom"/>
            <w:shd w:val="clear" w:color="auto" w:fill="CFF0FC"/>
          </w:tcPr>
          <w:p>
            <w:pPr>
              <w:spacing w:after="0"/>
              <w:rPr>
                <w:sz w:val="17"/>
                <w:szCs w:val="17"/>
                <w:color w:val="auto"/>
              </w:rPr>
            </w:pPr>
          </w:p>
        </w:tc>
      </w:tr>
      <w:tr>
        <w:trPr>
          <w:trHeight w:val="20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Product sales</w:t>
            </w:r>
          </w:p>
        </w:tc>
        <w:tc>
          <w:tcPr>
            <w:tcW w:w="160" w:type="dxa"/>
            <w:vAlign w:val="bottom"/>
          </w:tcPr>
          <w:p>
            <w:pPr>
              <w:spacing w:after="0"/>
              <w:rPr>
                <w:sz w:val="17"/>
                <w:szCs w:val="17"/>
                <w:color w:val="auto"/>
              </w:rPr>
            </w:pP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12,487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17,039</w:t>
            </w:r>
          </w:p>
        </w:tc>
        <w:tc>
          <w:tcPr>
            <w:tcW w:w="100" w:type="dxa"/>
            <w:vAlign w:val="bottom"/>
          </w:tcPr>
          <w:p>
            <w:pPr>
              <w:spacing w:after="0"/>
              <w:rPr>
                <w:sz w:val="17"/>
                <w:szCs w:val="17"/>
                <w:color w:val="auto"/>
              </w:rPr>
            </w:pPr>
          </w:p>
        </w:tc>
      </w:tr>
      <w:tr>
        <w:trPr>
          <w:trHeight w:val="203"/>
        </w:trPr>
        <w:tc>
          <w:tcPr>
            <w:tcW w:w="4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Sales to affiliates</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(1,055 )</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20" w:type="dxa"/>
            <w:vAlign w:val="bottom"/>
            <w:tcBorders>
              <w:top w:val="single" w:sz="8" w:color="CFF0FC"/>
            </w:tcBorders>
          </w:tcPr>
          <w:p>
            <w:pPr>
              <w:spacing w:after="0"/>
              <w:rPr>
                <w:sz w:val="17"/>
                <w:szCs w:val="17"/>
                <w:color w:val="auto"/>
              </w:rPr>
            </w:pPr>
          </w:p>
        </w:tc>
        <w:tc>
          <w:tcPr>
            <w:tcW w:w="424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FF0FC"/>
            </w:tcBorders>
            <w:gridSpan w:val="2"/>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173,425</w:t>
            </w: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24,231</w:t>
            </w: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FF0FC"/>
            </w:tcBorders>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197,656</w:t>
            </w:r>
          </w:p>
        </w:tc>
        <w:tc>
          <w:tcPr>
            <w:tcW w:w="100" w:type="dxa"/>
            <w:vAlign w:val="bottom"/>
            <w:tcBorders>
              <w:top w:val="single" w:sz="8" w:color="CFF0FC"/>
            </w:tcBorders>
          </w:tcPr>
          <w:p>
            <w:pPr>
              <w:spacing w:after="0"/>
              <w:rPr>
                <w:sz w:val="17"/>
                <w:szCs w:val="17"/>
                <w:color w:val="auto"/>
              </w:rPr>
            </w:pPr>
          </w:p>
        </w:tc>
      </w:tr>
      <w:tr>
        <w:trPr>
          <w:trHeight w:val="203"/>
        </w:trPr>
        <w:tc>
          <w:tcPr>
            <w:tcW w:w="4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service revenue</w:t>
            </w:r>
          </w:p>
        </w:tc>
        <w:tc>
          <w:tcPr>
            <w:tcW w:w="16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3,184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4,144</w:t>
            </w:r>
          </w:p>
        </w:tc>
        <w:tc>
          <w:tcPr>
            <w:tcW w:w="100" w:type="dxa"/>
            <w:vAlign w:val="bottom"/>
            <w:shd w:val="clear" w:color="auto" w:fill="CFF0FC"/>
          </w:tcPr>
          <w:p>
            <w:pPr>
              <w:spacing w:after="0"/>
              <w:rPr>
                <w:sz w:val="17"/>
                <w:szCs w:val="17"/>
                <w:color w:val="auto"/>
              </w:rPr>
            </w:pPr>
          </w:p>
        </w:tc>
      </w:tr>
      <w:tr>
        <w:trPr>
          <w:trHeight w:val="20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160" w:type="dxa"/>
            <w:vAlign w:val="bottom"/>
          </w:tcPr>
          <w:p>
            <w:pPr>
              <w:spacing w:after="0"/>
              <w:rPr>
                <w:sz w:val="17"/>
                <w:szCs w:val="17"/>
                <w:color w:val="auto"/>
              </w:rPr>
            </w:pP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11,317</w:t>
            </w:r>
          </w:p>
        </w:tc>
        <w:tc>
          <w:tcPr>
            <w:tcW w:w="100" w:type="dxa"/>
            <w:vAlign w:val="bottom"/>
          </w:tcPr>
          <w:p>
            <w:pPr>
              <w:spacing w:after="0"/>
              <w:rPr>
                <w:sz w:val="17"/>
                <w:szCs w:val="17"/>
                <w:color w:val="auto"/>
              </w:rPr>
            </w:pPr>
          </w:p>
        </w:tc>
      </w:tr>
      <w:tr>
        <w:trPr>
          <w:trHeight w:val="203"/>
        </w:trPr>
        <w:tc>
          <w:tcPr>
            <w:tcW w:w="4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sales to affiliates</w:t>
            </w:r>
          </w:p>
        </w:tc>
        <w:tc>
          <w:tcPr>
            <w:tcW w:w="16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(7 )</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7"/>
                <w:szCs w:val="17"/>
                <w:color w:val="auto"/>
              </w:rPr>
            </w:pP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50,469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60,536</w:t>
            </w:r>
          </w:p>
        </w:tc>
        <w:tc>
          <w:tcPr>
            <w:tcW w:w="100" w:type="dxa"/>
            <w:vAlign w:val="bottom"/>
          </w:tcPr>
          <w:p>
            <w:pPr>
              <w:spacing w:after="0"/>
              <w:rPr>
                <w:sz w:val="17"/>
                <w:szCs w:val="17"/>
                <w:color w:val="auto"/>
              </w:rPr>
            </w:pPr>
          </w:p>
        </w:tc>
      </w:tr>
      <w:tr>
        <w:trPr>
          <w:trHeight w:val="203"/>
        </w:trPr>
        <w:tc>
          <w:tcPr>
            <w:tcW w:w="4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6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38,482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41,126</w:t>
            </w:r>
          </w:p>
        </w:tc>
        <w:tc>
          <w:tcPr>
            <w:tcW w:w="100" w:type="dxa"/>
            <w:vAlign w:val="bottom"/>
            <w:shd w:val="clear" w:color="auto" w:fill="CFF0FC"/>
          </w:tcPr>
          <w:p>
            <w:pPr>
              <w:spacing w:after="0"/>
              <w:rPr>
                <w:sz w:val="17"/>
                <w:szCs w:val="17"/>
                <w:color w:val="auto"/>
              </w:rPr>
            </w:pPr>
          </w:p>
        </w:tc>
      </w:tr>
      <w:tr>
        <w:trPr>
          <w:trHeight w:val="154"/>
        </w:trPr>
        <w:tc>
          <w:tcPr>
            <w:tcW w:w="426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7"/>
                <w:szCs w:val="17"/>
                <w:color w:val="auto"/>
              </w:rPr>
              <w:t>Depreciation, amortization and (gain) loss on disposal of</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7"/>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assets, net</w:t>
            </w:r>
          </w:p>
        </w:tc>
        <w:tc>
          <w:tcPr>
            <w:tcW w:w="160" w:type="dxa"/>
            <w:vAlign w:val="bottom"/>
          </w:tcPr>
          <w:p>
            <w:pPr>
              <w:spacing w:after="0"/>
              <w:rPr>
                <w:sz w:val="20"/>
                <w:szCs w:val="20"/>
                <w:color w:val="auto"/>
              </w:rPr>
            </w:pP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29,762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35,035</w:t>
            </w:r>
          </w:p>
        </w:tc>
        <w:tc>
          <w:tcPr>
            <w:tcW w:w="100" w:type="dxa"/>
            <w:vAlign w:val="bottom"/>
          </w:tcPr>
          <w:p>
            <w:pPr>
              <w:spacing w:after="0"/>
              <w:rPr>
                <w:sz w:val="20"/>
                <w:szCs w:val="20"/>
                <w:color w:val="auto"/>
              </w:rPr>
            </w:pPr>
          </w:p>
        </w:tc>
      </w:tr>
      <w:tr>
        <w:trPr>
          <w:trHeight w:val="197"/>
        </w:trPr>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424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129,043</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23,115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152,158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16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44,382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45,498</w:t>
            </w:r>
          </w:p>
        </w:tc>
        <w:tc>
          <w:tcPr>
            <w:tcW w:w="100" w:type="dxa"/>
            <w:vAlign w:val="bottom"/>
          </w:tcPr>
          <w:p>
            <w:pPr>
              <w:spacing w:after="0"/>
              <w:rPr>
                <w:sz w:val="17"/>
                <w:szCs w:val="17"/>
                <w:color w:val="auto"/>
              </w:rPr>
            </w:pPr>
          </w:p>
        </w:tc>
      </w:tr>
      <w:tr>
        <w:trPr>
          <w:trHeight w:val="203"/>
        </w:trPr>
        <w:tc>
          <w:tcPr>
            <w:tcW w:w="4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from equity investment</w:t>
            </w:r>
          </w:p>
        </w:tc>
        <w:tc>
          <w:tcPr>
            <w:tcW w:w="1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(24,576 )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(2,530 )</w:t>
            </w:r>
          </w:p>
        </w:tc>
        <w:tc>
          <w:tcPr>
            <w:tcW w:w="14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27,106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60" w:type="dxa"/>
            <w:vAlign w:val="bottom"/>
          </w:tcPr>
          <w:p>
            <w:pPr>
              <w:spacing w:after="0"/>
              <w:rPr>
                <w:sz w:val="17"/>
                <w:szCs w:val="17"/>
                <w:color w:val="auto"/>
              </w:rPr>
            </w:pP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21,302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20,260</w:t>
            </w:r>
          </w:p>
        </w:tc>
        <w:tc>
          <w:tcPr>
            <w:tcW w:w="100" w:type="dxa"/>
            <w:vAlign w:val="bottom"/>
          </w:tcPr>
          <w:p>
            <w:pPr>
              <w:spacing w:after="0"/>
              <w:rPr>
                <w:sz w:val="17"/>
                <w:szCs w:val="17"/>
                <w:color w:val="auto"/>
              </w:rPr>
            </w:pPr>
          </w:p>
        </w:tc>
      </w:tr>
      <w:tr>
        <w:trPr>
          <w:trHeight w:val="203"/>
        </w:trPr>
        <w:tc>
          <w:tcPr>
            <w:tcW w:w="4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16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(2,267 )</w:t>
            </w:r>
          </w:p>
        </w:tc>
        <w:tc>
          <w:tcPr>
            <w:tcW w:w="14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(2,267 )</w:t>
            </w:r>
          </w:p>
        </w:tc>
      </w:tr>
      <w:tr>
        <w:trPr>
          <w:trHeight w:val="20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160" w:type="dxa"/>
            <w:vAlign w:val="bottom"/>
          </w:tcPr>
          <w:p>
            <w:pPr>
              <w:spacing w:after="0"/>
              <w:rPr>
                <w:sz w:val="17"/>
                <w:szCs w:val="17"/>
                <w:color w:val="auto"/>
              </w:rPr>
            </w:pP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(3,005 )</w:t>
            </w:r>
          </w:p>
        </w:tc>
        <w:tc>
          <w:tcPr>
            <w:tcW w:w="14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(3,005 )</w:t>
            </w:r>
          </w:p>
        </w:tc>
      </w:tr>
      <w:tr>
        <w:trPr>
          <w:trHeight w:val="203"/>
        </w:trPr>
        <w:tc>
          <w:tcPr>
            <w:tcW w:w="4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(2,057 )</w:t>
            </w: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(405 )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(2,462 )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Total other (income) expenses</w:t>
            </w:r>
          </w:p>
        </w:tc>
        <w:tc>
          <w:tcPr>
            <w:tcW w:w="16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(24,576 )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(1,447 )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12,526</w:t>
            </w:r>
          </w:p>
        </w:tc>
        <w:tc>
          <w:tcPr>
            <w:tcW w:w="100" w:type="dxa"/>
            <w:vAlign w:val="bottom"/>
          </w:tcPr>
          <w:p>
            <w:pPr>
              <w:spacing w:after="0"/>
              <w:rPr>
                <w:sz w:val="17"/>
                <w:szCs w:val="17"/>
                <w:color w:val="auto"/>
              </w:rPr>
            </w:pPr>
          </w:p>
        </w:tc>
      </w:tr>
      <w:tr>
        <w:trPr>
          <w:trHeight w:val="196"/>
        </w:trPr>
        <w:tc>
          <w:tcPr>
            <w:tcW w:w="4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24,576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32,939</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(27,106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32,972</w:t>
            </w:r>
          </w:p>
        </w:tc>
        <w:tc>
          <w:tcPr>
            <w:tcW w:w="100" w:type="dxa"/>
            <w:vAlign w:val="bottom"/>
            <w:shd w:val="clear" w:color="auto" w:fill="CFF0FC"/>
          </w:tcPr>
          <w:p>
            <w:pPr>
              <w:spacing w:after="0"/>
              <w:rPr>
                <w:sz w:val="17"/>
                <w:szCs w:val="17"/>
                <w:color w:val="auto"/>
              </w:rPr>
            </w:pPr>
          </w:p>
        </w:tc>
      </w:tr>
      <w:tr>
        <w:trPr>
          <w:trHeight w:val="20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160" w:type="dxa"/>
            <w:vAlign w:val="bottom"/>
          </w:tcPr>
          <w:p>
            <w:pPr>
              <w:spacing w:after="0"/>
              <w:rPr>
                <w:sz w:val="17"/>
                <w:szCs w:val="17"/>
                <w:color w:val="auto"/>
              </w:rPr>
            </w:pP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8,396</w:t>
            </w:r>
          </w:p>
        </w:tc>
        <w:tc>
          <w:tcPr>
            <w:tcW w:w="100" w:type="dxa"/>
            <w:vAlign w:val="bottom"/>
          </w:tcPr>
          <w:p>
            <w:pPr>
              <w:spacing w:after="0"/>
              <w:rPr>
                <w:sz w:val="17"/>
                <w:szCs w:val="17"/>
                <w:color w:val="auto"/>
              </w:rPr>
            </w:pPr>
          </w:p>
        </w:tc>
      </w:tr>
      <w:tr>
        <w:trPr>
          <w:trHeight w:val="236"/>
        </w:trPr>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424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24,576</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24,576</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2,530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(27,106</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24,576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183"/>
        </w:trPr>
        <w:tc>
          <w:tcPr>
            <w:tcW w:w="426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Other comprehensive loss: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 in foreign currency translation adjustment</w:t>
            </w:r>
          </w:p>
        </w:tc>
        <w:tc>
          <w:tcPr>
            <w:tcW w:w="16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(8,167 )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(8,167 )</w:t>
            </w:r>
          </w:p>
        </w:tc>
      </w:tr>
      <w:tr>
        <w:trPr>
          <w:trHeight w:val="196"/>
        </w:trPr>
        <w:tc>
          <w:tcPr>
            <w:tcW w:w="20" w:type="dxa"/>
            <w:vAlign w:val="bottom"/>
          </w:tcPr>
          <w:p>
            <w:pPr>
              <w:spacing w:after="0"/>
              <w:rPr>
                <w:sz w:val="17"/>
                <w:szCs w:val="17"/>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Total comprehensive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24,576</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16,409</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-2931160</wp:posOffset>
            </wp:positionV>
            <wp:extent cx="7747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-2931160</wp:posOffset>
            </wp:positionV>
            <wp:extent cx="76835"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-2931160</wp:posOffset>
            </wp:positionV>
            <wp:extent cx="6858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-2931160</wp:posOffset>
            </wp:positionV>
            <wp:extent cx="6858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-1915160</wp:posOffset>
            </wp:positionV>
            <wp:extent cx="7145020" cy="2870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5020" cy="28702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-985520</wp:posOffset>
            </wp:positionV>
            <wp:extent cx="77470"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-985520</wp:posOffset>
            </wp:positionV>
            <wp:extent cx="76835"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-985520</wp:posOffset>
            </wp:positionV>
            <wp:extent cx="68580"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-985520</wp:posOffset>
            </wp:positionV>
            <wp:extent cx="68580" cy="146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-582295</wp:posOffset>
            </wp:positionV>
            <wp:extent cx="3488690" cy="291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88690" cy="29146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0" w:name="page31"/>
    <w:bookmarkEnd w:id="30"/>
    <w:p>
      <w:pPr>
        <w:ind w:left="388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Nine Months Ended 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40" w:type="dxa"/>
            <w:vAlign w:val="bottom"/>
          </w:tcPr>
          <w:p>
            <w:pPr>
              <w:spacing w:after="0"/>
              <w:rPr>
                <w:sz w:val="13"/>
                <w:szCs w:val="13"/>
                <w:color w:val="auto"/>
              </w:rPr>
            </w:pPr>
          </w:p>
        </w:tc>
        <w:tc>
          <w:tcPr>
            <w:tcW w:w="118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180" w:type="dxa"/>
            <w:vAlign w:val="bottom"/>
            <w:gridSpan w:val="3"/>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5"/>
                <w:szCs w:val="15"/>
                <w:color w:val="auto"/>
              </w:rPr>
            </w:pPr>
          </w:p>
        </w:tc>
        <w:tc>
          <w:tcPr>
            <w:tcW w:w="16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14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462,294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53,959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516,253</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Product sales</w:t>
            </w:r>
          </w:p>
        </w:tc>
        <w:tc>
          <w:tcPr>
            <w:tcW w:w="140" w:type="dxa"/>
            <w:vAlign w:val="bottom"/>
          </w:tcPr>
          <w:p>
            <w:pPr>
              <w:spacing w:after="0"/>
              <w:rPr>
                <w:sz w:val="17"/>
                <w:szCs w:val="17"/>
                <w:color w:val="auto"/>
              </w:rPr>
            </w:pP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25,828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39,275</w:t>
            </w:r>
          </w:p>
        </w:tc>
        <w:tc>
          <w:tcPr>
            <w:tcW w:w="100" w:type="dxa"/>
            <w:vAlign w:val="bottom"/>
          </w:tcPr>
          <w:p>
            <w:pPr>
              <w:spacing w:after="0"/>
              <w:rPr>
                <w:sz w:val="17"/>
                <w:szCs w:val="17"/>
                <w:color w:val="auto"/>
              </w:rPr>
            </w:pPr>
          </w:p>
        </w:tc>
      </w:tr>
      <w:tr>
        <w:trPr>
          <w:trHeight w:val="203"/>
        </w:trPr>
        <w:tc>
          <w:tcPr>
            <w:tcW w:w="4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Sales to affiliates</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(1,403 )</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20" w:type="dxa"/>
            <w:vAlign w:val="bottom"/>
            <w:tcBorders>
              <w:top w:val="single" w:sz="8" w:color="CFF0FC"/>
            </w:tcBorders>
          </w:tcPr>
          <w:p>
            <w:pPr>
              <w:spacing w:after="0"/>
              <w:rPr>
                <w:sz w:val="17"/>
                <w:szCs w:val="17"/>
                <w:color w:val="auto"/>
              </w:rPr>
            </w:pPr>
          </w:p>
        </w:tc>
        <w:tc>
          <w:tcPr>
            <w:tcW w:w="428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CFF0FC"/>
            </w:tcBorders>
            <w:gridSpan w:val="2"/>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486,719</w:t>
            </w: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68,809</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CFF0FC"/>
            </w:tcBorders>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555,528</w:t>
            </w:r>
          </w:p>
        </w:tc>
        <w:tc>
          <w:tcPr>
            <w:tcW w:w="100" w:type="dxa"/>
            <w:vAlign w:val="bottom"/>
            <w:tcBorders>
              <w:top w:val="single" w:sz="8" w:color="CFF0FC"/>
            </w:tcBorders>
          </w:tcPr>
          <w:p>
            <w:pPr>
              <w:spacing w:after="0"/>
              <w:rPr>
                <w:sz w:val="17"/>
                <w:szCs w:val="17"/>
                <w:color w:val="auto"/>
              </w:rPr>
            </w:pPr>
          </w:p>
        </w:tc>
      </w:tr>
      <w:tr>
        <w:trPr>
          <w:trHeight w:val="203"/>
        </w:trPr>
        <w:tc>
          <w:tcPr>
            <w:tcW w:w="4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service revenue</w:t>
            </w:r>
          </w:p>
        </w:tc>
        <w:tc>
          <w:tcPr>
            <w:tcW w:w="14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8,158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11,636</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140" w:type="dxa"/>
            <w:vAlign w:val="bottom"/>
          </w:tcPr>
          <w:p>
            <w:pPr>
              <w:spacing w:after="0"/>
              <w:rPr>
                <w:sz w:val="17"/>
                <w:szCs w:val="17"/>
                <w:color w:val="auto"/>
              </w:rPr>
            </w:pP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25,638</w:t>
            </w:r>
          </w:p>
        </w:tc>
        <w:tc>
          <w:tcPr>
            <w:tcW w:w="100" w:type="dxa"/>
            <w:vAlign w:val="bottom"/>
          </w:tcPr>
          <w:p>
            <w:pPr>
              <w:spacing w:after="0"/>
              <w:rPr>
                <w:sz w:val="17"/>
                <w:szCs w:val="17"/>
                <w:color w:val="auto"/>
              </w:rPr>
            </w:pPr>
          </w:p>
        </w:tc>
      </w:tr>
      <w:tr>
        <w:trPr>
          <w:trHeight w:val="203"/>
        </w:trPr>
        <w:tc>
          <w:tcPr>
            <w:tcW w:w="4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sales to affiliates</w:t>
            </w:r>
          </w:p>
        </w:tc>
        <w:tc>
          <w:tcPr>
            <w:tcW w:w="14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(10 )</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40" w:type="dxa"/>
            <w:vAlign w:val="bottom"/>
          </w:tcPr>
          <w:p>
            <w:pPr>
              <w:spacing w:after="0"/>
              <w:rPr>
                <w:sz w:val="17"/>
                <w:szCs w:val="17"/>
                <w:color w:val="auto"/>
              </w:rPr>
            </w:pP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137,717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166,795</w:t>
            </w:r>
          </w:p>
        </w:tc>
        <w:tc>
          <w:tcPr>
            <w:tcW w:w="100" w:type="dxa"/>
            <w:vAlign w:val="bottom"/>
          </w:tcPr>
          <w:p>
            <w:pPr>
              <w:spacing w:after="0"/>
              <w:rPr>
                <w:sz w:val="17"/>
                <w:szCs w:val="17"/>
                <w:color w:val="auto"/>
              </w:rPr>
            </w:pPr>
          </w:p>
        </w:tc>
      </w:tr>
      <w:tr>
        <w:trPr>
          <w:trHeight w:val="203"/>
        </w:trPr>
        <w:tc>
          <w:tcPr>
            <w:tcW w:w="4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4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106,550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16,363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122,913</w:t>
            </w:r>
          </w:p>
        </w:tc>
        <w:tc>
          <w:tcPr>
            <w:tcW w:w="100" w:type="dxa"/>
            <w:vAlign w:val="bottom"/>
            <w:shd w:val="clear" w:color="auto" w:fill="CFF0FC"/>
          </w:tcPr>
          <w:p>
            <w:pPr>
              <w:spacing w:after="0"/>
              <w:rPr>
                <w:sz w:val="17"/>
                <w:szCs w:val="17"/>
                <w:color w:val="auto"/>
              </w:rPr>
            </w:pPr>
          </w:p>
        </w:tc>
      </w:tr>
      <w:tr>
        <w:trPr>
          <w:trHeight w:val="154"/>
        </w:trPr>
        <w:tc>
          <w:tcPr>
            <w:tcW w:w="430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7"/>
                <w:szCs w:val="17"/>
                <w:color w:val="auto"/>
              </w:rPr>
              <w:t>Depreciation, amortization and (gain) loss on disposal of</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7"/>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assets, net</w:t>
            </w:r>
          </w:p>
        </w:tc>
        <w:tc>
          <w:tcPr>
            <w:tcW w:w="140" w:type="dxa"/>
            <w:vAlign w:val="bottom"/>
          </w:tcPr>
          <w:p>
            <w:pPr>
              <w:spacing w:after="0"/>
              <w:rPr>
                <w:sz w:val="20"/>
                <w:szCs w:val="20"/>
                <w:color w:val="auto"/>
              </w:rPr>
            </w:pP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90,376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105,881</w:t>
            </w:r>
          </w:p>
        </w:tc>
        <w:tc>
          <w:tcPr>
            <w:tcW w:w="100" w:type="dxa"/>
            <w:vAlign w:val="bottom"/>
          </w:tcPr>
          <w:p>
            <w:pPr>
              <w:spacing w:after="0"/>
              <w:rPr>
                <w:sz w:val="20"/>
                <w:szCs w:val="20"/>
                <w:color w:val="auto"/>
              </w:rPr>
            </w:pPr>
          </w:p>
        </w:tc>
      </w:tr>
      <w:tr>
        <w:trPr>
          <w:trHeight w:val="197"/>
        </w:trPr>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428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358,059</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74,804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432,863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14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128,660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(5,995 )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122,665</w:t>
            </w:r>
          </w:p>
        </w:tc>
        <w:tc>
          <w:tcPr>
            <w:tcW w:w="100" w:type="dxa"/>
            <w:vAlign w:val="bottom"/>
          </w:tcPr>
          <w:p>
            <w:pPr>
              <w:spacing w:after="0"/>
              <w:rPr>
                <w:sz w:val="17"/>
                <w:szCs w:val="17"/>
                <w:color w:val="auto"/>
              </w:rPr>
            </w:pPr>
          </w:p>
        </w:tc>
      </w:tr>
      <w:tr>
        <w:trPr>
          <w:trHeight w:val="203"/>
        </w:trPr>
        <w:tc>
          <w:tcPr>
            <w:tcW w:w="4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from equity investment</w:t>
            </w: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(64,257 )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61,533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40" w:type="dxa"/>
            <w:vAlign w:val="bottom"/>
          </w:tcPr>
          <w:p>
            <w:pPr>
              <w:spacing w:after="0"/>
              <w:rPr>
                <w:sz w:val="17"/>
                <w:szCs w:val="17"/>
                <w:color w:val="auto"/>
              </w:rPr>
            </w:pP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50,063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49,024</w:t>
            </w:r>
          </w:p>
        </w:tc>
        <w:tc>
          <w:tcPr>
            <w:tcW w:w="100" w:type="dxa"/>
            <w:vAlign w:val="bottom"/>
          </w:tcPr>
          <w:p>
            <w:pPr>
              <w:spacing w:after="0"/>
              <w:rPr>
                <w:sz w:val="17"/>
                <w:szCs w:val="17"/>
                <w:color w:val="auto"/>
              </w:rPr>
            </w:pPr>
          </w:p>
        </w:tc>
      </w:tr>
      <w:tr>
        <w:trPr>
          <w:trHeight w:val="203"/>
        </w:trPr>
        <w:tc>
          <w:tcPr>
            <w:tcW w:w="4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14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(5,133 )</w:t>
            </w:r>
          </w:p>
        </w:tc>
        <w:tc>
          <w:tcPr>
            <w:tcW w:w="14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(5,133 )</w:t>
            </w:r>
          </w:p>
        </w:tc>
      </w:tr>
      <w:tr>
        <w:trPr>
          <w:trHeight w:val="20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Tax receivable agreement liability adjustment</w:t>
            </w:r>
          </w:p>
        </w:tc>
        <w:tc>
          <w:tcPr>
            <w:tcW w:w="140" w:type="dxa"/>
            <w:vAlign w:val="bottom"/>
          </w:tcPr>
          <w:p>
            <w:pPr>
              <w:spacing w:after="0"/>
              <w:rPr>
                <w:sz w:val="17"/>
                <w:szCs w:val="17"/>
                <w:color w:val="auto"/>
              </w:rPr>
            </w:pP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(965 )</w:t>
            </w:r>
          </w:p>
        </w:tc>
        <w:tc>
          <w:tcPr>
            <w:tcW w:w="140" w:type="dxa"/>
            <w:vAlign w:val="bottom"/>
          </w:tcPr>
          <w:p>
            <w:pPr>
              <w:spacing w:after="0"/>
              <w:rPr>
                <w:sz w:val="17"/>
                <w:szCs w:val="17"/>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(965 )</w:t>
            </w:r>
          </w:p>
        </w:tc>
      </w:tr>
      <w:tr>
        <w:trPr>
          <w:trHeight w:val="203"/>
        </w:trPr>
        <w:tc>
          <w:tcPr>
            <w:tcW w:w="4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14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(3,005 )</w:t>
            </w:r>
          </w:p>
        </w:tc>
        <w:tc>
          <w:tcPr>
            <w:tcW w:w="14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(3,005 )</w:t>
            </w:r>
          </w:p>
        </w:tc>
      </w:tr>
      <w:tr>
        <w:trPr>
          <w:trHeight w:val="20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40" w:type="dxa"/>
            <w:vAlign w:val="bottom"/>
          </w:tcPr>
          <w:p>
            <w:pPr>
              <w:spacing w:after="0"/>
              <w:rPr>
                <w:sz w:val="17"/>
                <w:szCs w:val="17"/>
                <w:color w:val="auto"/>
              </w:rPr>
            </w:pP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(7,931 )</w:t>
            </w:r>
          </w:p>
        </w:tc>
        <w:tc>
          <w:tcPr>
            <w:tcW w:w="1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(1,436 )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(9,367 )</w:t>
            </w: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42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 other (income) expenses</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(64,257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35,753</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(2,475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61,533</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30,554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92,907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(3,520 )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(61,533 )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92,111</w:t>
            </w:r>
          </w:p>
        </w:tc>
        <w:tc>
          <w:tcPr>
            <w:tcW w:w="100" w:type="dxa"/>
            <w:vAlign w:val="bottom"/>
          </w:tcPr>
          <w:p>
            <w:pPr>
              <w:spacing w:after="0"/>
              <w:rPr>
                <w:sz w:val="17"/>
                <w:szCs w:val="17"/>
                <w:color w:val="auto"/>
              </w:rPr>
            </w:pPr>
          </w:p>
        </w:tc>
      </w:tr>
      <w:tr>
        <w:trPr>
          <w:trHeight w:val="203"/>
        </w:trPr>
        <w:tc>
          <w:tcPr>
            <w:tcW w:w="4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tax provision (benefit)</w:t>
            </w:r>
          </w:p>
        </w:tc>
        <w:tc>
          <w:tcPr>
            <w:tcW w:w="14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28,650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(796 )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27,854</w:t>
            </w:r>
          </w:p>
        </w:tc>
        <w:tc>
          <w:tcPr>
            <w:tcW w:w="100" w:type="dxa"/>
            <w:vAlign w:val="bottom"/>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64,257</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(61,533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64,257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300" w:type="dxa"/>
            <w:vAlign w:val="bottom"/>
            <w:gridSpan w:val="3"/>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Other comprehensive loss:</w:t>
            </w: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foreign currency translation adjustment</w:t>
            </w:r>
          </w:p>
        </w:tc>
        <w:tc>
          <w:tcPr>
            <w:tcW w:w="140" w:type="dxa"/>
            <w:vAlign w:val="bottom"/>
          </w:tcPr>
          <w:p>
            <w:pPr>
              <w:spacing w:after="0"/>
              <w:rPr>
                <w:sz w:val="17"/>
                <w:szCs w:val="17"/>
                <w:color w:val="auto"/>
              </w:rPr>
            </w:pP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(15,840 )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(15,840 )</w:t>
            </w:r>
          </w:p>
        </w:tc>
      </w:tr>
      <w:tr>
        <w:trPr>
          <w:trHeight w:val="236"/>
        </w:trPr>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428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 comprehensive income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64,257</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64,257</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(18,564</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(61,533</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48,417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-3059430</wp:posOffset>
            </wp:positionV>
            <wp:extent cx="76835"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-3059430</wp:posOffset>
            </wp:positionV>
            <wp:extent cx="6858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-3059430</wp:posOffset>
            </wp:positionV>
            <wp:extent cx="6858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-3059430</wp:posOffset>
            </wp:positionV>
            <wp:extent cx="6858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-2043430</wp:posOffset>
            </wp:positionV>
            <wp:extent cx="7145020" cy="2870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5020" cy="28702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-848360</wp:posOffset>
            </wp:positionV>
            <wp:extent cx="76835"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-848360</wp:posOffset>
            </wp:positionV>
            <wp:extent cx="6858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-848360</wp:posOffset>
            </wp:positionV>
            <wp:extent cx="6858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-848360</wp:posOffset>
            </wp:positionV>
            <wp:extent cx="6858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768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-161925</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-161925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-161925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-161925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4,238</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1" w:name="page32"/>
    <w:bookmarkEnd w:id="31"/>
    <w:p>
      <w:pPr>
        <w:ind w:left="388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Nine Months Ended 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40" w:type="dxa"/>
            <w:vAlign w:val="bottom"/>
          </w:tcPr>
          <w:p>
            <w:pPr>
              <w:spacing w:after="0"/>
              <w:rPr>
                <w:sz w:val="13"/>
                <w:szCs w:val="13"/>
                <w:color w:val="auto"/>
              </w:rPr>
            </w:pPr>
          </w:p>
        </w:tc>
        <w:tc>
          <w:tcPr>
            <w:tcW w:w="1200" w:type="dxa"/>
            <w:vAlign w:val="bottom"/>
            <w:gridSpan w:val="2"/>
          </w:tcPr>
          <w:p>
            <w:pPr>
              <w:jc w:val="right"/>
              <w:ind w:right="399"/>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00" w:type="dxa"/>
            <w:vAlign w:val="bottom"/>
            <w:gridSpan w:val="2"/>
          </w:tcPr>
          <w:p>
            <w:pPr>
              <w:jc w:val="center"/>
              <w:ind w:right="279"/>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5"/>
                <w:szCs w:val="15"/>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140" w:type="dxa"/>
            <w:vAlign w:val="bottom"/>
          </w:tcPr>
          <w:p>
            <w:pPr>
              <w:spacing w:after="0"/>
              <w:rPr>
                <w:sz w:val="15"/>
                <w:szCs w:val="15"/>
                <w:color w:val="auto"/>
              </w:rPr>
            </w:pPr>
          </w:p>
        </w:tc>
        <w:tc>
          <w:tcPr>
            <w:tcW w:w="1200" w:type="dxa"/>
            <w:vAlign w:val="bottom"/>
            <w:gridSpan w:val="2"/>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120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5"/>
                <w:szCs w:val="15"/>
                <w:color w:val="auto"/>
              </w:rPr>
            </w:pPr>
          </w:p>
        </w:tc>
        <w:tc>
          <w:tcPr>
            <w:tcW w:w="114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64,257</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64,257</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(2,724 )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(61,533 )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260" w:type="dxa"/>
            <w:vAlign w:val="bottom"/>
            <w:gridSpan w:val="3"/>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Adjustments to reconcile net income (loss) to net cash</w:t>
            </w: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provided by operating activities: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89,789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 of deferred financing costs and discounts</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Change in fair value of private placement warrants</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(5,133 )</w:t>
            </w:r>
          </w:p>
        </w:tc>
        <w:tc>
          <w:tcPr>
            <w:tcW w:w="140" w:type="dxa"/>
            <w:vAlign w:val="bottom"/>
          </w:tcPr>
          <w:p>
            <w:pPr>
              <w:spacing w:after="0"/>
              <w:rPr>
                <w:sz w:val="17"/>
                <w:szCs w:val="17"/>
                <w:color w:val="auto"/>
              </w:rPr>
            </w:pPr>
          </w:p>
        </w:tc>
        <w:tc>
          <w:tcPr>
            <w:tcW w:w="12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(5,133 )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Tax receivable agreement liability adjustment</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(965 )</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(3,005 )</w:t>
            </w:r>
          </w:p>
        </w:tc>
        <w:tc>
          <w:tcPr>
            <w:tcW w:w="140" w:type="dxa"/>
            <w:vAlign w:val="bottom"/>
          </w:tcPr>
          <w:p>
            <w:pPr>
              <w:spacing w:after="0"/>
              <w:rPr>
                <w:sz w:val="17"/>
                <w:szCs w:val="17"/>
                <w:color w:val="auto"/>
              </w:rPr>
            </w:pPr>
          </w:p>
        </w:tc>
        <w:tc>
          <w:tcPr>
            <w:tcW w:w="12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(3,005 )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Credit loss expense</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(15,198 )</w:t>
            </w:r>
          </w:p>
        </w:tc>
        <w:tc>
          <w:tcPr>
            <w:tcW w:w="14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(2,112 )</w:t>
            </w: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(17,310 )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Income from equity investment</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(64,257 )</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61,533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(24,519 )</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(1,327 )</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(25,846 )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Unbilled receivables</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(3,289 )</w:t>
            </w:r>
          </w:p>
        </w:tc>
        <w:tc>
          <w:tcPr>
            <w:tcW w:w="14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(916 )</w:t>
            </w: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(4,205 )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Inventory, net</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(2,835 )</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(6,221 )</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(2,476 )</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(1,978 )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Due to affiliates</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(473 )</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(675 )</w:t>
            </w: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140,896</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148,776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Partial payment of contingent consideration</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(647 )</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gridSpan w:val="2"/>
          </w:tcPr>
          <w:p>
            <w:pPr>
              <w:ind w:left="180"/>
              <w:spacing w:after="0" w:line="148" w:lineRule="exact"/>
              <w:rPr>
                <w:sz w:val="20"/>
                <w:szCs w:val="20"/>
                <w:color w:val="auto"/>
              </w:rPr>
            </w:pPr>
            <w:r>
              <w:rPr>
                <w:rFonts w:ascii="Times New Roman" w:cs="Times New Roman" w:eastAsia="Times New Roman" w:hAnsi="Times New Roman"/>
                <w:sz w:val="16"/>
                <w:szCs w:val="16"/>
                <w:color w:val="auto"/>
              </w:rPr>
              <w:t>Purchases of installation and service parts and property and</w:t>
            </w:r>
          </w:p>
        </w:tc>
        <w:tc>
          <w:tcPr>
            <w:tcW w:w="140" w:type="dxa"/>
            <w:vAlign w:val="bottom"/>
          </w:tcPr>
          <w:p>
            <w:pPr>
              <w:spacing w:after="0"/>
              <w:rPr>
                <w:sz w:val="12"/>
                <w:szCs w:val="12"/>
                <w:color w:val="auto"/>
              </w:rPr>
            </w:pPr>
          </w:p>
        </w:tc>
        <w:tc>
          <w:tcPr>
            <w:tcW w:w="1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(28,570 )</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(7,357 )</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(35,927 )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equipment</w:t>
            </w:r>
          </w:p>
        </w:tc>
        <w:tc>
          <w:tcPr>
            <w:tcW w:w="14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proceeds from the sale of assets</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(29,077</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(7,357</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(36,434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42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Repayment on the revolver</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(25,000 )</w:t>
            </w:r>
          </w:p>
        </w:tc>
        <w:tc>
          <w:tcPr>
            <w:tcW w:w="140" w:type="dxa"/>
            <w:vAlign w:val="bottom"/>
          </w:tcPr>
          <w:p>
            <w:pPr>
              <w:spacing w:after="0"/>
              <w:rPr>
                <w:sz w:val="17"/>
                <w:szCs w:val="17"/>
                <w:color w:val="auto"/>
              </w:rPr>
            </w:pPr>
          </w:p>
        </w:tc>
        <w:tc>
          <w:tcPr>
            <w:tcW w:w="12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(6,764 )</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(410 )</w:t>
            </w:r>
          </w:p>
        </w:tc>
        <w:tc>
          <w:tcPr>
            <w:tcW w:w="140" w:type="dxa"/>
            <w:vAlign w:val="bottom"/>
          </w:tcPr>
          <w:p>
            <w:pPr>
              <w:spacing w:after="0"/>
              <w:rPr>
                <w:sz w:val="17"/>
                <w:szCs w:val="17"/>
                <w:color w:val="auto"/>
              </w:rPr>
            </w:pPr>
          </w:p>
        </w:tc>
        <w:tc>
          <w:tcPr>
            <w:tcW w:w="12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(410 )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Share repurchases and retirement</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(125,071 )</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(125,071 )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4240" w:type="dxa"/>
            <w:vAlign w:val="bottom"/>
            <w:gridSpan w:val="2"/>
            <w:shd w:val="clear" w:color="auto" w:fill="CFF0FC"/>
          </w:tcPr>
          <w:p>
            <w:pPr>
              <w:ind w:left="180"/>
              <w:spacing w:after="0" w:line="148" w:lineRule="exact"/>
              <w:rPr>
                <w:sz w:val="20"/>
                <w:szCs w:val="20"/>
                <w:color w:val="auto"/>
              </w:rPr>
            </w:pPr>
            <w:r>
              <w:rPr>
                <w:rFonts w:ascii="Times New Roman" w:cs="Times New Roman" w:eastAsia="Times New Roman" w:hAnsi="Times New Roman"/>
                <w:sz w:val="16"/>
                <w:szCs w:val="16"/>
                <w:color w:val="auto"/>
              </w:rPr>
              <w:t>Payment of employee tax withholding related to RSUs</w:t>
            </w:r>
          </w:p>
        </w:tc>
        <w:tc>
          <w:tcPr>
            <w:tcW w:w="140" w:type="dxa"/>
            <w:vAlign w:val="bottom"/>
            <w:shd w:val="clear" w:color="auto" w:fill="CFF0FC"/>
          </w:tcPr>
          <w:p>
            <w:pPr>
              <w:spacing w:after="0"/>
              <w:rPr>
                <w:sz w:val="12"/>
                <w:szCs w:val="12"/>
                <w:color w:val="auto"/>
              </w:rPr>
            </w:pPr>
          </w:p>
        </w:tc>
        <w:tc>
          <w:tcPr>
            <w:tcW w:w="16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(3,072 )</w:t>
            </w:r>
          </w:p>
        </w:tc>
        <w:tc>
          <w:tcPr>
            <w:tcW w:w="14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(3,072 )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vesting</w:t>
            </w:r>
          </w:p>
        </w:tc>
        <w:tc>
          <w:tcPr>
            <w:tcW w:w="140" w:type="dxa"/>
            <w:vAlign w:val="bottom"/>
            <w:shd w:val="clear" w:color="auto" w:fill="CFF0FC"/>
          </w:tcPr>
          <w:p>
            <w:pPr>
              <w:spacing w:after="0"/>
              <w:rPr>
                <w:sz w:val="18"/>
                <w:szCs w:val="18"/>
                <w:color w:val="auto"/>
              </w:rPr>
            </w:pPr>
          </w:p>
        </w:tc>
        <w:tc>
          <w:tcPr>
            <w:tcW w:w="160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Settlement of contingent consideration</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(205 )</w:t>
            </w:r>
          </w:p>
        </w:tc>
        <w:tc>
          <w:tcPr>
            <w:tcW w:w="140" w:type="dxa"/>
            <w:vAlign w:val="bottom"/>
          </w:tcPr>
          <w:p>
            <w:pPr>
              <w:spacing w:after="0"/>
              <w:rPr>
                <w:sz w:val="17"/>
                <w:szCs w:val="17"/>
                <w:color w:val="auto"/>
              </w:rPr>
            </w:pPr>
          </w:p>
        </w:tc>
        <w:tc>
          <w:tcPr>
            <w:tcW w:w="12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(159,525</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(159,525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(1,620 )</w:t>
            </w: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(1,620 )</w:t>
            </w:r>
          </w:p>
        </w:tc>
        <w:tc>
          <w:tcPr>
            <w:tcW w:w="0" w:type="dxa"/>
            <w:vAlign w:val="bottom"/>
          </w:tcPr>
          <w:p>
            <w:pPr>
              <w:spacing w:after="0"/>
              <w:rPr>
                <w:sz w:val="1"/>
                <w:szCs w:val="1"/>
                <w:color w:val="auto"/>
              </w:rPr>
            </w:pPr>
          </w:p>
        </w:tc>
      </w:tr>
      <w:tr>
        <w:trPr>
          <w:trHeight w:val="190"/>
        </w:trPr>
        <w:tc>
          <w:tcPr>
            <w:tcW w:w="4260" w:type="dxa"/>
            <w:vAlign w:val="bottom"/>
            <w:tcBorders>
              <w:top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40" w:type="dxa"/>
            <w:vAlign w:val="bottom"/>
            <w:tcBorders>
              <w:top w:val="single" w:sz="8" w:color="auto"/>
            </w:tcBorders>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(47,706</w:t>
            </w:r>
          </w:p>
        </w:tc>
        <w:tc>
          <w:tcPr>
            <w:tcW w:w="240" w:type="dxa"/>
            <w:vAlign w:val="bottom"/>
            <w:tcBorders>
              <w:top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220" w:type="dxa"/>
            <w:vAlign w:val="bottom"/>
            <w:tcBorders>
              <w:top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(48,803</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48"/>
        </w:trPr>
        <w:tc>
          <w:tcPr>
            <w:tcW w:w="426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6"/>
                <w:szCs w:val="16"/>
                <w:color w:val="auto"/>
              </w:rPr>
              <w:t>Cash, cash equivalents and restricted cash - beginning of</w:t>
            </w:r>
          </w:p>
        </w:tc>
        <w:tc>
          <w:tcPr>
            <w:tcW w:w="140" w:type="dxa"/>
            <w:vAlign w:val="bottom"/>
          </w:tcPr>
          <w:p>
            <w:pPr>
              <w:spacing w:after="0"/>
              <w:rPr>
                <w:sz w:val="12"/>
                <w:szCs w:val="12"/>
                <w:color w:val="auto"/>
              </w:rPr>
            </w:pPr>
          </w:p>
        </w:tc>
        <w:tc>
          <w:tcPr>
            <w:tcW w:w="1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68,989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35,443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104,432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4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21,283</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34,346</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-668020</wp:posOffset>
            </wp:positionV>
            <wp:extent cx="77470" cy="1454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-668020</wp:posOffset>
            </wp:positionV>
            <wp:extent cx="68580" cy="145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-668020</wp:posOffset>
            </wp:positionV>
            <wp:extent cx="68580" cy="145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45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-668020</wp:posOffset>
            </wp:positionV>
            <wp:extent cx="6858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774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2" w:name="page33"/>
    <w:bookmarkEnd w:id="32"/>
    <w:p>
      <w:pPr>
        <w:ind w:left="3880"/>
        <w:spacing w:after="0"/>
        <w:rPr>
          <w:sz w:val="20"/>
          <w:szCs w:val="20"/>
          <w:color w:val="auto"/>
        </w:rPr>
      </w:pPr>
      <w:r>
        <w:rPr>
          <w:rFonts w:ascii="Times New Roman" w:cs="Times New Roman" w:eastAsia="Times New Roman" w:hAnsi="Times New Roman"/>
          <w:sz w:val="18"/>
          <w:szCs w:val="18"/>
          <w:b w:val="1"/>
          <w:bCs w:val="1"/>
          <w:color w:val="auto"/>
        </w:rPr>
        <w:t>Verra Mobility Corporation and Subsidiaries</w:t>
      </w:r>
    </w:p>
    <w:p>
      <w:pPr>
        <w:spacing w:after="0" w:line="2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Nine Months Ended 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400" w:type="dxa"/>
            <w:vAlign w:val="bottom"/>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Verra Mobility</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20" w:type="dxa"/>
            <w:vAlign w:val="bottom"/>
          </w:tcPr>
          <w:p>
            <w:pPr>
              <w:spacing w:after="0"/>
              <w:rPr>
                <w:sz w:val="13"/>
                <w:szCs w:val="13"/>
                <w:color w:val="auto"/>
              </w:rPr>
            </w:pPr>
          </w:p>
        </w:tc>
        <w:tc>
          <w:tcPr>
            <w:tcW w:w="1400" w:type="dxa"/>
            <w:vAlign w:val="bottom"/>
          </w:tcPr>
          <w:p>
            <w:pPr>
              <w:jc w:val="center"/>
              <w:ind w:left="165"/>
              <w:spacing w:after="0" w:line="160"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99"/>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1400" w:type="dxa"/>
            <w:vAlign w:val="bottom"/>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(Ultimate Parent)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540" w:type="dxa"/>
            <w:vAlign w:val="bottom"/>
            <w:gridSpan w:val="3"/>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Supplemental cash flow information:</w:t>
            </w:r>
          </w:p>
        </w:tc>
        <w:tc>
          <w:tcPr>
            <w:tcW w:w="1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paid</w:t>
            </w:r>
          </w:p>
        </w:tc>
        <w:tc>
          <w:tcPr>
            <w:tcW w:w="1400" w:type="dxa"/>
            <w:vAlign w:val="bottom"/>
          </w:tcPr>
          <w:p>
            <w:pPr>
              <w:jc w:val="right"/>
              <w:ind w:right="1225"/>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40,068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3"/>
          </w:tcPr>
          <w:p>
            <w:pPr>
              <w:ind w:left="92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gridSpan w:val="3"/>
          </w:tcPr>
          <w:p>
            <w:pPr>
              <w:ind w:left="100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43,072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gridSpan w:val="3"/>
            <w:shd w:val="clear" w:color="auto" w:fill="CFF0FC"/>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43,455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Supplemental non-cash investing and financing</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activities:</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352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7"/>
                <w:szCs w:val="17"/>
                <w:color w:val="auto"/>
              </w:rPr>
              <w:t>Purchases of installation and service parts and</w:t>
            </w: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120"/>
              <w:spacing w:after="0" w:line="176" w:lineRule="exact"/>
              <w:rPr>
                <w:sz w:val="20"/>
                <w:szCs w:val="20"/>
                <w:color w:val="auto"/>
              </w:rPr>
            </w:pPr>
            <w:r>
              <w:rPr>
                <w:rFonts w:ascii="Times New Roman" w:cs="Times New Roman" w:eastAsia="Times New Roman" w:hAnsi="Times New Roman"/>
                <w:sz w:val="17"/>
                <w:szCs w:val="17"/>
                <w:color w:val="auto"/>
              </w:rPr>
              <w:t>property and equipment in accounts payable</w:t>
            </w:r>
          </w:p>
        </w:tc>
        <w:tc>
          <w:tcPr>
            <w:tcW w:w="1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and accrued liabilities at period-end</w:t>
            </w:r>
          </w:p>
        </w:tc>
        <w:tc>
          <w:tcPr>
            <w:tcW w:w="1400" w:type="dxa"/>
            <w:vAlign w:val="bottom"/>
            <w:shd w:val="clear" w:color="auto" w:fill="CFF0FC"/>
          </w:tcPr>
          <w:p>
            <w:pPr>
              <w:spacing w:after="0"/>
              <w:rPr>
                <w:sz w:val="20"/>
                <w:szCs w:val="20"/>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6,420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3"/>
            <w:shd w:val="clear" w:color="auto" w:fill="CFF0FC"/>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520" w:type="dxa"/>
            <w:vAlign w:val="bottom"/>
          </w:tcPr>
          <w:p>
            <w:pPr>
              <w:ind w:left="120"/>
              <w:spacing w:after="0" w:line="154" w:lineRule="exact"/>
              <w:rPr>
                <w:sz w:val="20"/>
                <w:szCs w:val="20"/>
                <w:color w:val="auto"/>
              </w:rPr>
            </w:pPr>
            <w:r>
              <w:rPr>
                <w:rFonts w:ascii="Times New Roman" w:cs="Times New Roman" w:eastAsia="Times New Roman" w:hAnsi="Times New Roman"/>
                <w:sz w:val="17"/>
                <w:szCs w:val="17"/>
                <w:color w:val="auto"/>
              </w:rPr>
              <w:t>Additions related to asset retirement</w:t>
            </w: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obligations and property and equipment</w:t>
            </w:r>
          </w:p>
        </w:tc>
        <w:tc>
          <w:tcPr>
            <w:tcW w:w="14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3"/>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together with our Annual Report on Form 10-K for the year ended December 31, 2021, and our financial statements included in Part I, Item 1 “Financial Statements”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Part II, Item 1A. “Risk Factors” in this Quarterly Report on Form 10-Q and in Part I, Item 1A. “Risk Factors” in our Annual Report on Form 10-K for the year ended December 31, 2021. Please also refer to the section entitled “Cautionary Note Regarding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08"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We are a leading provider of smart mobility technology solutions and services throughout the United States, Australia, Canada and Europe. These solutions and services include toll and violations management, title and registration, automated safety solutions, parking enforcement and citation, and other data-driven solutions, to our customers, which include rental car companies (“</w:t>
      </w:r>
      <w:r>
        <w:rPr>
          <w:rFonts w:ascii="Times New Roman" w:cs="Times New Roman" w:eastAsia="Times New Roman" w:hAnsi="Times New Roman"/>
          <w:sz w:val="18"/>
          <w:szCs w:val="18"/>
          <w:b w:val="1"/>
          <w:bCs w:val="1"/>
          <w:i w:val="1"/>
          <w:iCs w:val="1"/>
          <w:color w:val="auto"/>
        </w:rPr>
        <w:t>RAC</w:t>
      </w:r>
      <w:r>
        <w:rPr>
          <w:rFonts w:ascii="Times New Roman" w:cs="Times New Roman" w:eastAsia="Times New Roman" w:hAnsi="Times New Roman"/>
          <w:sz w:val="18"/>
          <w:szCs w:val="18"/>
          <w:color w:val="auto"/>
        </w:rPr>
        <w:t>s”),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other large fleet owners, municipalities, school districts, universities, parking operators, healthcare facilities and transportation hubs and other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automated safety and parking solutions for hundreds of agencies and millions of end users annually, while also making cities and roadways safer for everyone.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operate under long-term contracts and have a highly reoccurring service revenue model. We continue to execute our strategy to grow revenue organically and expand offerings into adjacent markets through innovation or acquisition. During the periods presented, we:</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growth as a result of strategic acquisitions completed in 2021:</w:t>
      </w:r>
    </w:p>
    <w:p>
      <w:pPr>
        <w:spacing w:after="0" w:line="113" w:lineRule="exact"/>
        <w:rPr>
          <w:rFonts w:ascii="Times New Roman" w:cs="Times New Roman" w:eastAsia="Times New Roman" w:hAnsi="Times New Roman"/>
          <w:sz w:val="18"/>
          <w:szCs w:val="18"/>
          <w:color w:val="auto"/>
        </w:rPr>
      </w:pPr>
    </w:p>
    <w:p>
      <w:pPr>
        <w:jc w:val="both"/>
        <w:ind w:left="10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Redflex </w:t>
      </w:r>
      <w:r>
        <w:rPr>
          <w:rFonts w:ascii="Times New Roman" w:cs="Times New Roman" w:eastAsia="Times New Roman" w:hAnsi="Times New Roman"/>
          <w:sz w:val="18"/>
          <w:szCs w:val="18"/>
          <w:color w:val="auto"/>
        </w:rPr>
        <w:t>– During the second quarter of 2021, we acquired Redflex Holdings Limited (“</w:t>
      </w:r>
      <w:r>
        <w:rPr>
          <w:rFonts w:ascii="Times New Roman" w:cs="Times New Roman" w:eastAsia="Times New Roman" w:hAnsi="Times New Roman"/>
          <w:sz w:val="18"/>
          <w:szCs w:val="18"/>
          <w:b w:val="1"/>
          <w:bCs w:val="1"/>
          <w:i w:val="1"/>
          <w:iCs w:val="1"/>
          <w:color w:val="auto"/>
        </w:rPr>
        <w:t>Redflex</w:t>
      </w:r>
      <w:r>
        <w:rPr>
          <w:rFonts w:ascii="Times New Roman" w:cs="Times New Roman" w:eastAsia="Times New Roman" w:hAnsi="Times New Roman"/>
          <w:sz w:val="18"/>
          <w:szCs w:val="18"/>
          <w:color w:val="auto"/>
        </w:rPr>
        <w:t>”), which provides intelligent traffic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products and services to its customers. Through our acquisition of Redflex, we expanded our current footprint in the United States and gained access to international markets.</w:t>
      </w:r>
    </w:p>
    <w:p>
      <w:pPr>
        <w:spacing w:after="0" w:line="171" w:lineRule="exact"/>
        <w:rPr>
          <w:rFonts w:ascii="Times New Roman" w:cs="Times New Roman" w:eastAsia="Times New Roman" w:hAnsi="Times New Roman"/>
          <w:sz w:val="18"/>
          <w:szCs w:val="18"/>
          <w:color w:val="auto"/>
        </w:rPr>
      </w:pPr>
    </w:p>
    <w:p>
      <w:pPr>
        <w:jc w:val="both"/>
        <w:ind w:left="10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T2 Systems </w:t>
      </w:r>
      <w:r>
        <w:rPr>
          <w:rFonts w:ascii="Times New Roman" w:cs="Times New Roman" w:eastAsia="Times New Roman" w:hAnsi="Times New Roman"/>
          <w:sz w:val="18"/>
          <w:szCs w:val="18"/>
          <w:color w:val="auto"/>
        </w:rPr>
        <w:t>– During the fourth quarter of 2021, we acquired T2 Systems Parent Corporation (“</w:t>
      </w:r>
      <w:r>
        <w:rPr>
          <w:rFonts w:ascii="Times New Roman" w:cs="Times New Roman" w:eastAsia="Times New Roman" w:hAnsi="Times New Roman"/>
          <w:sz w:val="18"/>
          <w:szCs w:val="18"/>
          <w:b w:val="1"/>
          <w:bCs w:val="1"/>
          <w:i w:val="1"/>
          <w:iCs w:val="1"/>
          <w:color w:val="auto"/>
        </w:rPr>
        <w:t>T2 Systems</w:t>
      </w:r>
      <w:r>
        <w:rPr>
          <w:rFonts w:ascii="Times New Roman" w:cs="Times New Roman" w:eastAsia="Times New Roman" w:hAnsi="Times New Roman"/>
          <w:sz w:val="18"/>
          <w:szCs w:val="18"/>
          <w:color w:val="auto"/>
        </w:rPr>
        <w:t>”), which provides an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suite of parking software and hardware solutions and supports our strategy to diversify into new markets and increase opportunities to cross sell to customers within our overall portfolio.</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revenue by $174.9 million from $380.6 million for the nine months ended September 30, 2021 to $555.5 million for the nine months ended September 30, 2022. Redflex and T2 Systems contributed approximately $96.2 million to the overall revenue growth, and the remaining increase was mainly due to service revenue resulting from increased travel volume and tolling activity in 2022 in the Commercial Services segment and expansion of speed programs in the Government Solutions segment; and</w:t>
      </w:r>
    </w:p>
    <w:p>
      <w:pPr>
        <w:spacing w:after="0" w:line="6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cash flows from operations of $148.8 million and $129.3 million for the nine months ended September 30, 2022 and 2021, respectively. Our cash on hand was $51.6 million as of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214"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On May 7, 2022, our Board of Directors authorized a share repurchase program for up to an aggregate amount of $125.0 million of our outstanding shares of Class A Common Stock over the next 12 months from time to time in open market transactions, accelerated share repurchases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or in privately negotiated transactions, each as permitted under applicable rules and regulations, any of which may use pre-arranged trading plans that are designed to meet the requirements of Rule 10b5-1 of the Securities Exchange Act of 1934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May 12, 2022, we paid $50.0 million, which represented the amount initially authorized for an ASR, and received an initial delivery of 2,739,726 shares of our Class A Common Stock in accordance with an ASR agreement with a third-party financial institution. The final settlement occurred on August 3, 2022, at which time, we received 445,086 additional shares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4" w:name="page35"/>
    <w:bookmarkEnd w:id="34"/>
    <w:p>
      <w:pPr>
        <w:jc w:val="both"/>
        <w:spacing w:after="0" w:line="246" w:lineRule="auto"/>
        <w:rPr>
          <w:sz w:val="20"/>
          <w:szCs w:val="20"/>
          <w:color w:val="auto"/>
        </w:rPr>
      </w:pPr>
      <w:r>
        <w:rPr>
          <w:rFonts w:ascii="Times New Roman" w:cs="Times New Roman" w:eastAsia="Times New Roman" w:hAnsi="Times New Roman"/>
          <w:sz w:val="18"/>
          <w:szCs w:val="18"/>
          <w:color w:val="auto"/>
        </w:rPr>
        <w:t>calculated using a volume-weighted average price over the term of the ASR agreement. In addition, we paid $6.9 million and repurchased 445,791 shares of our Class A Common Stock through open market transactions during the nine months ended September 30, 2022. During the third quarter of 2022, we discontinued open market repurchases and our Board of Directors authorized an ASR for the remaining availability under the share repurchase program. On August 19, 2022, we paid $68.1 million for a second ASR, and received an initial delivery of 3,300,000 shares of our Class A Common Stock in accordance with an ASR agreement with a third-party financial institution. The final settlement is expected to occur during the fourth quarter of 2022, at which time, a volume-weighted average price calculation over the term of the ASR agreement will be used to determine the final number and the average price of shares repurchased and retired. We paid a total of $125.0 million for share repurchases and $0.1 million for direct costs during the nine months ended September 30, 2022 using available cash on hand.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three operating and reportable segments, Commercial Services, Government Solutions and Parking Solutions:</w:t>
      </w:r>
    </w:p>
    <w:p>
      <w:pPr>
        <w:spacing w:after="0" w:line="117" w:lineRule="exact"/>
        <w:rPr>
          <w:sz w:val="20"/>
          <w:szCs w:val="20"/>
          <w:color w:val="auto"/>
        </w:rPr>
      </w:pPr>
    </w:p>
    <w:p>
      <w:pPr>
        <w:ind w:left="1020" w:right="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Services segment offers toll and violation management solutions and title and registration services for RACs and FMCs in North America. In Europe, we provide toll and violations processing services.</w:t>
      </w:r>
    </w:p>
    <w:p>
      <w:pPr>
        <w:spacing w:after="0" w:line="54"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Solutions segment offers photo enforcement solutions and services to its customers. We provide complete end-to-end speed, red-light, school bus stop arm and bus lane enforcement solutions within the United States and Canada. The international operations through Redflex primarily involve the sale of traffic enforcement products and related maintenance services.</w:t>
      </w:r>
    </w:p>
    <w:p>
      <w:pPr>
        <w:spacing w:after="0" w:line="61"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Solutions segment provides an integrated suite of parking software and hardware solutions to universities, municipalities, parking operators, healthcare facilities and transportation hubs in the United States and Canada.</w:t>
      </w:r>
    </w:p>
    <w:p>
      <w:pPr>
        <w:spacing w:after="0" w:line="108" w:lineRule="exact"/>
        <w:rPr>
          <w:sz w:val="20"/>
          <w:szCs w:val="20"/>
          <w:color w:val="auto"/>
        </w:rPr>
      </w:pPr>
    </w:p>
    <w:p>
      <w:pPr>
        <w:ind w:right="580" w:firstLine="374"/>
        <w:spacing w:after="0" w:line="250"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spacing w:after="0" w:line="122" w:lineRule="exact"/>
        <w:rPr>
          <w:sz w:val="20"/>
          <w:szCs w:val="20"/>
          <w:color w:val="auto"/>
        </w:rPr>
      </w:pPr>
    </w:p>
    <w:p>
      <w:pPr>
        <w:ind w:right="20" w:firstLine="374"/>
        <w:spacing w:after="0" w:line="230" w:lineRule="auto"/>
        <w:rPr>
          <w:sz w:val="20"/>
          <w:szCs w:val="20"/>
          <w:color w:val="auto"/>
        </w:rPr>
      </w:pPr>
      <w:r>
        <w:rPr>
          <w:rFonts w:ascii="Times New Roman" w:cs="Times New Roman" w:eastAsia="Times New Roman" w:hAnsi="Times New Roman"/>
          <w:sz w:val="18"/>
          <w:szCs w:val="18"/>
          <w:color w:val="auto"/>
        </w:rPr>
        <w:t>During the third quarter of 2022, we changed our measure of segment profit to include (gain) loss on disposal of assets, net, and to exclude transaction and transformation expenses that were previously included within the selling, general and administrative expenses and other income, net line items. The</w:t>
      </w:r>
    </w:p>
    <w:p>
      <w:pPr>
        <w:spacing w:after="0" w:line="1"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 xml:space="preserve">comparable prior periods have been recast to conform to the revised presentation, although the impact of this revision to previously reported segment profit was not material. See Note 15. </w:t>
      </w:r>
      <w:r>
        <w:rPr>
          <w:rFonts w:ascii="Times New Roman" w:cs="Times New Roman" w:eastAsia="Times New Roman" w:hAnsi="Times New Roman"/>
          <w:sz w:val="18"/>
          <w:szCs w:val="18"/>
          <w:i w:val="1"/>
          <w:iCs w:val="1"/>
          <w:color w:val="auto"/>
        </w:rPr>
        <w:t>Segment Reporting.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Components of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14"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Our Commercial Services segment generates service revenue primarily through the operation and management of tolling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spacing w:after="0" w:line="197"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9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Parking Solutions segment generates service revenue mainly from offering software as a service, subscription fees, professional services and citation processing services related to parking management solutions to its customers.</w:t>
      </w:r>
    </w:p>
    <w:p>
      <w:pPr>
        <w:spacing w:after="0" w:line="160"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are generated by the sale of photo enforcement equipment in the Government Solutions segment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hardware in the Parking Solutions segment. Customer buying patterns vary greatly from period to period related to product sales.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9"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w:t>
      </w:r>
      <w:r>
        <w:rPr>
          <w:rFonts w:ascii="Times New Roman" w:cs="Times New Roman" w:eastAsia="Times New Roman" w:hAnsi="Times New Roman"/>
          <w:sz w:val="18"/>
          <w:szCs w:val="18"/>
          <w:color w:val="auto"/>
        </w:rPr>
        <w:t>Cost of service revenue consists of certain recurring service costs, collection and other third-party service costs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w:t>
      </w:r>
    </w:p>
    <w:p>
      <w:pPr>
        <w:spacing w:after="0" w:line="159" w:lineRule="exact"/>
        <w:rPr>
          <w:sz w:val="20"/>
          <w:szCs w:val="20"/>
          <w:color w:val="auto"/>
        </w:rPr>
      </w:pPr>
    </w:p>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consists of the cost to acquire and install photo enforcement equipment purchased by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customers and costs to develop and install hardware sold to Parking Solutions customers.</w:t>
      </w:r>
    </w:p>
    <w:p>
      <w:pPr>
        <w:spacing w:after="0" w:line="145" w:lineRule="exact"/>
        <w:rPr>
          <w:sz w:val="20"/>
          <w:szCs w:val="20"/>
          <w:color w:val="auto"/>
        </w:rPr>
      </w:pPr>
    </w:p>
    <w:p>
      <w:pPr>
        <w:jc w:val="both"/>
        <w:ind w:right="20" w:firstLine="374"/>
        <w:spacing w:after="0" w:line="268"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primarily include payroll and payroll-related costs (including stock-based compensation), subcontractor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payment processing and other operational costs including print, postage and communication costs.</w:t>
      </w:r>
    </w:p>
    <w:p>
      <w:pPr>
        <w:spacing w:after="0" w:line="172" w:lineRule="exact"/>
        <w:rPr>
          <w:sz w:val="20"/>
          <w:szCs w:val="20"/>
          <w:color w:val="auto"/>
        </w:rPr>
      </w:pPr>
    </w:p>
    <w:p>
      <w:pPr>
        <w:jc w:val="both"/>
        <w:ind w:right="20" w:firstLine="374"/>
        <w:spacing w:after="0" w:line="268"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include payroll and payroll-related costs (including stock-based compensation), real estate lease expense, insurance costs, professional services fees, acquisition costs and general corporate expenses.</w:t>
      </w:r>
    </w:p>
    <w:p>
      <w:pPr>
        <w:spacing w:after="0" w:line="159"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Depreciation, Amortization and (Gain) Loss on Disposal of Assets, Net</w:t>
      </w:r>
      <w:r>
        <w:rPr>
          <w:rFonts w:ascii="Times New Roman" w:cs="Times New Roman" w:eastAsia="Times New Roman" w:hAnsi="Times New Roman"/>
          <w:sz w:val="18"/>
          <w:szCs w:val="18"/>
          <w:color w:val="auto"/>
        </w:rPr>
        <w:t>. Depreciation, amortization and (gain) loss on disposal of assets, net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on property, plant and equipment, and amortization of definite-lived intangible assets. This line item also includes any one-time gains or losses incurred in connection with the disposal of certain assets.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This includes interest expense and amortization of deferred financing costs and discounts and is net of interest income.</w:t>
      </w:r>
    </w:p>
    <w:p>
      <w:pPr>
        <w:spacing w:after="0" w:line="212"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Change in fair value of private placement warrants consists of liability adjustments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6,666,666 Private Placement Warrants originally issued to Gores Sponsor II, LLC re-measured to fair value at the end of each reporting period.</w:t>
      </w:r>
    </w:p>
    <w:p>
      <w:pPr>
        <w:spacing w:after="0" w:line="145" w:lineRule="exact"/>
        <w:rPr>
          <w:sz w:val="20"/>
          <w:szCs w:val="20"/>
          <w:color w:val="auto"/>
        </w:rPr>
      </w:pPr>
    </w:p>
    <w:p>
      <w:pPr>
        <w:jc w:val="both"/>
        <w:ind w:right="20" w:firstLine="374"/>
        <w:spacing w:after="0" w:line="268" w:lineRule="auto"/>
        <w:rPr>
          <w:sz w:val="20"/>
          <w:szCs w:val="20"/>
          <w:color w:val="auto"/>
        </w:rPr>
      </w:pPr>
      <w:r>
        <w:rPr>
          <w:rFonts w:ascii="Times New Roman" w:cs="Times New Roman" w:eastAsia="Times New Roman" w:hAnsi="Times New Roman"/>
          <w:sz w:val="18"/>
          <w:szCs w:val="18"/>
          <w:i w:val="1"/>
          <w:iCs w:val="1"/>
          <w:color w:val="auto"/>
        </w:rPr>
        <w:t>Tax Receivable Agreement Liability Adjustment</w:t>
      </w:r>
      <w:r>
        <w:rPr>
          <w:rFonts w:ascii="Times New Roman" w:cs="Times New Roman" w:eastAsia="Times New Roman" w:hAnsi="Times New Roman"/>
          <w:sz w:val="18"/>
          <w:szCs w:val="18"/>
          <w:color w:val="auto"/>
        </w:rPr>
        <w:t>. This consists of adjustments made to our Tax Receivable Agreement liability due to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w:t>
      </w:r>
    </w:p>
    <w:p>
      <w:pPr>
        <w:spacing w:after="0" w:line="172"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(Gain) Loss on Extinguishment of Debt. </w:t>
      </w:r>
      <w:r>
        <w:rPr>
          <w:rFonts w:ascii="Times New Roman" w:cs="Times New Roman" w:eastAsia="Times New Roman" w:hAnsi="Times New Roman"/>
          <w:sz w:val="18"/>
          <w:szCs w:val="18"/>
          <w:color w:val="auto"/>
        </w:rPr>
        <w:t>(Gain) loss on extinguishment of debt generally consists of early payment penalties and the write-off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 issue discounts and deferred financing costs associated with debt extinguishment, and any gains recognized as a result of loan forgiveness.</w:t>
      </w:r>
    </w:p>
    <w:p>
      <w:pPr>
        <w:spacing w:after="0" w:line="159"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primarily consists of volume rebates earned from total spend on purchasing cards, gains or losses on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transactions and other non-operating expenses.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Compared to Three Months Ended September 30, 2021</w:t>
      </w:r>
    </w:p>
    <w:p>
      <w:pPr>
        <w:spacing w:after="0" w:line="108" w:lineRule="exact"/>
        <w:rPr>
          <w:sz w:val="20"/>
          <w:szCs w:val="20"/>
          <w:color w:val="auto"/>
        </w:rPr>
      </w:pPr>
    </w:p>
    <w:p>
      <w:pPr>
        <w:jc w:val="both"/>
        <w:ind w:right="120" w:firstLine="374"/>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gridSpan w:val="4"/>
            <w:vMerge w:val="restart"/>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40" w:type="dxa"/>
            <w:vAlign w:val="bottom"/>
          </w:tcPr>
          <w:p>
            <w:pPr>
              <w:spacing w:after="0"/>
              <w:rPr>
                <w:sz w:val="11"/>
                <w:szCs w:val="11"/>
                <w:color w:val="auto"/>
              </w:rPr>
            </w:pPr>
          </w:p>
        </w:tc>
        <w:tc>
          <w:tcPr>
            <w:tcW w:w="1780" w:type="dxa"/>
            <w:vAlign w:val="bottom"/>
            <w:gridSpan w:val="4"/>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jc w:val="right"/>
              <w:ind w:right="33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800" w:type="dxa"/>
            <w:vAlign w:val="bottom"/>
            <w:gridSpan w:val="2"/>
          </w:tcPr>
          <w:p>
            <w:pPr>
              <w:spacing w:after="0" w:line="167" w:lineRule="exact"/>
              <w:rPr>
                <w:sz w:val="20"/>
                <w:szCs w:val="20"/>
                <w:color w:val="auto"/>
              </w:rPr>
            </w:pPr>
            <w:r>
              <w:rPr>
                <w:rFonts w:ascii="Times New Roman" w:cs="Times New Roman" w:eastAsia="Times New Roman" w:hAnsi="Times New Roman"/>
                <w:sz w:val="17"/>
                <w:szCs w:val="17"/>
                <w:color w:val="auto"/>
              </w:rPr>
              <w:t>Service revenue</w:t>
            </w:r>
          </w:p>
        </w:tc>
        <w:tc>
          <w:tcPr>
            <w:tcW w:w="240" w:type="dxa"/>
            <w:vAlign w:val="bottom"/>
          </w:tcPr>
          <w:p>
            <w:pPr>
              <w:jc w:val="right"/>
              <w:ind w:right="55"/>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180,617</w:t>
            </w:r>
          </w:p>
        </w:tc>
        <w:tc>
          <w:tcPr>
            <w:tcW w:w="300" w:type="dxa"/>
            <w:vAlign w:val="bottom"/>
          </w:tcPr>
          <w:p>
            <w:pPr>
              <w:spacing w:after="0"/>
              <w:rPr>
                <w:sz w:val="14"/>
                <w:szCs w:val="14"/>
                <w:color w:val="auto"/>
              </w:rPr>
            </w:pPr>
          </w:p>
        </w:tc>
        <w:tc>
          <w:tcPr>
            <w:tcW w:w="220" w:type="dxa"/>
            <w:vAlign w:val="bottom"/>
          </w:tcPr>
          <w:p>
            <w:pPr>
              <w:jc w:val="right"/>
              <w:ind w:right="35"/>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141,811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91.4</w:t>
            </w:r>
          </w:p>
        </w:tc>
        <w:tc>
          <w:tcPr>
            <w:tcW w:w="2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w w:val="98"/>
              </w:rPr>
              <w:t>%</w:t>
            </w:r>
          </w:p>
        </w:tc>
        <w:tc>
          <w:tcPr>
            <w:tcW w:w="110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87.5</w:t>
            </w:r>
          </w:p>
        </w:tc>
        <w:tc>
          <w:tcPr>
            <w:tcW w:w="260" w:type="dxa"/>
            <w:vAlign w:val="bottom"/>
          </w:tcPr>
          <w:p>
            <w:pPr>
              <w:jc w:val="right"/>
              <w:ind w:right="35"/>
              <w:spacing w:after="0" w:line="167" w:lineRule="exact"/>
              <w:rPr>
                <w:sz w:val="20"/>
                <w:szCs w:val="20"/>
                <w:color w:val="auto"/>
              </w:rPr>
            </w:pPr>
            <w:r>
              <w:rPr>
                <w:rFonts w:ascii="Times New Roman" w:cs="Times New Roman" w:eastAsia="Times New Roman" w:hAnsi="Times New Roman"/>
                <w:sz w:val="17"/>
                <w:szCs w:val="17"/>
                <w:color w:val="auto"/>
                <w:w w:val="84"/>
              </w:rPr>
              <w:t>%</w:t>
            </w:r>
          </w:p>
        </w:tc>
        <w:tc>
          <w:tcPr>
            <w:tcW w:w="240" w:type="dxa"/>
            <w:vAlign w:val="bottom"/>
          </w:tcPr>
          <w:p>
            <w:pPr>
              <w:jc w:val="right"/>
              <w:ind w:right="55"/>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38,806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27.4</w:t>
            </w:r>
          </w:p>
        </w:tc>
        <w:tc>
          <w:tcPr>
            <w:tcW w:w="20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24"/>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Product sales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20,284</w:t>
            </w:r>
          </w:p>
        </w:tc>
        <w:tc>
          <w:tcPr>
            <w:tcW w:w="14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8.6 %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12.5 %</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(3,245 )</w:t>
            </w:r>
          </w:p>
        </w:tc>
        <w:tc>
          <w:tcPr>
            <w:tcW w:w="3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(16.0 )%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197,656</w:t>
            </w:r>
          </w:p>
        </w:tc>
        <w:tc>
          <w:tcPr>
            <w:tcW w:w="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162,095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100.0</w:t>
            </w:r>
          </w:p>
        </w:tc>
        <w:tc>
          <w:tcPr>
            <w:tcW w:w="22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w w:val="98"/>
              </w:rPr>
              <w:t>%</w:t>
            </w:r>
          </w:p>
        </w:tc>
        <w:tc>
          <w:tcPr>
            <w:tcW w:w="11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100.0</w:t>
            </w:r>
          </w:p>
        </w:tc>
        <w:tc>
          <w:tcPr>
            <w:tcW w:w="260" w:type="dxa"/>
            <w:vAlign w:val="bottom"/>
          </w:tcPr>
          <w:p>
            <w:pPr>
              <w:jc w:val="right"/>
              <w:ind w:right="35"/>
              <w:spacing w:after="0" w:line="174" w:lineRule="exact"/>
              <w:rPr>
                <w:sz w:val="20"/>
                <w:szCs w:val="20"/>
                <w:color w:val="auto"/>
              </w:rPr>
            </w:pPr>
            <w:r>
              <w:rPr>
                <w:rFonts w:ascii="Times New Roman" w:cs="Times New Roman" w:eastAsia="Times New Roman" w:hAnsi="Times New Roman"/>
                <w:sz w:val="17"/>
                <w:szCs w:val="17"/>
                <w:color w:val="auto"/>
                <w:w w:val="84"/>
              </w:rPr>
              <w:t>%</w:t>
            </w: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35,561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3"/>
          </w:tcPr>
          <w:p>
            <w:pPr>
              <w:jc w:val="right"/>
              <w:ind w:right="60"/>
              <w:spacing w:after="0" w:line="174" w:lineRule="exact"/>
              <w:rPr>
                <w:sz w:val="20"/>
                <w:szCs w:val="20"/>
                <w:color w:val="auto"/>
              </w:rPr>
            </w:pPr>
            <w:r>
              <w:rPr>
                <w:rFonts w:ascii="Times New Roman" w:cs="Times New Roman" w:eastAsia="Times New Roman" w:hAnsi="Times New Roman"/>
                <w:sz w:val="17"/>
                <w:szCs w:val="17"/>
                <w:color w:val="auto"/>
              </w:rPr>
              <w:t>21.9 %</w:t>
            </w:r>
          </w:p>
        </w:tc>
        <w:tc>
          <w:tcPr>
            <w:tcW w:w="0" w:type="dxa"/>
            <w:vAlign w:val="bottom"/>
          </w:tcPr>
          <w:p>
            <w:pPr>
              <w:spacing w:after="0"/>
              <w:rPr>
                <w:sz w:val="1"/>
                <w:szCs w:val="1"/>
                <w:color w:val="auto"/>
              </w:rPr>
            </w:pPr>
          </w:p>
        </w:tc>
      </w:tr>
      <w:tr>
        <w:trPr>
          <w:trHeight w:val="20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service revenue</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w:t>
            </w:r>
          </w:p>
        </w:tc>
        <w:tc>
          <w:tcPr>
            <w:tcW w:w="1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0.9 %</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193.5 %</w:t>
            </w:r>
          </w:p>
        </w:tc>
        <w:tc>
          <w:tcPr>
            <w:tcW w:w="0" w:type="dxa"/>
            <w:vAlign w:val="bottom"/>
          </w:tcPr>
          <w:p>
            <w:pPr>
              <w:spacing w:after="0"/>
              <w:rPr>
                <w:sz w:val="1"/>
                <w:szCs w:val="1"/>
                <w:color w:val="auto"/>
              </w:rPr>
            </w:pPr>
          </w:p>
        </w:tc>
      </w:tr>
      <w:tr>
        <w:trPr>
          <w:trHeight w:val="20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9,391</w:t>
            </w:r>
          </w:p>
        </w:tc>
        <w:tc>
          <w:tcPr>
            <w:tcW w:w="1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5.8 %</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20.5 %</w:t>
            </w:r>
          </w:p>
        </w:tc>
        <w:tc>
          <w:tcPr>
            <w:tcW w:w="0" w:type="dxa"/>
            <w:vAlign w:val="bottom"/>
          </w:tcPr>
          <w:p>
            <w:pPr>
              <w:spacing w:after="0"/>
              <w:rPr>
                <w:sz w:val="1"/>
                <w:szCs w:val="1"/>
                <w:color w:val="auto"/>
              </w:rPr>
            </w:pPr>
          </w:p>
        </w:tc>
      </w:tr>
      <w:tr>
        <w:trPr>
          <w:trHeight w:val="20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60,536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48,309</w:t>
            </w:r>
          </w:p>
        </w:tc>
        <w:tc>
          <w:tcPr>
            <w:tcW w:w="1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30.6 %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29.8 %</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25.3 %</w:t>
            </w:r>
          </w:p>
        </w:tc>
        <w:tc>
          <w:tcPr>
            <w:tcW w:w="0" w:type="dxa"/>
            <w:vAlign w:val="bottom"/>
          </w:tcPr>
          <w:p>
            <w:pPr>
              <w:spacing w:after="0"/>
              <w:rPr>
                <w:sz w:val="1"/>
                <w:szCs w:val="1"/>
                <w:color w:val="auto"/>
              </w:rPr>
            </w:pPr>
          </w:p>
        </w:tc>
      </w:tr>
      <w:tr>
        <w:trPr>
          <w:trHeight w:val="20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41,126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31,580</w:t>
            </w:r>
          </w:p>
        </w:tc>
        <w:tc>
          <w:tcPr>
            <w:tcW w:w="1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20.8 %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19.5 %</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30.2 %</w:t>
            </w:r>
          </w:p>
        </w:tc>
        <w:tc>
          <w:tcPr>
            <w:tcW w:w="0" w:type="dxa"/>
            <w:vAlign w:val="bottom"/>
          </w:tcPr>
          <w:p>
            <w:pPr>
              <w:spacing w:after="0"/>
              <w:rPr>
                <w:sz w:val="1"/>
                <w:szCs w:val="1"/>
                <w:color w:val="auto"/>
              </w:rPr>
            </w:pPr>
          </w:p>
        </w:tc>
      </w:tr>
      <w:tr>
        <w:trPr>
          <w:trHeight w:val="175"/>
        </w:trPr>
        <w:tc>
          <w:tcPr>
            <w:tcW w:w="38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disposal of assets,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35,035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29,529</w:t>
            </w:r>
          </w:p>
        </w:tc>
        <w:tc>
          <w:tcPr>
            <w:tcW w:w="14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17.7 %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18.2 %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18.6 %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152,158</w:t>
            </w:r>
          </w:p>
        </w:tc>
        <w:tc>
          <w:tcPr>
            <w:tcW w:w="3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120,221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84"/>
              </w:rPr>
              <w:t>%</w:t>
            </w: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31,937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26.6 %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40" w:type="dxa"/>
            <w:vAlign w:val="bottom"/>
          </w:tcPr>
          <w:p>
            <w:pPr>
              <w:spacing w:after="0"/>
              <w:rPr>
                <w:sz w:val="15"/>
                <w:szCs w:val="15"/>
                <w:color w:val="auto"/>
              </w:rPr>
            </w:pPr>
          </w:p>
        </w:tc>
        <w:tc>
          <w:tcPr>
            <w:tcW w:w="78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45,498</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41,874</w:t>
            </w:r>
          </w:p>
        </w:tc>
        <w:tc>
          <w:tcPr>
            <w:tcW w:w="140" w:type="dxa"/>
            <w:vAlign w:val="bottom"/>
          </w:tcPr>
          <w:p>
            <w:pPr>
              <w:spacing w:after="0"/>
              <w:rPr>
                <w:sz w:val="15"/>
                <w:szCs w:val="15"/>
                <w:color w:val="auto"/>
              </w:rPr>
            </w:pPr>
          </w:p>
        </w:tc>
        <w:tc>
          <w:tcPr>
            <w:tcW w:w="146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7"/>
                <w:szCs w:val="17"/>
                <w:color w:val="auto"/>
              </w:rPr>
              <w:t xml:space="preserve">23.1 </w:t>
            </w:r>
            <w:r>
              <w:rPr>
                <w:rFonts w:ascii="Times New Roman" w:cs="Times New Roman" w:eastAsia="Times New Roman" w:hAnsi="Times New Roman"/>
                <w:sz w:val="17"/>
                <w:szCs w:val="17"/>
                <w:color w:val="auto"/>
                <w:highlight w:val="white"/>
              </w:rPr>
              <w:t>%</w:t>
            </w:r>
          </w:p>
        </w:tc>
        <w:tc>
          <w:tcPr>
            <w:tcW w:w="1360" w:type="dxa"/>
            <w:vAlign w:val="bottom"/>
            <w:gridSpan w:val="2"/>
          </w:tcPr>
          <w:p>
            <w:pPr>
              <w:jc w:val="right"/>
              <w:ind w:right="35"/>
              <w:spacing w:after="0" w:line="174" w:lineRule="exact"/>
              <w:rPr>
                <w:sz w:val="20"/>
                <w:szCs w:val="20"/>
                <w:color w:val="auto"/>
              </w:rPr>
            </w:pPr>
            <w:r>
              <w:rPr>
                <w:rFonts w:ascii="Times New Roman" w:cs="Times New Roman" w:eastAsia="Times New Roman" w:hAnsi="Times New Roman"/>
                <w:sz w:val="17"/>
                <w:szCs w:val="17"/>
                <w:color w:val="auto"/>
              </w:rPr>
              <w:t xml:space="preserve">25.8 </w:t>
            </w:r>
            <w:r>
              <w:rPr>
                <w:rFonts w:ascii="Times New Roman" w:cs="Times New Roman" w:eastAsia="Times New Roman" w:hAnsi="Times New Roman"/>
                <w:sz w:val="17"/>
                <w:szCs w:val="17"/>
                <w:color w:val="auto"/>
                <w:highlight w:val="white"/>
              </w:rPr>
              <w:t>%</w:t>
            </w:r>
          </w:p>
        </w:tc>
        <w:tc>
          <w:tcPr>
            <w:tcW w:w="24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3,624</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3"/>
          </w:tcPr>
          <w:p>
            <w:pPr>
              <w:jc w:val="right"/>
              <w:ind w:right="60"/>
              <w:spacing w:after="0" w:line="174" w:lineRule="exact"/>
              <w:rPr>
                <w:sz w:val="20"/>
                <w:szCs w:val="20"/>
                <w:color w:val="auto"/>
              </w:rPr>
            </w:pPr>
            <w:r>
              <w:rPr>
                <w:rFonts w:ascii="Times New Roman" w:cs="Times New Roman" w:eastAsia="Times New Roman" w:hAnsi="Times New Roman"/>
                <w:sz w:val="17"/>
                <w:szCs w:val="17"/>
                <w:color w:val="auto"/>
              </w:rPr>
              <w:t>8.7 %</w:t>
            </w:r>
          </w:p>
        </w:tc>
        <w:tc>
          <w:tcPr>
            <w:tcW w:w="0" w:type="dxa"/>
            <w:vAlign w:val="bottom"/>
          </w:tcPr>
          <w:p>
            <w:pPr>
              <w:spacing w:after="0"/>
              <w:rPr>
                <w:sz w:val="1"/>
                <w:szCs w:val="1"/>
                <w:color w:val="auto"/>
              </w:rPr>
            </w:pPr>
          </w:p>
        </w:tc>
      </w:tr>
      <w:tr>
        <w:trPr>
          <w:trHeight w:val="20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11,637</w:t>
            </w:r>
          </w:p>
        </w:tc>
        <w:tc>
          <w:tcPr>
            <w:tcW w:w="1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7.2 %</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74.1 %</w:t>
            </w:r>
          </w:p>
        </w:tc>
        <w:tc>
          <w:tcPr>
            <w:tcW w:w="0" w:type="dxa"/>
            <w:vAlign w:val="bottom"/>
          </w:tcPr>
          <w:p>
            <w:pPr>
              <w:spacing w:after="0"/>
              <w:rPr>
                <w:sz w:val="1"/>
                <w:szCs w:val="1"/>
                <w:color w:val="auto"/>
              </w:rPr>
            </w:pPr>
          </w:p>
        </w:tc>
      </w:tr>
      <w:tr>
        <w:trPr>
          <w:trHeight w:val="222"/>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(2,267 )</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(5,067 )</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(55.3 )%</w:t>
            </w:r>
          </w:p>
        </w:tc>
        <w:tc>
          <w:tcPr>
            <w:tcW w:w="0" w:type="dxa"/>
            <w:vAlign w:val="bottom"/>
          </w:tcPr>
          <w:p>
            <w:pPr>
              <w:spacing w:after="0"/>
              <w:rPr>
                <w:sz w:val="1"/>
                <w:szCs w:val="1"/>
                <w:color w:val="auto"/>
              </w:rPr>
            </w:pPr>
          </w:p>
        </w:tc>
      </w:tr>
      <w:tr>
        <w:trPr>
          <w:trHeight w:val="205"/>
        </w:trPr>
        <w:tc>
          <w:tcPr>
            <w:tcW w:w="38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Gain on extinguishment of debt</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(3,005 )</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3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(3,005 )</w:t>
            </w:r>
          </w:p>
        </w:tc>
        <w:tc>
          <w:tcPr>
            <w:tcW w:w="3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(2,462 )</w:t>
            </w: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(3,494 )</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(29.5 )%</w:t>
            </w:r>
          </w:p>
        </w:tc>
        <w:tc>
          <w:tcPr>
            <w:tcW w:w="0" w:type="dxa"/>
            <w:vAlign w:val="bottom"/>
          </w:tcPr>
          <w:p>
            <w:pPr>
              <w:spacing w:after="0"/>
              <w:rPr>
                <w:sz w:val="1"/>
                <w:szCs w:val="1"/>
                <w:color w:val="auto"/>
              </w:rPr>
            </w:pPr>
          </w:p>
        </w:tc>
      </w:tr>
      <w:tr>
        <w:trPr>
          <w:trHeight w:val="19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12,526</w:t>
            </w:r>
          </w:p>
        </w:tc>
        <w:tc>
          <w:tcPr>
            <w:tcW w:w="3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84"/>
              </w:rPr>
              <w:t>%</w:t>
            </w: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307.2 %</w:t>
            </w:r>
          </w:p>
        </w:tc>
        <w:tc>
          <w:tcPr>
            <w:tcW w:w="0" w:type="dxa"/>
            <w:vAlign w:val="bottom"/>
          </w:tcPr>
          <w:p>
            <w:pPr>
              <w:spacing w:after="0"/>
              <w:rPr>
                <w:sz w:val="1"/>
                <w:szCs w:val="1"/>
                <w:color w:val="auto"/>
              </w:rPr>
            </w:pPr>
          </w:p>
        </w:tc>
      </w:tr>
      <w:tr>
        <w:trPr>
          <w:trHeight w:val="174"/>
        </w:trPr>
        <w:tc>
          <w:tcPr>
            <w:tcW w:w="3820" w:type="dxa"/>
            <w:vAlign w:val="bottom"/>
            <w:gridSpan w:val="3"/>
          </w:tcPr>
          <w:p>
            <w:pPr>
              <w:ind w:left="20"/>
              <w:spacing w:after="0" w:line="174" w:lineRule="exact"/>
              <w:rPr>
                <w:sz w:val="20"/>
                <w:szCs w:val="20"/>
                <w:color w:val="auto"/>
              </w:rPr>
            </w:pPr>
            <w:r>
              <w:rPr>
                <w:rFonts w:ascii="Times New Roman" w:cs="Times New Roman" w:eastAsia="Times New Roman" w:hAnsi="Times New Roman"/>
                <w:sz w:val="17"/>
                <w:szCs w:val="17"/>
                <w:color w:val="auto"/>
              </w:rPr>
              <w:t>Income before income taxes</w:t>
            </w:r>
          </w:p>
        </w:tc>
        <w:tc>
          <w:tcPr>
            <w:tcW w:w="240" w:type="dxa"/>
            <w:vAlign w:val="bottom"/>
          </w:tcPr>
          <w:p>
            <w:pPr>
              <w:spacing w:after="0"/>
              <w:rPr>
                <w:sz w:val="15"/>
                <w:szCs w:val="15"/>
                <w:color w:val="auto"/>
              </w:rPr>
            </w:pPr>
          </w:p>
        </w:tc>
        <w:tc>
          <w:tcPr>
            <w:tcW w:w="78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32,972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38,798</w:t>
            </w:r>
          </w:p>
        </w:tc>
        <w:tc>
          <w:tcPr>
            <w:tcW w:w="140" w:type="dxa"/>
            <w:vAlign w:val="bottom"/>
          </w:tcPr>
          <w:p>
            <w:pPr>
              <w:spacing w:after="0"/>
              <w:rPr>
                <w:sz w:val="15"/>
                <w:szCs w:val="15"/>
                <w:color w:val="auto"/>
              </w:rPr>
            </w:pPr>
          </w:p>
        </w:tc>
        <w:tc>
          <w:tcPr>
            <w:tcW w:w="146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7"/>
                <w:szCs w:val="17"/>
                <w:color w:val="auto"/>
              </w:rPr>
              <w:t xml:space="preserve">16.6 </w:t>
            </w:r>
            <w:r>
              <w:rPr>
                <w:rFonts w:ascii="Times New Roman" w:cs="Times New Roman" w:eastAsia="Times New Roman" w:hAnsi="Times New Roman"/>
                <w:sz w:val="17"/>
                <w:szCs w:val="17"/>
                <w:color w:val="auto"/>
                <w:highlight w:val="white"/>
              </w:rPr>
              <w:t>%</w:t>
            </w:r>
          </w:p>
        </w:tc>
        <w:tc>
          <w:tcPr>
            <w:tcW w:w="1360" w:type="dxa"/>
            <w:vAlign w:val="bottom"/>
            <w:gridSpan w:val="2"/>
          </w:tcPr>
          <w:p>
            <w:pPr>
              <w:jc w:val="right"/>
              <w:ind w:right="35"/>
              <w:spacing w:after="0" w:line="174" w:lineRule="exact"/>
              <w:rPr>
                <w:sz w:val="20"/>
                <w:szCs w:val="20"/>
                <w:color w:val="auto"/>
              </w:rPr>
            </w:pPr>
            <w:r>
              <w:rPr>
                <w:rFonts w:ascii="Times New Roman" w:cs="Times New Roman" w:eastAsia="Times New Roman" w:hAnsi="Times New Roman"/>
                <w:sz w:val="17"/>
                <w:szCs w:val="17"/>
                <w:color w:val="auto"/>
              </w:rPr>
              <w:t xml:space="preserve">23.9 </w:t>
            </w:r>
            <w:r>
              <w:rPr>
                <w:rFonts w:ascii="Times New Roman" w:cs="Times New Roman" w:eastAsia="Times New Roman" w:hAnsi="Times New Roman"/>
                <w:sz w:val="17"/>
                <w:szCs w:val="17"/>
                <w:color w:val="auto"/>
                <w:highlight w:val="white"/>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line="174" w:lineRule="exact"/>
              <w:rPr>
                <w:sz w:val="20"/>
                <w:szCs w:val="20"/>
                <w:color w:val="auto"/>
              </w:rPr>
            </w:pPr>
            <w:r>
              <w:rPr>
                <w:rFonts w:ascii="Times New Roman" w:cs="Times New Roman" w:eastAsia="Times New Roman" w:hAnsi="Times New Roman"/>
                <w:sz w:val="17"/>
                <w:szCs w:val="17"/>
                <w:color w:val="auto"/>
              </w:rPr>
              <w:t>(5,826 )</w:t>
            </w:r>
          </w:p>
        </w:tc>
        <w:tc>
          <w:tcPr>
            <w:tcW w:w="340" w:type="dxa"/>
            <w:vAlign w:val="bottom"/>
          </w:tcPr>
          <w:p>
            <w:pPr>
              <w:spacing w:after="0"/>
              <w:rPr>
                <w:sz w:val="15"/>
                <w:szCs w:val="15"/>
                <w:color w:val="auto"/>
              </w:rPr>
            </w:pPr>
          </w:p>
        </w:tc>
        <w:tc>
          <w:tcPr>
            <w:tcW w:w="78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7"/>
                <w:szCs w:val="17"/>
                <w:color w:val="auto"/>
              </w:rPr>
              <w:t>(15.0 )%</w:t>
            </w:r>
          </w:p>
        </w:tc>
        <w:tc>
          <w:tcPr>
            <w:tcW w:w="0" w:type="dxa"/>
            <w:vAlign w:val="bottom"/>
          </w:tcPr>
          <w:p>
            <w:pPr>
              <w:spacing w:after="0"/>
              <w:rPr>
                <w:sz w:val="1"/>
                <w:szCs w:val="1"/>
                <w:color w:val="auto"/>
              </w:rPr>
            </w:pPr>
          </w:p>
        </w:tc>
      </w:tr>
      <w:tr>
        <w:trPr>
          <w:trHeight w:val="224"/>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7.1 %</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(3,096 )</w:t>
            </w:r>
          </w:p>
        </w:tc>
        <w:tc>
          <w:tcPr>
            <w:tcW w:w="3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24,576</w:t>
            </w:r>
          </w:p>
        </w:tc>
        <w:tc>
          <w:tcPr>
            <w:tcW w:w="30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xml:space="preserve">12.4 </w:t>
            </w:r>
            <w:r>
              <w:rPr>
                <w:rFonts w:ascii="Times New Roman" w:cs="Times New Roman" w:eastAsia="Times New Roman" w:hAnsi="Times New Roman"/>
                <w:sz w:val="17"/>
                <w:szCs w:val="17"/>
                <w:color w:val="auto"/>
                <w:highlight w:val="white"/>
              </w:rPr>
              <w:t>%</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 xml:space="preserve">16.8 </w:t>
            </w:r>
            <w:r>
              <w:rPr>
                <w:rFonts w:ascii="Times New Roman" w:cs="Times New Roman" w:eastAsia="Times New Roman" w:hAnsi="Times New Roman"/>
                <w:sz w:val="17"/>
                <w:szCs w:val="17"/>
                <w:color w:val="auto"/>
                <w:highlight w:val="white"/>
              </w:rPr>
              <w: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(2,730 )</w:t>
            </w:r>
          </w:p>
        </w:tc>
        <w:tc>
          <w:tcPr>
            <w:tcW w:w="34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-2502535</wp:posOffset>
            </wp:positionV>
            <wp:extent cx="7132320" cy="128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-2236470</wp:posOffset>
            </wp:positionV>
            <wp:extent cx="7132320"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-1979295</wp:posOffset>
            </wp:positionV>
            <wp:extent cx="7132320"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3943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5575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392" w:lineRule="exact"/>
        <w:rPr>
          <w:sz w:val="20"/>
          <w:szCs w:val="20"/>
          <w:color w:val="auto"/>
        </w:rPr>
      </w:pPr>
    </w:p>
    <w:p>
      <w:pPr>
        <w:jc w:val="both"/>
        <w:ind w:right="100"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$38.8 million, or 27.4%, to $180.6 million for the three months ended September 30,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$141.8 million for the three months ended September 30, 2021, representing 91.4% and 87.5% of total revenue, respectively. The following table depicts service revenue by segment: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gridSpan w:val="4"/>
            <w:vMerge w:val="restart"/>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80" w:type="dxa"/>
            <w:vAlign w:val="bottom"/>
          </w:tcPr>
          <w:p>
            <w:pPr>
              <w:spacing w:after="0"/>
              <w:rPr>
                <w:sz w:val="11"/>
                <w:szCs w:val="11"/>
                <w:color w:val="auto"/>
              </w:rPr>
            </w:pPr>
          </w:p>
        </w:tc>
        <w:tc>
          <w:tcPr>
            <w:tcW w:w="2000" w:type="dxa"/>
            <w:vAlign w:val="bottom"/>
            <w:gridSpan w:val="4"/>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64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Borders>
              <w:top w:val="single" w:sz="8" w:color="auto"/>
            </w:tcBorders>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9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Service revenue</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7"/>
                <w:szCs w:val="17"/>
                <w:color w:val="auto"/>
              </w:rPr>
              <w:t>Commercial Services</w:t>
            </w:r>
          </w:p>
        </w:tc>
        <w:tc>
          <w:tcPr>
            <w:tcW w:w="220" w:type="dxa"/>
            <w:vAlign w:val="bottom"/>
          </w:tcPr>
          <w:p>
            <w:pPr>
              <w:jc w:val="right"/>
              <w:ind w:right="3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86,056</w:t>
            </w:r>
          </w:p>
        </w:tc>
        <w:tc>
          <w:tcPr>
            <w:tcW w:w="500" w:type="dxa"/>
            <w:vAlign w:val="bottom"/>
            <w:gridSpan w:val="2"/>
          </w:tcPr>
          <w:p>
            <w:pPr>
              <w:jc w:val="right"/>
              <w:ind w:right="35"/>
              <w:spacing w:after="0" w:line="181"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77,257</w:t>
            </w:r>
          </w:p>
        </w:tc>
        <w:tc>
          <w:tcPr>
            <w:tcW w:w="240" w:type="dxa"/>
            <w:vAlign w:val="bottom"/>
          </w:tcPr>
          <w:p>
            <w:pPr>
              <w:spacing w:after="0"/>
              <w:rPr>
                <w:sz w:val="15"/>
                <w:szCs w:val="15"/>
                <w:color w:val="auto"/>
              </w:rPr>
            </w:pPr>
          </w:p>
        </w:tc>
        <w:tc>
          <w:tcPr>
            <w:tcW w:w="13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auto"/>
              </w:rPr>
              <w:t>43.5 %</w:t>
            </w:r>
          </w:p>
        </w:tc>
        <w:tc>
          <w:tcPr>
            <w:tcW w:w="1340" w:type="dxa"/>
            <w:vAlign w:val="bottom"/>
            <w:gridSpan w:val="2"/>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rPr>
              <w:t>47.7 %</w:t>
            </w:r>
          </w:p>
        </w:tc>
        <w:tc>
          <w:tcPr>
            <w:tcW w:w="280" w:type="dxa"/>
            <w:vAlign w:val="bottom"/>
          </w:tcPr>
          <w:p>
            <w:pPr>
              <w:jc w:val="right"/>
              <w:ind w:right="9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8,799</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auto"/>
              </w:rPr>
              <w:t>11.4 %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Government Solutions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77,441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64,554</w:t>
            </w:r>
          </w:p>
        </w:tc>
        <w:tc>
          <w:tcPr>
            <w:tcW w:w="2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39.2 %</w:t>
            </w:r>
          </w:p>
        </w:tc>
        <w:tc>
          <w:tcPr>
            <w:tcW w:w="13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39.8 %</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12,887</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Parking Solutions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8.7 %</w:t>
            </w:r>
          </w:p>
        </w:tc>
        <w:tc>
          <w:tcPr>
            <w:tcW w:w="13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96"/>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service revenue</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180,617</w:t>
            </w:r>
          </w:p>
        </w:tc>
        <w:tc>
          <w:tcPr>
            <w:tcW w:w="2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141,811</w:t>
            </w:r>
          </w:p>
        </w:tc>
        <w:tc>
          <w:tcPr>
            <w:tcW w:w="24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8"/>
              </w:rPr>
              <w:t>%</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38,806</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27.4 %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ind w:right="100" w:firstLine="374"/>
        <w:spacing w:after="0" w:line="245" w:lineRule="auto"/>
        <w:rPr>
          <w:sz w:val="20"/>
          <w:szCs w:val="20"/>
          <w:color w:val="auto"/>
        </w:rPr>
      </w:pPr>
      <w:r>
        <w:rPr>
          <w:rFonts w:ascii="Times New Roman" w:cs="Times New Roman" w:eastAsia="Times New Roman" w:hAnsi="Times New Roman"/>
          <w:sz w:val="18"/>
          <w:szCs w:val="18"/>
          <w:color w:val="auto"/>
        </w:rPr>
        <w:t>Commercial Services service revenue increased by $8.8 million, or 11.4%, from $77.3 million for the three months ended September 30, 2021 to $86.1 million for the three months ended September 30, 2022. The increase was primarily due to increased travel volume and related tolling activity in 2022 compared to 2021, which was slowly recovering from COVID-19. The volume of tolls incurred by RAC vehicles increased along with a shift towards an all-inclusive fee structure from an incidental or daily usage rate and higher pricing for certain products contributed to a $7.6 million increase, and the tolling related revenue generated by our FMC customers contributed to a $1.8 million increase during the three months ended September 30, 2022, compared to the same period in 2021. These increases were partially offset by decreases in title and registration and violation processing service revenues during the quarter compared to the same period in 2021.</w:t>
      </w:r>
    </w:p>
    <w:p>
      <w:pPr>
        <w:spacing w:after="0" w:line="181" w:lineRule="exact"/>
        <w:rPr>
          <w:sz w:val="20"/>
          <w:szCs w:val="20"/>
          <w:color w:val="auto"/>
        </w:rPr>
      </w:pPr>
    </w:p>
    <w:p>
      <w:pPr>
        <w:jc w:val="both"/>
        <w:ind w:right="100" w:firstLine="374"/>
        <w:spacing w:after="0" w:line="258" w:lineRule="auto"/>
        <w:rPr>
          <w:sz w:val="20"/>
          <w:szCs w:val="20"/>
          <w:color w:val="auto"/>
        </w:rPr>
      </w:pPr>
      <w:r>
        <w:rPr>
          <w:rFonts w:ascii="Times New Roman" w:cs="Times New Roman" w:eastAsia="Times New Roman" w:hAnsi="Times New Roman"/>
          <w:sz w:val="18"/>
          <w:szCs w:val="18"/>
          <w:color w:val="auto"/>
        </w:rPr>
        <w:t>Government Solutions service revenue includes revenue from speed, red-light, school bus stop arm and bus lane photo enforcement systems. Service revenue increased by $12.9 million to $77.4 million for the three months ended September 30, 2022 compared to $64.6 million in the same period in 2021. The increase was primarily driven by the expansion of school zone</w:t>
      </w:r>
    </w:p>
    <w:p>
      <w:pPr>
        <w:spacing w:after="0" w:line="1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44" w:right="239" w:bottom="1440" w:gutter="0" w:footer="0" w:header="0"/>
        </w:sectPr>
      </w:pPr>
    </w:p>
    <w:bookmarkStart w:id="37" w:name="page38"/>
    <w:bookmarkEnd w:id="37"/>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speed programs, as speed is the largest product in this segment and contributed approximately $10.8 million to the service revenue increase this quarter. The remaining growth is attributable to other expansions and improvement in variable rate programs that recovered from COVID-19 to more normalized volumes.</w:t>
      </w:r>
    </w:p>
    <w:p>
      <w:pPr>
        <w:spacing w:after="0" w:line="169"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Parking Solutions service revenue of $17.1 million resulted from the acquisition of T2 systems in December 2021 with no revenue in the comparable period.</w:t>
      </w:r>
    </w:p>
    <w:p>
      <w:pPr>
        <w:spacing w:after="0" w:line="146" w:lineRule="exact"/>
        <w:rPr>
          <w:sz w:val="20"/>
          <w:szCs w:val="20"/>
          <w:color w:val="auto"/>
        </w:rPr>
      </w:pPr>
    </w:p>
    <w:p>
      <w:pPr>
        <w:jc w:val="both"/>
        <w:ind w:right="40"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were $17.0 million and $20.3 million for the three months ended September 30, 2022 and 2021, respectively.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decreased by approximately $3.2 million which was mainly due to a $8.0 million decrease in product sales to Government Solutions customers including Redflex, offset by a $4.8 million increase from the inclusion of T2 Systems for which there was no revenue in the comparable 2021 period. Customer buying patterns vary greatly from period to period related to product sales.</w:t>
      </w:r>
    </w:p>
    <w:p>
      <w:pPr>
        <w:spacing w:after="0" w:line="174" w:lineRule="exact"/>
        <w:rPr>
          <w:sz w:val="20"/>
          <w:szCs w:val="20"/>
          <w:color w:val="auto"/>
        </w:rPr>
      </w:pPr>
    </w:p>
    <w:p>
      <w:pPr>
        <w:jc w:val="both"/>
        <w:ind w:right="40"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w:t>
      </w:r>
      <w:r>
        <w:rPr>
          <w:rFonts w:ascii="Times New Roman" w:cs="Times New Roman" w:eastAsia="Times New Roman" w:hAnsi="Times New Roman"/>
          <w:sz w:val="18"/>
          <w:szCs w:val="18"/>
          <w:color w:val="auto"/>
        </w:rPr>
        <w:t>Cost of service revenue increased from $1.4 million for the three months ended September 30, 2021 to $4.1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2022. The $2.7 million increase was mainly due to the inclusion of costs in the Parking Solutions segment with no comparable amounts in the prior year.</w:t>
      </w:r>
    </w:p>
    <w:p>
      <w:pPr>
        <w:spacing w:after="0" w:line="167" w:lineRule="exact"/>
        <w:rPr>
          <w:sz w:val="20"/>
          <w:szCs w:val="20"/>
          <w:color w:val="auto"/>
        </w:rPr>
      </w:pPr>
    </w:p>
    <w:p>
      <w:pPr>
        <w:jc w:val="both"/>
        <w:ind w:right="40"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by $1.9 million from $9.4 million in the three months ended September 30, 2021 to $11.3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three months ended September 30, 2022, which was mainly due to a $3.8 million increase in costs from the inclusion of T2 Systems for which there was no comparable amount in the prior year offset by a $1.9 million decrease in costs in the Government Solutions segment.</w:t>
      </w:r>
    </w:p>
    <w:p>
      <w:pPr>
        <w:spacing w:after="0" w:line="167" w:lineRule="exact"/>
        <w:rPr>
          <w:sz w:val="20"/>
          <w:szCs w:val="20"/>
          <w:color w:val="auto"/>
        </w:rPr>
      </w:pPr>
    </w:p>
    <w:p>
      <w:pPr>
        <w:jc w:val="both"/>
        <w:ind w:right="40" w:firstLine="374"/>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$12.2 million, or 25.3%, from $48.3 million for the three months ended September 30,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$60.5 million for the three months ended September 30, 2022. The increase in 2022 was primarily attributable to increase in wages, information technology and recurring service costs in the Government Solutions segment, and from the inclusion of T2 Systems' operations in 2022 with no comparable amounts in the prior period. Operating expenses as a percentage of total revenue increased slightly from 29.8% to 30.6% for the three months ended September 30, 2021 and 2022, respectively. The following table presents operating expenses by segment:</w:t>
      </w:r>
    </w:p>
    <w:p>
      <w:pPr>
        <w:sectPr>
          <w:pgSz w:w="11900" w:h="16838" w:orient="portrait"/>
          <w:cols w:equalWidth="0" w:num="1">
            <w:col w:w="11280"/>
          </w:cols>
          <w:pgMar w:left="320" w:top="54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Commercial Services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Government Solutions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Parking Solutions</w:t>
      </w:r>
    </w:p>
    <w:p>
      <w:pPr>
        <w:spacing w:after="0" w:line="9" w:lineRule="exact"/>
        <w:rPr>
          <w:sz w:val="20"/>
          <w:szCs w:val="20"/>
          <w:color w:val="auto"/>
        </w:rPr>
      </w:pPr>
    </w:p>
    <w:p>
      <w:pPr>
        <w:ind w:left="20"/>
        <w:spacing w:after="0" w:line="277" w:lineRule="auto"/>
        <w:rPr>
          <w:sz w:val="20"/>
          <w:szCs w:val="20"/>
          <w:color w:val="auto"/>
        </w:rPr>
      </w:pPr>
      <w:r>
        <w:rPr>
          <w:rFonts w:ascii="Times New Roman" w:cs="Times New Roman" w:eastAsia="Times New Roman" w:hAnsi="Times New Roman"/>
          <w:sz w:val="17"/>
          <w:szCs w:val="17"/>
          <w:color w:val="auto"/>
        </w:rPr>
        <w:t>Total operating expenses before stock-based compensation Stock-based compensation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operating expenses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4"/>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4"/>
          </w:tcPr>
          <w:p>
            <w:pPr>
              <w:jc w:val="right"/>
              <w:ind w:right="356"/>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6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900" w:type="dxa"/>
            <w:vAlign w:val="bottom"/>
            <w:tcBorders>
              <w:bottom w:val="single" w:sz="8" w:color="auto"/>
            </w:tcBorders>
            <w:gridSpan w:val="4"/>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18,952</w:t>
            </w:r>
          </w:p>
        </w:tc>
        <w:tc>
          <w:tcPr>
            <w:tcW w:w="4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17,471</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680" w:type="dxa"/>
            <w:vAlign w:val="bottom"/>
          </w:tcPr>
          <w:p>
            <w:pPr>
              <w:spacing w:after="0"/>
              <w:rPr>
                <w:sz w:val="24"/>
                <w:szCs w:val="24"/>
                <w:color w:val="auto"/>
              </w:rPr>
            </w:pPr>
          </w:p>
        </w:tc>
        <w:tc>
          <w:tcPr>
            <w:tcW w:w="6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9"/>
              </w:rPr>
              <w:t>10.8 %</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36,868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30,659</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5"/>
              </w:rPr>
              <w:t>18.6 %</w:t>
            </w:r>
          </w:p>
        </w:tc>
        <w:tc>
          <w:tcPr>
            <w:tcW w:w="680" w:type="dxa"/>
            <w:vAlign w:val="bottom"/>
          </w:tcPr>
          <w:p>
            <w:pPr>
              <w:spacing w:after="0"/>
              <w:rPr>
                <w:sz w:val="17"/>
                <w:szCs w:val="17"/>
                <w:color w:val="auto"/>
              </w:rPr>
            </w:pPr>
          </w:p>
        </w:tc>
        <w:tc>
          <w:tcPr>
            <w:tcW w:w="6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9"/>
              </w:rPr>
              <w:t>18.9 %</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20.3 %</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680" w:type="dxa"/>
            <w:vAlign w:val="bottom"/>
          </w:tcPr>
          <w:p>
            <w:pPr>
              <w:spacing w:after="0"/>
              <w:rPr>
                <w:sz w:val="19"/>
                <w:szCs w:val="19"/>
                <w:color w:val="auto"/>
              </w:rPr>
            </w:pPr>
          </w:p>
        </w:tc>
        <w:tc>
          <w:tcPr>
            <w:tcW w:w="60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74"/>
        </w:trPr>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60,205</w:t>
            </w: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48,130</w:t>
            </w:r>
          </w:p>
        </w:tc>
        <w:tc>
          <w:tcPr>
            <w:tcW w:w="2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30.4</w:t>
            </w:r>
          </w:p>
        </w:tc>
        <w:tc>
          <w:tcPr>
            <w:tcW w:w="22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w w:val="98"/>
              </w:rPr>
              <w:t>%</w:t>
            </w:r>
          </w:p>
        </w:tc>
        <w:tc>
          <w:tcPr>
            <w:tcW w:w="6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29.7</w:t>
            </w:r>
          </w:p>
        </w:tc>
        <w:tc>
          <w:tcPr>
            <w:tcW w:w="260" w:type="dxa"/>
            <w:vAlign w:val="bottom"/>
          </w:tcPr>
          <w:p>
            <w:pPr>
              <w:jc w:val="right"/>
              <w:ind w:right="15"/>
              <w:spacing w:after="0" w:line="174" w:lineRule="exact"/>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12,075</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7"/>
                <w:szCs w:val="17"/>
                <w:color w:val="auto"/>
              </w:rPr>
              <w:t>25.1 %</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680" w:type="dxa"/>
            <w:vAlign w:val="bottom"/>
          </w:tcPr>
          <w:p>
            <w:pPr>
              <w:spacing w:after="0"/>
              <w:rPr>
                <w:sz w:val="19"/>
                <w:szCs w:val="19"/>
                <w:color w:val="auto"/>
              </w:rPr>
            </w:pPr>
          </w:p>
        </w:tc>
        <w:tc>
          <w:tcPr>
            <w:tcW w:w="6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0.1 %</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84.9 %</w:t>
            </w:r>
          </w:p>
        </w:tc>
        <w:tc>
          <w:tcPr>
            <w:tcW w:w="0" w:type="dxa"/>
            <w:vAlign w:val="bottom"/>
          </w:tcPr>
          <w:p>
            <w:pPr>
              <w:spacing w:after="0"/>
              <w:rPr>
                <w:sz w:val="1"/>
                <w:szCs w:val="1"/>
                <w:color w:val="auto"/>
              </w:rPr>
            </w:pPr>
          </w:p>
        </w:tc>
      </w:tr>
      <w:tr>
        <w:trPr>
          <w:trHeight w:val="196"/>
        </w:trPr>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60,536</w:t>
            </w:r>
          </w:p>
        </w:tc>
        <w:tc>
          <w:tcPr>
            <w:tcW w:w="2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48,309</w:t>
            </w:r>
          </w:p>
        </w:tc>
        <w:tc>
          <w:tcPr>
            <w:tcW w:w="240" w:type="dxa"/>
            <w:vAlign w:val="bottom"/>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6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12,227</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25.3 %</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-942340</wp:posOffset>
            </wp:positionV>
            <wp:extent cx="7132320"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-685165</wp:posOffset>
            </wp:positionV>
            <wp:extent cx="7132320" cy="1289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-419100</wp:posOffset>
            </wp:positionV>
            <wp:extent cx="7132320"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-153670</wp:posOffset>
            </wp:positionV>
            <wp:extent cx="713232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40" w:space="240"/>
            <w:col w:w="7000"/>
          </w:cols>
          <w:pgMar w:left="320" w:top="540" w:right="299" w:bottom="1440" w:gutter="0" w:footer="0" w:header="0"/>
          <w:type w:val="continuous"/>
        </w:sectPr>
      </w:pP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40" w:right="299" w:bottom="1440" w:gutter="0" w:footer="0" w:header="0"/>
          <w:type w:val="continuous"/>
        </w:sectPr>
      </w:pPr>
    </w:p>
    <w:bookmarkStart w:id="38" w:name="page39"/>
    <w:bookmarkEnd w:id="38"/>
    <w:p>
      <w:pPr>
        <w:jc w:val="both"/>
        <w:ind w:right="100" w:firstLine="37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to $41.1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compared to $31.6 million for the same period in 2021. The increase is primarily due to increased wages and other general expenses from the inclusion of T2 Systems with no comparable amounts in the prior year. In addition, we had overall increases of $3.1 million of professional services costs, $1.0 million related to credit loss expense and $0.8 million for stock-based compensation expense, which were partially offset by a $2.0 million decrease in certain transaction and transformation expenses compared to the prior year. Selling, general and administrative expenses as a percentage of total revenue increased from 19.5% to 20.8% for the three months ended September 30, 2021 and 2022, respectively. The following table presents selling, general and administrative expenses by segment:</w:t>
      </w:r>
    </w:p>
    <w:p>
      <w:pPr>
        <w:sectPr>
          <w:pgSz w:w="11900" w:h="16838" w:orient="portrait"/>
          <w:cols w:equalWidth="0" w:num="1">
            <w:col w:w="11340"/>
          </w:cols>
          <w:pgMar w:left="320" w:top="3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Commercial Services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Government Solutions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Parking Solutions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Corporate and other</w:t>
      </w:r>
    </w:p>
    <w:p>
      <w:pPr>
        <w:spacing w:after="0" w:line="9" w:lineRule="exact"/>
        <w:rPr>
          <w:sz w:val="20"/>
          <w:szCs w:val="20"/>
          <w:color w:val="auto"/>
        </w:rPr>
      </w:pPr>
    </w:p>
    <w:p>
      <w:pPr>
        <w:ind w:left="20"/>
        <w:spacing w:after="0" w:line="248" w:lineRule="auto"/>
        <w:rPr>
          <w:sz w:val="20"/>
          <w:szCs w:val="20"/>
          <w:color w:val="auto"/>
        </w:rPr>
      </w:pPr>
      <w:r>
        <w:rPr>
          <w:rFonts w:ascii="Times New Roman" w:cs="Times New Roman" w:eastAsia="Times New Roman" w:hAnsi="Times New Roman"/>
          <w:sz w:val="17"/>
          <w:szCs w:val="17"/>
          <w:color w:val="auto"/>
        </w:rPr>
        <w:t>Total selling, general and administrative expenses before stock-based compensation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Stock-based compensation</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selling, general and administrative expenses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4"/>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jc w:val="center"/>
              <w:ind w:right="156"/>
              <w:spacing w:after="0" w:line="145"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7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1900" w:type="dxa"/>
            <w:vAlign w:val="bottom"/>
            <w:tcBorders>
              <w:bottom w:val="single" w:sz="8" w:color="auto"/>
            </w:tcBorders>
            <w:gridSpan w:val="4"/>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14,126</w:t>
            </w:r>
          </w:p>
        </w:tc>
        <w:tc>
          <w:tcPr>
            <w:tcW w:w="4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10,592</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7.2 %</w:t>
            </w:r>
          </w:p>
        </w:tc>
        <w:tc>
          <w:tcPr>
            <w:tcW w:w="660" w:type="dxa"/>
            <w:vAlign w:val="bottom"/>
          </w:tcPr>
          <w:p>
            <w:pPr>
              <w:spacing w:after="0"/>
              <w:rPr>
                <w:sz w:val="24"/>
                <w:szCs w:val="24"/>
                <w:color w:val="auto"/>
              </w:rPr>
            </w:pPr>
          </w:p>
        </w:tc>
        <w:tc>
          <w:tcPr>
            <w:tcW w:w="820" w:type="dxa"/>
            <w:vAlign w:val="bottom"/>
            <w:gridSpan w:val="3"/>
          </w:tcPr>
          <w:p>
            <w:pPr>
              <w:jc w:val="right"/>
              <w:ind w:right="55"/>
              <w:spacing w:after="0"/>
              <w:rPr>
                <w:sz w:val="20"/>
                <w:szCs w:val="20"/>
                <w:color w:val="auto"/>
              </w:rPr>
            </w:pPr>
            <w:r>
              <w:rPr>
                <w:rFonts w:ascii="Times New Roman" w:cs="Times New Roman" w:eastAsia="Times New Roman" w:hAnsi="Times New Roman"/>
                <w:sz w:val="17"/>
                <w:szCs w:val="17"/>
                <w:color w:val="auto"/>
              </w:rPr>
              <w:t>6.5 % $</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3,534</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33.4 %</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14,013</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6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8.7 %</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7.3 %</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660" w:type="dxa"/>
            <w:vAlign w:val="bottom"/>
          </w:tcPr>
          <w:p>
            <w:pPr>
              <w:spacing w:after="0"/>
              <w:rPr>
                <w:sz w:val="17"/>
                <w:szCs w:val="17"/>
                <w:color w:val="auto"/>
              </w:rPr>
            </w:pPr>
          </w:p>
        </w:tc>
        <w:tc>
          <w:tcPr>
            <w:tcW w:w="820" w:type="dxa"/>
            <w:vAlign w:val="bottom"/>
            <w:gridSpan w:val="3"/>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3,451</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6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(2,016 )</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(58.4 )%</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36,813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28,056</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18.6 %</w:t>
            </w:r>
          </w:p>
        </w:tc>
        <w:tc>
          <w:tcPr>
            <w:tcW w:w="6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17.3 %</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8,757</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31.2 %</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3,524</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6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22.4 %</w:t>
            </w:r>
          </w:p>
        </w:tc>
        <w:tc>
          <w:tcPr>
            <w:tcW w:w="0" w:type="dxa"/>
            <w:vAlign w:val="bottom"/>
          </w:tcPr>
          <w:p>
            <w:pPr>
              <w:spacing w:after="0"/>
              <w:rPr>
                <w:sz w:val="1"/>
                <w:szCs w:val="1"/>
                <w:color w:val="auto"/>
              </w:rPr>
            </w:pPr>
          </w:p>
        </w:tc>
      </w:tr>
      <w:tr>
        <w:trPr>
          <w:trHeight w:val="196"/>
        </w:trPr>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41,126</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31,580</w:t>
            </w:r>
          </w:p>
        </w:tc>
        <w:tc>
          <w:tcPr>
            <w:tcW w:w="240" w:type="dxa"/>
            <w:vAlign w:val="bottom"/>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98"/>
              </w:rPr>
              <w:t>%</w:t>
            </w:r>
          </w:p>
        </w:tc>
        <w:tc>
          <w:tcPr>
            <w:tcW w:w="6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98"/>
              </w:rPr>
              <w:t>%</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30.2 %</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-1190625</wp:posOffset>
            </wp:positionV>
            <wp:extent cx="7132320" cy="1289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-933450</wp:posOffset>
            </wp:positionV>
            <wp:extent cx="7132320"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-676275</wp:posOffset>
            </wp:positionV>
            <wp:extent cx="7132320" cy="6769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676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400"/>
            <w:col w:w="7040"/>
          </w:cols>
          <w:pgMar w:left="320" w:top="362" w:right="239" w:bottom="1440" w:gutter="0" w:footer="0" w:header="0"/>
          <w:type w:val="continuous"/>
        </w:sectPr>
      </w:pPr>
    </w:p>
    <w:p>
      <w:pPr>
        <w:spacing w:after="0" w:line="23" w:lineRule="exact"/>
        <w:rPr>
          <w:sz w:val="20"/>
          <w:szCs w:val="20"/>
          <w:color w:val="auto"/>
        </w:rPr>
      </w:pPr>
    </w:p>
    <w:p>
      <w:pPr>
        <w:ind w:left="380"/>
        <w:spacing w:after="0"/>
        <w:tabs>
          <w:tab w:leader="none" w:pos="6060" w:val="left"/>
        </w:tabs>
        <w:rPr>
          <w:sz w:val="20"/>
          <w:szCs w:val="20"/>
          <w:color w:val="auto"/>
        </w:rPr>
      </w:pPr>
      <w:r>
        <w:rPr>
          <w:rFonts w:ascii="Times New Roman" w:cs="Times New Roman" w:eastAsia="Times New Roman" w:hAnsi="Times New Roman"/>
          <w:sz w:val="18"/>
          <w:szCs w:val="18"/>
          <w:i w:val="1"/>
          <w:iCs w:val="1"/>
          <w:color w:val="auto"/>
        </w:rPr>
        <w:t>Depreciation, Amortization and (Gain) Loss on Disposal of Assets, Net.</w:t>
      </w:r>
      <w:r>
        <w:rPr>
          <w:sz w:val="20"/>
          <w:szCs w:val="20"/>
          <w:color w:val="auto"/>
        </w:rPr>
        <w:tab/>
      </w:r>
      <w:r>
        <w:rPr>
          <w:rFonts w:ascii="Times New Roman" w:cs="Times New Roman" w:eastAsia="Times New Roman" w:hAnsi="Times New Roman"/>
          <w:sz w:val="18"/>
          <w:szCs w:val="18"/>
          <w:color w:val="auto"/>
        </w:rPr>
        <w:t>Depreciation, amortization and (gain) loss on disposal of assets, net,</w:t>
      </w:r>
    </w:p>
    <w:p>
      <w:pPr>
        <w:spacing w:after="0" w:line="29"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18"/>
          <w:szCs w:val="18"/>
          <w:color w:val="auto"/>
        </w:rPr>
        <w:t>increased by $5.5 million to $35.0 million for the three months ended September 30, 2022 from $29.5 million for the same period in 2021. This was mainly due to increased amortization and depreciation expense resulting from the inclusion of T2 Systems with no comparable amounts in the prior year.</w:t>
      </w:r>
    </w:p>
    <w:p>
      <w:pPr>
        <w:spacing w:after="0" w:line="178" w:lineRule="exact"/>
        <w:rPr>
          <w:sz w:val="20"/>
          <w:szCs w:val="20"/>
          <w:color w:val="auto"/>
        </w:rPr>
      </w:pPr>
    </w:p>
    <w:p>
      <w:pPr>
        <w:jc w:val="both"/>
        <w:ind w:right="100" w:firstLine="374"/>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increased by $8.6 million from $11.6 million for the three months ended September 30, 2021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$20.3 million for the same period in 2022. This increase is primarily attributable to a higher interest rate on our variable debt which was approximately 270 basis points higher than the comparable prior period and $1.24 billion in average outstanding debt during the three months ended September 30, 2022, which included the $250 million of incremental term loan borrowing, compared to $998 million in average outstanding debt for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period in 2021.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We recorded gains of $2.3 million and $5.1 million for the three months ended September 30,</w:t>
      </w:r>
    </w:p>
    <w:p>
      <w:pPr>
        <w:spacing w:after="0" w:line="1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2022 and 2021, respectively, related to the changes in fair value of our Private Placement Warrants which are accounted for as liabilities on our condensed consolidated balance sheets. The change in fair value is the result of re-measurement of the liability at the end of each reporting period.</w:t>
      </w:r>
    </w:p>
    <w:p>
      <w:pPr>
        <w:spacing w:after="0" w:line="167" w:lineRule="exact"/>
        <w:rPr>
          <w:sz w:val="20"/>
          <w:szCs w:val="20"/>
          <w:color w:val="auto"/>
        </w:rPr>
      </w:pPr>
    </w:p>
    <w:p>
      <w:pPr>
        <w:jc w:val="both"/>
        <w:ind w:right="100" w:firstLine="374"/>
        <w:spacing w:after="0" w:line="268" w:lineRule="auto"/>
        <w:rPr>
          <w:sz w:val="20"/>
          <w:szCs w:val="20"/>
          <w:color w:val="auto"/>
        </w:rPr>
      </w:pPr>
      <w:r>
        <w:rPr>
          <w:rFonts w:ascii="Times New Roman" w:cs="Times New Roman" w:eastAsia="Times New Roman" w:hAnsi="Times New Roman"/>
          <w:sz w:val="18"/>
          <w:szCs w:val="18"/>
          <w:i w:val="1"/>
          <w:iCs w:val="1"/>
          <w:color w:val="auto"/>
        </w:rPr>
        <w:t>Gain on extinguishment of debt</w:t>
      </w:r>
      <w:r>
        <w:rPr>
          <w:rFonts w:ascii="Times New Roman" w:cs="Times New Roman" w:eastAsia="Times New Roman" w:hAnsi="Times New Roman"/>
          <w:sz w:val="18"/>
          <w:szCs w:val="18"/>
          <w:color w:val="auto"/>
        </w:rPr>
        <w:t>. We recorded a $3.0 million gain on extinguishment of debt during the three months ended September 30, 2022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forgiveness of the PPP loan, which is further discussed below.</w:t>
      </w:r>
    </w:p>
    <w:p>
      <w:pPr>
        <w:spacing w:after="0" w:line="172" w:lineRule="exact"/>
        <w:rPr>
          <w:sz w:val="20"/>
          <w:szCs w:val="20"/>
          <w:color w:val="auto"/>
        </w:rPr>
      </w:pPr>
    </w:p>
    <w:p>
      <w:pPr>
        <w:jc w:val="both"/>
        <w:ind w:right="100" w:firstLine="374"/>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$2.5 million for the three months ended September 30, 2022 compared to $3.5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2021. The decrease of $1.0 million is primarily attributable to an adjustment recognized for a previous acquisition subsequent to the measurement period, offset mainly by income resulting from volume rebates earned from total spend on purchasing cards from increased tolling and travel activity, especially in the RAC industry.</w:t>
      </w:r>
    </w:p>
    <w:p>
      <w:pPr>
        <w:spacing w:after="0" w:line="191" w:lineRule="exact"/>
        <w:rPr>
          <w:sz w:val="20"/>
          <w:szCs w:val="20"/>
          <w:color w:val="auto"/>
        </w:rPr>
      </w:pPr>
    </w:p>
    <w:p>
      <w:pPr>
        <w:jc w:val="both"/>
        <w:ind w:right="100" w:firstLine="374"/>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$8.4 million representing an effective tax rate of 25.5%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a tax provision of $11.5 million, representing an effective tax rate of 29.6% for the same period in 2021. The primary driver for the effective tax rate variance is the permanent differences related to the mark-to-market adjustment on the private placement warrants and the Redflex PPP loan forgiveness recorded as pre-tax income in 2022, resulting in the Company’s permanent book and tax differences having a proportionately lesser impact on the effective tax rate for 2022.</w:t>
      </w:r>
    </w:p>
    <w:p>
      <w:pPr>
        <w:spacing w:after="0" w:line="177" w:lineRule="exact"/>
        <w:rPr>
          <w:sz w:val="20"/>
          <w:szCs w:val="20"/>
          <w:color w:val="auto"/>
        </w:rPr>
      </w:pPr>
    </w:p>
    <w:p>
      <w:pPr>
        <w:jc w:val="both"/>
        <w:ind w:right="10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$24.6 million for the three months ended September 30, 2022, as compared to a net income of $27.3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2021. The $2.7 million decrease in net income was primarily</w:t>
      </w:r>
    </w:p>
    <w:p>
      <w:pPr>
        <w:spacing w:after="0" w:line="1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62" w:right="239" w:bottom="1440" w:gutter="0" w:footer="0" w:header="0"/>
          <w:type w:val="continuous"/>
        </w:sectPr>
      </w:pPr>
    </w:p>
    <w:bookmarkStart w:id="39" w:name="page40"/>
    <w:bookmarkEnd w:id="39"/>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due to increased interest expense, costs and expenses due to the inclusion of T2 Systems in 2022 with no comparable amounts in the prior period, and the other statement of operations activity discussed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Nine Months Ended September 30, 2021</w:t>
      </w:r>
    </w:p>
    <w:p>
      <w:pPr>
        <w:spacing w:after="0" w:line="108" w:lineRule="exact"/>
        <w:rPr>
          <w:sz w:val="20"/>
          <w:szCs w:val="20"/>
          <w:color w:val="auto"/>
        </w:rPr>
      </w:pPr>
    </w:p>
    <w:p>
      <w:pPr>
        <w:jc w:val="both"/>
        <w:ind w:right="120" w:firstLine="374"/>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gridSpan w:val="4"/>
            <w:vMerge w:val="restart"/>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20" w:type="dxa"/>
            <w:vAlign w:val="bottom"/>
          </w:tcPr>
          <w:p>
            <w:pPr>
              <w:spacing w:after="0"/>
              <w:rPr>
                <w:sz w:val="11"/>
                <w:szCs w:val="11"/>
                <w:color w:val="auto"/>
              </w:rPr>
            </w:pPr>
          </w:p>
        </w:tc>
        <w:tc>
          <w:tcPr>
            <w:tcW w:w="1880" w:type="dxa"/>
            <w:vAlign w:val="bottom"/>
            <w:gridSpan w:val="4"/>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64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Borders>
              <w:top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840" w:type="dxa"/>
            <w:vAlign w:val="bottom"/>
            <w:gridSpan w:val="2"/>
          </w:tcPr>
          <w:p>
            <w:pPr>
              <w:spacing w:after="0" w:line="167" w:lineRule="exact"/>
              <w:rPr>
                <w:sz w:val="20"/>
                <w:szCs w:val="20"/>
                <w:color w:val="auto"/>
              </w:rPr>
            </w:pPr>
            <w:r>
              <w:rPr>
                <w:rFonts w:ascii="Times New Roman" w:cs="Times New Roman" w:eastAsia="Times New Roman" w:hAnsi="Times New Roman"/>
                <w:sz w:val="17"/>
                <w:szCs w:val="17"/>
                <w:color w:val="auto"/>
              </w:rPr>
              <w:t>Service revenue</w:t>
            </w:r>
          </w:p>
        </w:tc>
        <w:tc>
          <w:tcPr>
            <w:tcW w:w="220" w:type="dxa"/>
            <w:vAlign w:val="bottom"/>
          </w:tcPr>
          <w:p>
            <w:pPr>
              <w:jc w:val="right"/>
              <w:ind w:right="35"/>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516,253</w:t>
            </w:r>
          </w:p>
        </w:tc>
        <w:tc>
          <w:tcPr>
            <w:tcW w:w="300" w:type="dxa"/>
            <w:vAlign w:val="bottom"/>
          </w:tcPr>
          <w:p>
            <w:pPr>
              <w:spacing w:after="0"/>
              <w:rPr>
                <w:sz w:val="14"/>
                <w:szCs w:val="14"/>
                <w:color w:val="auto"/>
              </w:rPr>
            </w:pPr>
          </w:p>
        </w:tc>
        <w:tc>
          <w:tcPr>
            <w:tcW w:w="220" w:type="dxa"/>
            <w:vAlign w:val="bottom"/>
          </w:tcPr>
          <w:p>
            <w:pPr>
              <w:jc w:val="right"/>
              <w:ind w:right="35"/>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348,000</w:t>
            </w:r>
          </w:p>
        </w:tc>
        <w:tc>
          <w:tcPr>
            <w:tcW w:w="240" w:type="dxa"/>
            <w:vAlign w:val="bottom"/>
          </w:tcPr>
          <w:p>
            <w:pPr>
              <w:spacing w:after="0"/>
              <w:rPr>
                <w:sz w:val="14"/>
                <w:szCs w:val="14"/>
                <w:color w:val="auto"/>
              </w:rPr>
            </w:pPr>
          </w:p>
        </w:tc>
        <w:tc>
          <w:tcPr>
            <w:tcW w:w="10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92.9</w:t>
            </w:r>
          </w:p>
        </w:tc>
        <w:tc>
          <w:tcPr>
            <w:tcW w:w="20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w w:val="84"/>
              </w:rPr>
              <w:t>%</w:t>
            </w:r>
          </w:p>
        </w:tc>
        <w:tc>
          <w:tcPr>
            <w:tcW w:w="10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91.4</w:t>
            </w:r>
          </w:p>
        </w:tc>
        <w:tc>
          <w:tcPr>
            <w:tcW w:w="280" w:type="dxa"/>
            <w:vAlign w:val="bottom"/>
          </w:tcPr>
          <w:p>
            <w:pPr>
              <w:jc w:val="right"/>
              <w:ind w:right="35"/>
              <w:spacing w:after="0" w:line="167" w:lineRule="exact"/>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Pr>
          <w:p>
            <w:pPr>
              <w:jc w:val="right"/>
              <w:ind w:right="35"/>
              <w:spacing w:after="0" w:line="167"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168,253</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48.3</w:t>
            </w:r>
          </w:p>
        </w:tc>
        <w:tc>
          <w:tcPr>
            <w:tcW w:w="20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24"/>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Product sales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39,275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32,610</w:t>
            </w: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8.6 %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20.4 %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7"/>
                <w:szCs w:val="17"/>
                <w:b w:val="1"/>
                <w:bCs w:val="1"/>
                <w:color w:val="auto"/>
              </w:rPr>
              <w:t>Total revenue</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555,528</w:t>
            </w:r>
          </w:p>
        </w:tc>
        <w:tc>
          <w:tcPr>
            <w:tcW w:w="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380,610</w:t>
            </w:r>
          </w:p>
        </w:tc>
        <w:tc>
          <w:tcPr>
            <w:tcW w:w="240" w:type="dxa"/>
            <w:vAlign w:val="bottom"/>
          </w:tcPr>
          <w:p>
            <w:pPr>
              <w:spacing w:after="0"/>
              <w:rPr>
                <w:sz w:val="15"/>
                <w:szCs w:val="15"/>
                <w:color w:val="auto"/>
              </w:rPr>
            </w:pPr>
          </w:p>
        </w:tc>
        <w:tc>
          <w:tcPr>
            <w:tcW w:w="10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100.0</w:t>
            </w:r>
          </w:p>
        </w:tc>
        <w:tc>
          <w:tcPr>
            <w:tcW w:w="20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w w:val="84"/>
              </w:rPr>
              <w:t>%</w:t>
            </w:r>
          </w:p>
        </w:tc>
        <w:tc>
          <w:tcPr>
            <w:tcW w:w="10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100.0</w:t>
            </w:r>
          </w:p>
        </w:tc>
        <w:tc>
          <w:tcPr>
            <w:tcW w:w="280" w:type="dxa"/>
            <w:vAlign w:val="bottom"/>
          </w:tcPr>
          <w:p>
            <w:pPr>
              <w:jc w:val="right"/>
              <w:ind w:right="35"/>
              <w:spacing w:after="0" w:line="174" w:lineRule="exact"/>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174,918</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7"/>
                <w:szCs w:val="17"/>
                <w:color w:val="auto"/>
              </w:rPr>
              <w:t>46.0 %</w:t>
            </w:r>
          </w:p>
        </w:tc>
        <w:tc>
          <w:tcPr>
            <w:tcW w:w="0" w:type="dxa"/>
            <w:vAlign w:val="bottom"/>
          </w:tcPr>
          <w:p>
            <w:pPr>
              <w:spacing w:after="0"/>
              <w:rPr>
                <w:sz w:val="1"/>
                <w:szCs w:val="1"/>
                <w:color w:val="auto"/>
              </w:rPr>
            </w:pPr>
          </w:p>
        </w:tc>
      </w:tr>
      <w:tr>
        <w:trPr>
          <w:trHeight w:val="203"/>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service revenue</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3,624</w:t>
            </w:r>
          </w:p>
        </w:tc>
        <w:tc>
          <w:tcPr>
            <w:tcW w:w="2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1.0 %</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221.1 %</w:t>
            </w:r>
          </w:p>
        </w:tc>
        <w:tc>
          <w:tcPr>
            <w:tcW w:w="0" w:type="dxa"/>
            <w:vAlign w:val="bottom"/>
          </w:tcPr>
          <w:p>
            <w:pPr>
              <w:spacing w:after="0"/>
              <w:rPr>
                <w:sz w:val="1"/>
                <w:szCs w:val="1"/>
                <w:color w:val="auto"/>
              </w:rPr>
            </w:pPr>
          </w:p>
        </w:tc>
      </w:tr>
      <w:tr>
        <w:trPr>
          <w:trHeight w:val="203"/>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25,638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15,562</w:t>
            </w:r>
          </w:p>
        </w:tc>
        <w:tc>
          <w:tcPr>
            <w:tcW w:w="2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4.1 %</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10,076</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64.7 %</w:t>
            </w:r>
          </w:p>
        </w:tc>
        <w:tc>
          <w:tcPr>
            <w:tcW w:w="0" w:type="dxa"/>
            <w:vAlign w:val="bottom"/>
          </w:tcPr>
          <w:p>
            <w:pPr>
              <w:spacing w:after="0"/>
              <w:rPr>
                <w:sz w:val="1"/>
                <w:szCs w:val="1"/>
                <w:color w:val="auto"/>
              </w:rPr>
            </w:pPr>
          </w:p>
        </w:tc>
      </w:tr>
      <w:tr>
        <w:trPr>
          <w:trHeight w:val="203"/>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166,795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115,235</w:t>
            </w:r>
          </w:p>
        </w:tc>
        <w:tc>
          <w:tcPr>
            <w:tcW w:w="2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30.0 %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30.3 %</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51,560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44.7 %</w:t>
            </w:r>
          </w:p>
        </w:tc>
        <w:tc>
          <w:tcPr>
            <w:tcW w:w="0" w:type="dxa"/>
            <w:vAlign w:val="bottom"/>
          </w:tcPr>
          <w:p>
            <w:pPr>
              <w:spacing w:after="0"/>
              <w:rPr>
                <w:sz w:val="1"/>
                <w:szCs w:val="1"/>
                <w:color w:val="auto"/>
              </w:rPr>
            </w:pPr>
          </w:p>
        </w:tc>
      </w:tr>
      <w:tr>
        <w:trPr>
          <w:trHeight w:val="203"/>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122,913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86,252</w:t>
            </w:r>
          </w:p>
        </w:tc>
        <w:tc>
          <w:tcPr>
            <w:tcW w:w="2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22.1 %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22.6 %</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36,661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42.5 %</w:t>
            </w:r>
          </w:p>
        </w:tc>
        <w:tc>
          <w:tcPr>
            <w:tcW w:w="0" w:type="dxa"/>
            <w:vAlign w:val="bottom"/>
          </w:tcPr>
          <w:p>
            <w:pPr>
              <w:spacing w:after="0"/>
              <w:rPr>
                <w:sz w:val="1"/>
                <w:szCs w:val="1"/>
                <w:color w:val="auto"/>
              </w:rPr>
            </w:pPr>
          </w:p>
        </w:tc>
      </w:tr>
      <w:tr>
        <w:trPr>
          <w:trHeight w:val="175"/>
        </w:trPr>
        <w:tc>
          <w:tcPr>
            <w:tcW w:w="38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disposal of assets, net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105,881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84,806</w:t>
            </w: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19.1 %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22.3 %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21,075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24.9 %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432,863</w:t>
            </w:r>
          </w:p>
        </w:tc>
        <w:tc>
          <w:tcPr>
            <w:tcW w:w="3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305,479</w:t>
            </w:r>
          </w:p>
        </w:tc>
        <w:tc>
          <w:tcPr>
            <w:tcW w:w="24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127,384</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41.7 %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gridSpan w:val="2"/>
          </w:tcPr>
          <w:p>
            <w:pPr>
              <w:ind w:left="180"/>
              <w:spacing w:after="0" w:line="174" w:lineRule="exact"/>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20" w:type="dxa"/>
            <w:vAlign w:val="bottom"/>
          </w:tcPr>
          <w:p>
            <w:pPr>
              <w:spacing w:after="0"/>
              <w:rPr>
                <w:sz w:val="15"/>
                <w:szCs w:val="15"/>
                <w:color w:val="auto"/>
              </w:rPr>
            </w:pPr>
          </w:p>
        </w:tc>
        <w:tc>
          <w:tcPr>
            <w:tcW w:w="78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122,665</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75,131</w:t>
            </w:r>
          </w:p>
        </w:tc>
        <w:tc>
          <w:tcPr>
            <w:tcW w:w="240" w:type="dxa"/>
            <w:vAlign w:val="bottom"/>
          </w:tcPr>
          <w:p>
            <w:pPr>
              <w:spacing w:after="0"/>
              <w:rPr>
                <w:sz w:val="15"/>
                <w:szCs w:val="15"/>
                <w:color w:val="auto"/>
              </w:rPr>
            </w:pPr>
          </w:p>
        </w:tc>
        <w:tc>
          <w:tcPr>
            <w:tcW w:w="12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color w:val="auto"/>
                <w:highlight w:val="white"/>
              </w:rPr>
              <w:t>%</w:t>
            </w:r>
          </w:p>
        </w:tc>
        <w:tc>
          <w:tcPr>
            <w:tcW w:w="1360" w:type="dxa"/>
            <w:vAlign w:val="bottom"/>
            <w:gridSpan w:val="2"/>
          </w:tcPr>
          <w:p>
            <w:pPr>
              <w:jc w:val="right"/>
              <w:ind w:right="35"/>
              <w:spacing w:after="0" w:line="174" w:lineRule="exact"/>
              <w:rPr>
                <w:sz w:val="20"/>
                <w:szCs w:val="20"/>
                <w:color w:val="auto"/>
              </w:rPr>
            </w:pPr>
            <w:r>
              <w:rPr>
                <w:rFonts w:ascii="Times New Roman" w:cs="Times New Roman" w:eastAsia="Times New Roman" w:hAnsi="Times New Roman"/>
                <w:sz w:val="17"/>
                <w:szCs w:val="17"/>
                <w:color w:val="auto"/>
              </w:rPr>
              <w:t xml:space="preserve">19.7 </w:t>
            </w:r>
            <w:r>
              <w:rPr>
                <w:rFonts w:ascii="Times New Roman" w:cs="Times New Roman" w:eastAsia="Times New Roman" w:hAnsi="Times New Roman"/>
                <w:sz w:val="17"/>
                <w:szCs w:val="17"/>
                <w:color w:val="auto"/>
                <w:highlight w:val="white"/>
              </w:rPr>
              <w:t>%</w:t>
            </w:r>
          </w:p>
        </w:tc>
        <w:tc>
          <w:tcPr>
            <w:tcW w:w="220" w:type="dxa"/>
            <w:vAlign w:val="bottom"/>
          </w:tcPr>
          <w:p>
            <w:pPr>
              <w:spacing w:after="0"/>
              <w:rPr>
                <w:sz w:val="15"/>
                <w:szCs w:val="15"/>
                <w:color w:val="auto"/>
              </w:rPr>
            </w:pPr>
          </w:p>
        </w:tc>
        <w:tc>
          <w:tcPr>
            <w:tcW w:w="68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47,534</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7"/>
                <w:szCs w:val="17"/>
                <w:color w:val="auto"/>
              </w:rPr>
              <w:t>63.3 %</w:t>
            </w:r>
          </w:p>
        </w:tc>
        <w:tc>
          <w:tcPr>
            <w:tcW w:w="0" w:type="dxa"/>
            <w:vAlign w:val="bottom"/>
          </w:tcPr>
          <w:p>
            <w:pPr>
              <w:spacing w:after="0"/>
              <w:rPr>
                <w:sz w:val="1"/>
                <w:szCs w:val="1"/>
                <w:color w:val="auto"/>
              </w:rPr>
            </w:pPr>
          </w:p>
        </w:tc>
      </w:tr>
      <w:tr>
        <w:trPr>
          <w:trHeight w:val="203"/>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49,024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32,481</w:t>
            </w:r>
          </w:p>
        </w:tc>
        <w:tc>
          <w:tcPr>
            <w:tcW w:w="2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8.5 %</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16,543</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50.9 %</w:t>
            </w:r>
          </w:p>
        </w:tc>
        <w:tc>
          <w:tcPr>
            <w:tcW w:w="0" w:type="dxa"/>
            <w:vAlign w:val="bottom"/>
          </w:tcPr>
          <w:p>
            <w:pPr>
              <w:spacing w:after="0"/>
              <w:rPr>
                <w:sz w:val="1"/>
                <w:szCs w:val="1"/>
                <w:color w:val="auto"/>
              </w:rPr>
            </w:pPr>
          </w:p>
        </w:tc>
      </w:tr>
      <w:tr>
        <w:trPr>
          <w:trHeight w:val="203"/>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(5,133 )</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5,067</w:t>
            </w:r>
          </w:p>
        </w:tc>
        <w:tc>
          <w:tcPr>
            <w:tcW w:w="2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1.3 %</w:t>
            </w:r>
          </w:p>
        </w:tc>
        <w:tc>
          <w:tcPr>
            <w:tcW w:w="2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(10,200 )</w:t>
            </w: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(201.3 )%</w:t>
            </w:r>
          </w:p>
        </w:tc>
        <w:tc>
          <w:tcPr>
            <w:tcW w:w="0" w:type="dxa"/>
            <w:vAlign w:val="bottom"/>
          </w:tcPr>
          <w:p>
            <w:pPr>
              <w:spacing w:after="0"/>
              <w:rPr>
                <w:sz w:val="1"/>
                <w:szCs w:val="1"/>
                <w:color w:val="auto"/>
              </w:rPr>
            </w:pPr>
          </w:p>
        </w:tc>
      </w:tr>
      <w:tr>
        <w:trPr>
          <w:trHeight w:val="203"/>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Tax receivable agreement liability adjustment</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(965 )</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w:t>
            </w:r>
          </w:p>
        </w:tc>
        <w:tc>
          <w:tcPr>
            <w:tcW w:w="2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0.4 %</w:t>
            </w:r>
          </w:p>
        </w:tc>
        <w:tc>
          <w:tcPr>
            <w:tcW w:w="2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(2,626 )</w:t>
            </w: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(158.1 )%</w:t>
            </w:r>
          </w:p>
        </w:tc>
        <w:tc>
          <w:tcPr>
            <w:tcW w:w="0" w:type="dxa"/>
            <w:vAlign w:val="bottom"/>
          </w:tcPr>
          <w:p>
            <w:pPr>
              <w:spacing w:after="0"/>
              <w:rPr>
                <w:sz w:val="1"/>
                <w:szCs w:val="1"/>
                <w:color w:val="auto"/>
              </w:rPr>
            </w:pPr>
          </w:p>
        </w:tc>
      </w:tr>
      <w:tr>
        <w:trPr>
          <w:trHeight w:val="203"/>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(3,005 )</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5,334</w:t>
            </w:r>
          </w:p>
        </w:tc>
        <w:tc>
          <w:tcPr>
            <w:tcW w:w="2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1.4 %</w:t>
            </w:r>
          </w:p>
        </w:tc>
        <w:tc>
          <w:tcPr>
            <w:tcW w:w="2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(8,339 )</w:t>
            </w: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(156.3 )%</w:t>
            </w:r>
          </w:p>
        </w:tc>
        <w:tc>
          <w:tcPr>
            <w:tcW w:w="0" w:type="dxa"/>
            <w:vAlign w:val="bottom"/>
          </w:tcPr>
          <w:p>
            <w:pPr>
              <w:spacing w:after="0"/>
              <w:rPr>
                <w:sz w:val="1"/>
                <w:szCs w:val="1"/>
                <w:color w:val="auto"/>
              </w:rPr>
            </w:pPr>
          </w:p>
        </w:tc>
      </w:tr>
      <w:tr>
        <w:trPr>
          <w:trHeight w:val="224"/>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(9,367 )</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(9,305 )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2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(62 )</w:t>
            </w:r>
          </w:p>
        </w:tc>
        <w:tc>
          <w:tcPr>
            <w:tcW w:w="3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0" w:type="dxa"/>
            <w:vAlign w:val="bottom"/>
          </w:tcPr>
          <w:p>
            <w:pPr>
              <w:spacing w:after="0"/>
              <w:rPr>
                <w:sz w:val="1"/>
                <w:szCs w:val="1"/>
                <w:color w:val="auto"/>
              </w:rPr>
            </w:pPr>
          </w:p>
        </w:tc>
      </w:tr>
      <w:tr>
        <w:trPr>
          <w:trHeight w:val="20"/>
        </w:trPr>
        <w:tc>
          <w:tcPr>
            <w:tcW w:w="3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(13.3 )%</w:t>
            </w:r>
          </w:p>
        </w:tc>
        <w:tc>
          <w:tcPr>
            <w:tcW w:w="0" w:type="dxa"/>
            <w:vAlign w:val="bottom"/>
          </w:tcPr>
          <w:p>
            <w:pPr>
              <w:spacing w:after="0" w:line="20" w:lineRule="exact"/>
              <w:rPr>
                <w:sz w:val="1"/>
                <w:szCs w:val="1"/>
                <w:color w:val="auto"/>
              </w:rPr>
            </w:pPr>
          </w:p>
        </w:tc>
      </w:tr>
      <w:tr>
        <w:trPr>
          <w:trHeight w:val="196"/>
        </w:trPr>
        <w:tc>
          <w:tcPr>
            <w:tcW w:w="38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30,554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35,238</w:t>
            </w:r>
          </w:p>
        </w:tc>
        <w:tc>
          <w:tcPr>
            <w:tcW w:w="2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color w:val="auto"/>
                <w:highlight w:val="white"/>
              </w:rPr>
              <w:t>%</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color w:val="auto"/>
                <w:highlight w:val="white"/>
              </w:rPr>
              <w:t>%</w:t>
            </w:r>
          </w:p>
        </w:tc>
        <w:tc>
          <w:tcPr>
            <w:tcW w:w="2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(4,684 )</w:t>
            </w:r>
          </w:p>
        </w:tc>
        <w:tc>
          <w:tcPr>
            <w:tcW w:w="3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860" w:type="dxa"/>
            <w:vAlign w:val="bottom"/>
            <w:gridSpan w:val="3"/>
          </w:tcPr>
          <w:p>
            <w:pPr>
              <w:ind w:left="20"/>
              <w:spacing w:after="0" w:line="174" w:lineRule="exact"/>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92,111</w:t>
            </w:r>
          </w:p>
        </w:tc>
        <w:tc>
          <w:tcPr>
            <w:tcW w:w="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39,893</w:t>
            </w:r>
          </w:p>
        </w:tc>
        <w:tc>
          <w:tcPr>
            <w:tcW w:w="240" w:type="dxa"/>
            <w:vAlign w:val="bottom"/>
          </w:tcPr>
          <w:p>
            <w:pPr>
              <w:spacing w:after="0"/>
              <w:rPr>
                <w:sz w:val="15"/>
                <w:szCs w:val="15"/>
                <w:color w:val="auto"/>
              </w:rPr>
            </w:pPr>
          </w:p>
        </w:tc>
        <w:tc>
          <w:tcPr>
            <w:tcW w:w="10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16.6</w:t>
            </w:r>
          </w:p>
        </w:tc>
        <w:tc>
          <w:tcPr>
            <w:tcW w:w="20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w w:val="84"/>
              </w:rPr>
              <w:t>%</w:t>
            </w:r>
          </w:p>
        </w:tc>
        <w:tc>
          <w:tcPr>
            <w:tcW w:w="10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10.5</w:t>
            </w:r>
          </w:p>
        </w:tc>
        <w:tc>
          <w:tcPr>
            <w:tcW w:w="280" w:type="dxa"/>
            <w:vAlign w:val="bottom"/>
          </w:tcPr>
          <w:p>
            <w:pPr>
              <w:jc w:val="right"/>
              <w:ind w:right="35"/>
              <w:spacing w:after="0" w:line="174" w:lineRule="exact"/>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52,218</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7"/>
                <w:szCs w:val="17"/>
                <w:color w:val="auto"/>
              </w:rPr>
              <w:t>130.9 %</w:t>
            </w:r>
          </w:p>
        </w:tc>
        <w:tc>
          <w:tcPr>
            <w:tcW w:w="0" w:type="dxa"/>
            <w:vAlign w:val="bottom"/>
          </w:tcPr>
          <w:p>
            <w:pPr>
              <w:spacing w:after="0"/>
              <w:rPr>
                <w:sz w:val="1"/>
                <w:szCs w:val="1"/>
                <w:color w:val="auto"/>
              </w:rPr>
            </w:pPr>
          </w:p>
        </w:tc>
      </w:tr>
      <w:tr>
        <w:trPr>
          <w:trHeight w:val="224"/>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27,854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17,510</w:t>
            </w: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4.6 %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59.1 %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64,257</w:t>
            </w:r>
          </w:p>
        </w:tc>
        <w:tc>
          <w:tcPr>
            <w:tcW w:w="3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22,383</w:t>
            </w:r>
          </w:p>
        </w:tc>
        <w:tc>
          <w:tcPr>
            <w:tcW w:w="24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41,874</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187.1 %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-2630805</wp:posOffset>
            </wp:positionV>
            <wp:extent cx="7132320"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1289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7132320" cy="1289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3943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128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402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2" w:lineRule="exact"/>
        <w:rPr>
          <w:sz w:val="20"/>
          <w:szCs w:val="20"/>
          <w:color w:val="auto"/>
        </w:rPr>
      </w:pPr>
    </w:p>
    <w:p>
      <w:pPr>
        <w:jc w:val="both"/>
        <w:ind w:right="100"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$168.3 million, or 48.3%, to $516.3 million for the nine months ended September 30,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$348.0 million for the nine months ended September 30, 2021, representing 92.9% and 91.4% of total revenue, respectively. The following table depicts service revenue by segment: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20" w:type="dxa"/>
            <w:vAlign w:val="bottom"/>
            <w:gridSpan w:val="4"/>
            <w:vMerge w:val="restart"/>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40" w:type="dxa"/>
            <w:vAlign w:val="bottom"/>
          </w:tcPr>
          <w:p>
            <w:pPr>
              <w:spacing w:after="0"/>
              <w:rPr>
                <w:sz w:val="11"/>
                <w:szCs w:val="11"/>
                <w:color w:val="auto"/>
              </w:rPr>
            </w:pPr>
          </w:p>
        </w:tc>
        <w:tc>
          <w:tcPr>
            <w:tcW w:w="2040" w:type="dxa"/>
            <w:vAlign w:val="bottom"/>
            <w:gridSpan w:val="4"/>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262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Borders>
              <w:top w:val="single" w:sz="8" w:color="auto"/>
            </w:tcBorders>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9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Service revenue</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7"/>
                <w:szCs w:val="17"/>
                <w:color w:val="auto"/>
              </w:rPr>
              <w:t>Commercial Services</w:t>
            </w:r>
          </w:p>
        </w:tc>
        <w:tc>
          <w:tcPr>
            <w:tcW w:w="220" w:type="dxa"/>
            <w:vAlign w:val="bottom"/>
          </w:tcPr>
          <w:p>
            <w:pPr>
              <w:jc w:val="right"/>
              <w:ind w:right="3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244,409</w:t>
            </w:r>
          </w:p>
        </w:tc>
        <w:tc>
          <w:tcPr>
            <w:tcW w:w="500" w:type="dxa"/>
            <w:vAlign w:val="bottom"/>
            <w:gridSpan w:val="2"/>
          </w:tcPr>
          <w:p>
            <w:pPr>
              <w:jc w:val="right"/>
              <w:ind w:right="35"/>
              <w:spacing w:after="0" w:line="181"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189,426</w:t>
            </w:r>
          </w:p>
        </w:tc>
        <w:tc>
          <w:tcPr>
            <w:tcW w:w="260" w:type="dxa"/>
            <w:vAlign w:val="bottom"/>
          </w:tcPr>
          <w:p>
            <w:pPr>
              <w:spacing w:after="0"/>
              <w:rPr>
                <w:sz w:val="15"/>
                <w:szCs w:val="15"/>
                <w:color w:val="auto"/>
              </w:rPr>
            </w:pPr>
          </w:p>
        </w:tc>
        <w:tc>
          <w:tcPr>
            <w:tcW w:w="12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auto"/>
              </w:rPr>
              <w:t>44.0 %</w:t>
            </w:r>
          </w:p>
        </w:tc>
        <w:tc>
          <w:tcPr>
            <w:tcW w:w="1340" w:type="dxa"/>
            <w:vAlign w:val="bottom"/>
            <w:gridSpan w:val="2"/>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rPr>
              <w:t>49.8 %</w:t>
            </w:r>
          </w:p>
        </w:tc>
        <w:tc>
          <w:tcPr>
            <w:tcW w:w="240" w:type="dxa"/>
            <w:vAlign w:val="bottom"/>
          </w:tcPr>
          <w:p>
            <w:pPr>
              <w:jc w:val="right"/>
              <w:ind w:right="5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54,983</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auto"/>
              </w:rPr>
              <w:t>29.0 %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Government Solutions</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225,337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158,574</w:t>
            </w:r>
          </w:p>
        </w:tc>
        <w:tc>
          <w:tcPr>
            <w:tcW w:w="2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40.6 %</w:t>
            </w:r>
          </w:p>
        </w:tc>
        <w:tc>
          <w:tcPr>
            <w:tcW w:w="13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41.6 %</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66,763</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42.1 %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Parking Solutions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13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46,507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96"/>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service revenue</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516,253</w:t>
            </w:r>
          </w:p>
        </w:tc>
        <w:tc>
          <w:tcPr>
            <w:tcW w:w="2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348,000</w:t>
            </w:r>
          </w:p>
        </w:tc>
        <w:tc>
          <w:tcPr>
            <w:tcW w:w="26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8"/>
              </w:rPr>
              <w:t>%</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168,253</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48.3 %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ind w:right="100" w:firstLine="374"/>
        <w:spacing w:after="0" w:line="247" w:lineRule="auto"/>
        <w:rPr>
          <w:sz w:val="20"/>
          <w:szCs w:val="20"/>
          <w:color w:val="auto"/>
        </w:rPr>
      </w:pPr>
      <w:r>
        <w:rPr>
          <w:rFonts w:ascii="Times New Roman" w:cs="Times New Roman" w:eastAsia="Times New Roman" w:hAnsi="Times New Roman"/>
          <w:sz w:val="18"/>
          <w:szCs w:val="18"/>
          <w:color w:val="auto"/>
        </w:rPr>
        <w:t>Commercial Services service revenue increased by $55.0 million, or 29%, from $189.4 million for the nine months ended September 30, 2021 to $244.4 million for the nine months ended September 30, 2022. The increase was primarily due to the increase in travel volume in 2022 compared to 2021 which was negatively impacted by the COVID-19 pandemic, especially the first three months of 2021. The volume of tolls incurred by RAC vehicles increased along with a shift towards an all-inclusive fee structure from an incidental or daily usage rate and higher pricing for certain products contributed to a $39.8 million increase, and the tolling related revenue generated by our FMC customers contributed to a $9.6 million increase during the nine months ended September 30, 2022 compared to the same period in 2021.</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40" w:right="239" w:bottom="1440" w:gutter="0" w:footer="0" w:header="0"/>
        </w:sectPr>
      </w:pPr>
    </w:p>
    <w:bookmarkStart w:id="40" w:name="page41"/>
    <w:bookmarkEnd w:id="40"/>
    <w:p>
      <w:pPr>
        <w:jc w:val="both"/>
        <w:ind w:right="40" w:firstLine="374"/>
        <w:spacing w:after="0" w:line="245" w:lineRule="auto"/>
        <w:rPr>
          <w:sz w:val="20"/>
          <w:szCs w:val="20"/>
          <w:color w:val="auto"/>
        </w:rPr>
      </w:pPr>
      <w:r>
        <w:rPr>
          <w:rFonts w:ascii="Times New Roman" w:cs="Times New Roman" w:eastAsia="Times New Roman" w:hAnsi="Times New Roman"/>
          <w:sz w:val="18"/>
          <w:szCs w:val="18"/>
          <w:color w:val="auto"/>
        </w:rPr>
        <w:t>Government Solutions service revenue includes revenue from speed, red-light, school bus stop arm and bus lane photo enforcement systems. Service revenue increased by approximately $66.8 million, and was $225.3 million and $158.6 million for the nine months ended September 30, 2022 and 2021, respectively. Redflex operations contributed $33.2 million to our growth year over year. Organic growth excluding Redflex was $33.5 million, which was primarily driven by the expansion of school zone speed programs, and speed is the largest product in this segment. We added 752 speed cameras in 2021, excluding Redflex, which provided year-over-year growth in 2022, and 549 speed cameras in the nine months ended September 30, 2022 which provided growth in the current period and will continue to provide growth for the remainder of 2022 and beyond. The remaining growth is attributable to other expansions and improvement in variable rate programs that recovered from COVID-19 to more normalized volumes.</w:t>
      </w:r>
    </w:p>
    <w:p>
      <w:pPr>
        <w:spacing w:after="0" w:line="195"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Parking Solutions service revenue of $46.5 million resulted from our acquisition of T2 systems in December 2021 with no revenue in the comparable nine-month period.</w:t>
      </w:r>
    </w:p>
    <w:p>
      <w:pPr>
        <w:spacing w:after="0" w:line="160" w:lineRule="exact"/>
        <w:rPr>
          <w:sz w:val="20"/>
          <w:szCs w:val="20"/>
          <w:color w:val="auto"/>
        </w:rPr>
      </w:pPr>
    </w:p>
    <w:p>
      <w:pPr>
        <w:jc w:val="both"/>
        <w:ind w:right="40"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increased by $6.7 million, and were $39.3 million and $32.6 million for the nine months ended September 30,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respectively. The increase in 2022 was mainly due to an aggregate $16.4 million of product revenue generated from T2 Systems for which there was no revenue in the comparable 2021 period and from Redflex, which included approximately one hundred days of activity in the 2021 period, offset by a decrease in product sales for a Government Solutions customer whose buying patterns varied from period to period.</w:t>
      </w:r>
    </w:p>
    <w:p>
      <w:pPr>
        <w:spacing w:after="0" w:line="160" w:lineRule="exact"/>
        <w:rPr>
          <w:sz w:val="20"/>
          <w:szCs w:val="20"/>
          <w:color w:val="auto"/>
        </w:rPr>
      </w:pPr>
    </w:p>
    <w:p>
      <w:pPr>
        <w:jc w:val="both"/>
        <w:ind w:right="40" w:firstLine="37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w:t>
      </w:r>
      <w:r>
        <w:rPr>
          <w:rFonts w:ascii="Times New Roman" w:cs="Times New Roman" w:eastAsia="Times New Roman" w:hAnsi="Times New Roman"/>
          <w:sz w:val="18"/>
          <w:szCs w:val="18"/>
          <w:color w:val="auto"/>
        </w:rPr>
        <w:t>Cost of service revenue increased from $3.6 million for the nine months ended September 30, 2021 to $11.6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2022. The $8.0 million increase was mainly attributable to the inclusion of costs in the Parking Solutions segment with no comparable amounts in the prior year.</w:t>
      </w:r>
    </w:p>
    <w:p>
      <w:pPr>
        <w:spacing w:after="0" w:line="170" w:lineRule="exact"/>
        <w:rPr>
          <w:sz w:val="20"/>
          <w:szCs w:val="20"/>
          <w:color w:val="auto"/>
        </w:rPr>
      </w:pPr>
    </w:p>
    <w:p>
      <w:pPr>
        <w:ind w:left="380"/>
        <w:spacing w:after="0"/>
        <w:tabs>
          <w:tab w:leader="none" w:pos="2180" w:val="left"/>
        </w:tabs>
        <w:rPr>
          <w:sz w:val="20"/>
          <w:szCs w:val="20"/>
          <w:color w:val="auto"/>
        </w:rPr>
      </w:pPr>
      <w:r>
        <w:rPr>
          <w:rFonts w:ascii="Times New Roman" w:cs="Times New Roman" w:eastAsia="Times New Roman" w:hAnsi="Times New Roman"/>
          <w:sz w:val="18"/>
          <w:szCs w:val="18"/>
          <w:i w:val="1"/>
          <w:iCs w:val="1"/>
          <w:color w:val="auto"/>
        </w:rPr>
        <w:t>Cost of Product Sales.</w:t>
      </w:r>
      <w:r>
        <w:rPr>
          <w:sz w:val="20"/>
          <w:szCs w:val="20"/>
          <w:color w:val="auto"/>
        </w:rPr>
        <w:tab/>
      </w:r>
      <w:r>
        <w:rPr>
          <w:rFonts w:ascii="Times New Roman" w:cs="Times New Roman" w:eastAsia="Times New Roman" w:hAnsi="Times New Roman"/>
          <w:sz w:val="18"/>
          <w:szCs w:val="18"/>
          <w:color w:val="auto"/>
        </w:rPr>
        <w:t>Cost of product sales increased by approximately $10.0 million from $15.6 million in the nine months ended September 30,</w:t>
      </w:r>
    </w:p>
    <w:p>
      <w:pPr>
        <w:spacing w:after="0" w:line="4"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18"/>
          <w:szCs w:val="18"/>
          <w:color w:val="auto"/>
        </w:rPr>
        <w:t>2021 to $25.6 million in the nine months ended September 30, 2022, which was mainly due to increased costs from the inclusion of T2 Systems and Redflex operations.</w:t>
      </w:r>
    </w:p>
    <w:p>
      <w:pPr>
        <w:spacing w:after="0" w:line="169" w:lineRule="exact"/>
        <w:rPr>
          <w:sz w:val="20"/>
          <w:szCs w:val="20"/>
          <w:color w:val="auto"/>
        </w:rPr>
      </w:pPr>
    </w:p>
    <w:p>
      <w:pPr>
        <w:jc w:val="both"/>
        <w:ind w:right="40" w:firstLine="374"/>
        <w:spacing w:after="0" w:line="231"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$51.6 million, or 44.7%, from $115.2 million for the nine months ended September 30,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$166.8 million for the nine months ended September 30, 2022. The increase was primarily attributable to increases in wages expense, subcontractor</w:t>
      </w:r>
    </w:p>
    <w:p>
      <w:pPr>
        <w:spacing w:after="0" w:line="2" w:lineRule="exact"/>
        <w:rPr>
          <w:sz w:val="20"/>
          <w:szCs w:val="20"/>
          <w:color w:val="auto"/>
        </w:rPr>
      </w:pPr>
    </w:p>
    <w:p>
      <w:pPr>
        <w:jc w:val="both"/>
        <w:ind w:right="40"/>
        <w:spacing w:after="0" w:line="211" w:lineRule="auto"/>
        <w:rPr>
          <w:sz w:val="20"/>
          <w:szCs w:val="20"/>
          <w:color w:val="auto"/>
        </w:rPr>
      </w:pPr>
      <w:r>
        <w:rPr>
          <w:rFonts w:ascii="Times New Roman" w:cs="Times New Roman" w:eastAsia="Times New Roman" w:hAnsi="Times New Roman"/>
          <w:sz w:val="18"/>
          <w:szCs w:val="18"/>
          <w:color w:val="auto"/>
        </w:rPr>
        <w:t>expenses, recurring services and information technology costs resulting from the inclusion of Redflex for the full nine-month period in 2022 compared to approximately one hundred days in 2021 and T2 Systems' operations in 2022 with no comparable amounts in the prior year. Operating expenses as a</w:t>
      </w:r>
    </w:p>
    <w:p>
      <w:pPr>
        <w:spacing w:after="0" w:line="1" w:lineRule="exact"/>
        <w:rPr>
          <w:sz w:val="20"/>
          <w:szCs w:val="20"/>
          <w:color w:val="auto"/>
        </w:rPr>
      </w:pPr>
    </w:p>
    <w:p>
      <w:pPr>
        <w:jc w:val="both"/>
        <w:ind w:right="40"/>
        <w:spacing w:after="0" w:line="233" w:lineRule="auto"/>
        <w:rPr>
          <w:sz w:val="20"/>
          <w:szCs w:val="20"/>
          <w:color w:val="auto"/>
        </w:rPr>
      </w:pPr>
      <w:r>
        <w:rPr>
          <w:rFonts w:ascii="Times New Roman" w:cs="Times New Roman" w:eastAsia="Times New Roman" w:hAnsi="Times New Roman"/>
          <w:sz w:val="18"/>
          <w:szCs w:val="18"/>
          <w:color w:val="auto"/>
        </w:rPr>
        <w:t>percentage of total revenue decreased slightly from 30.3% to 30.0% for the nine months ended September 30, 2021 and 2022, respectively. The following table presents operating expenses by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gridSpan w:val="4"/>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20" w:type="dxa"/>
            <w:vAlign w:val="bottom"/>
          </w:tcPr>
          <w:p>
            <w:pPr>
              <w:spacing w:after="0"/>
              <w:rPr>
                <w:sz w:val="11"/>
                <w:szCs w:val="11"/>
                <w:color w:val="auto"/>
              </w:rPr>
            </w:pPr>
          </w:p>
        </w:tc>
        <w:tc>
          <w:tcPr>
            <w:tcW w:w="1820" w:type="dxa"/>
            <w:vAlign w:val="bottom"/>
            <w:gridSpan w:val="4"/>
          </w:tcPr>
          <w:p>
            <w:pPr>
              <w:jc w:val="right"/>
              <w:ind w:right="336"/>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5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7"/>
                <w:szCs w:val="17"/>
                <w:color w:val="auto"/>
              </w:rPr>
              <w:t>Commercial Services</w:t>
            </w:r>
          </w:p>
        </w:tc>
        <w:tc>
          <w:tcPr>
            <w:tcW w:w="220" w:type="dxa"/>
            <w:vAlign w:val="bottom"/>
          </w:tcPr>
          <w:p>
            <w:pPr>
              <w:jc w:val="right"/>
              <w:ind w:right="3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53,004</w:t>
            </w:r>
          </w:p>
        </w:tc>
        <w:tc>
          <w:tcPr>
            <w:tcW w:w="480" w:type="dxa"/>
            <w:vAlign w:val="bottom"/>
            <w:gridSpan w:val="2"/>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47,667</w:t>
            </w:r>
          </w:p>
        </w:tc>
        <w:tc>
          <w:tcPr>
            <w:tcW w:w="240" w:type="dxa"/>
            <w:vAlign w:val="bottom"/>
          </w:tcPr>
          <w:p>
            <w:pPr>
              <w:spacing w:after="0"/>
              <w:rPr>
                <w:sz w:val="15"/>
                <w:szCs w:val="15"/>
                <w:color w:val="auto"/>
              </w:rPr>
            </w:pPr>
          </w:p>
        </w:tc>
        <w:tc>
          <w:tcPr>
            <w:tcW w:w="12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auto"/>
              </w:rPr>
              <w:t>9.5 %</w:t>
            </w:r>
          </w:p>
        </w:tc>
        <w:tc>
          <w:tcPr>
            <w:tcW w:w="1280" w:type="dxa"/>
            <w:vAlign w:val="bottom"/>
            <w:gridSpan w:val="2"/>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rPr>
              <w:t>12.5 %</w:t>
            </w:r>
          </w:p>
        </w:tc>
        <w:tc>
          <w:tcPr>
            <w:tcW w:w="220" w:type="dxa"/>
            <w:vAlign w:val="bottom"/>
          </w:tcPr>
          <w:p>
            <w:pPr>
              <w:jc w:val="right"/>
              <w:ind w:right="35"/>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5,337</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auto"/>
              </w:rPr>
              <w:t>11.2 %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Government Solutions</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103,660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66,947</w:t>
            </w:r>
          </w:p>
        </w:tc>
        <w:tc>
          <w:tcPr>
            <w:tcW w:w="2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18.7 %</w:t>
            </w:r>
          </w:p>
        </w:tc>
        <w:tc>
          <w:tcPr>
            <w:tcW w:w="12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17.6 %</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36,713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54.8 %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Parking Solutions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2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74"/>
        </w:trPr>
        <w:tc>
          <w:tcPr>
            <w:tcW w:w="4280" w:type="dxa"/>
            <w:vAlign w:val="bottom"/>
            <w:gridSpan w:val="3"/>
          </w:tcPr>
          <w:p>
            <w:pPr>
              <w:ind w:left="20"/>
              <w:spacing w:after="0" w:line="174" w:lineRule="exact"/>
              <w:rPr>
                <w:sz w:val="20"/>
                <w:szCs w:val="20"/>
                <w:color w:val="auto"/>
              </w:rPr>
            </w:pPr>
            <w:r>
              <w:rPr>
                <w:rFonts w:ascii="Times New Roman" w:cs="Times New Roman" w:eastAsia="Times New Roman" w:hAnsi="Times New Roman"/>
                <w:sz w:val="17"/>
                <w:szCs w:val="17"/>
                <w:color w:val="auto"/>
              </w:rPr>
              <w:t>Total operating expenses before stock-based compensation</w:t>
            </w: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165,966</w:t>
            </w: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114,614</w:t>
            </w:r>
          </w:p>
        </w:tc>
        <w:tc>
          <w:tcPr>
            <w:tcW w:w="240" w:type="dxa"/>
            <w:vAlign w:val="bottom"/>
          </w:tcPr>
          <w:p>
            <w:pPr>
              <w:spacing w:after="0"/>
              <w:rPr>
                <w:sz w:val="15"/>
                <w:szCs w:val="15"/>
                <w:color w:val="auto"/>
              </w:rPr>
            </w:pPr>
          </w:p>
        </w:tc>
        <w:tc>
          <w:tcPr>
            <w:tcW w:w="10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29.9</w:t>
            </w:r>
          </w:p>
        </w:tc>
        <w:tc>
          <w:tcPr>
            <w:tcW w:w="22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w w:val="98"/>
              </w:rPr>
              <w:t>%</w:t>
            </w:r>
          </w:p>
        </w:tc>
        <w:tc>
          <w:tcPr>
            <w:tcW w:w="102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30.1</w:t>
            </w:r>
          </w:p>
        </w:tc>
        <w:tc>
          <w:tcPr>
            <w:tcW w:w="260" w:type="dxa"/>
            <w:vAlign w:val="bottom"/>
          </w:tcPr>
          <w:p>
            <w:pPr>
              <w:jc w:val="right"/>
              <w:ind w:right="15"/>
              <w:spacing w:after="0" w:line="174" w:lineRule="exact"/>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51,352</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7"/>
                <w:szCs w:val="17"/>
                <w:color w:val="auto"/>
              </w:rPr>
              <w:t>44.8 %</w:t>
            </w:r>
          </w:p>
        </w:tc>
        <w:tc>
          <w:tcPr>
            <w:tcW w:w="0" w:type="dxa"/>
            <w:vAlign w:val="bottom"/>
          </w:tcPr>
          <w:p>
            <w:pPr>
              <w:spacing w:after="0"/>
              <w:rPr>
                <w:sz w:val="1"/>
                <w:szCs w:val="1"/>
                <w:color w:val="auto"/>
              </w:rPr>
            </w:pPr>
          </w:p>
        </w:tc>
      </w:tr>
      <w:tr>
        <w:trPr>
          <w:trHeight w:val="224"/>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2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2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0.2 %</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0" w:type="dxa"/>
            <w:vAlign w:val="bottom"/>
          </w:tcPr>
          <w:p>
            <w:pPr>
              <w:spacing w:after="0"/>
              <w:rPr>
                <w:sz w:val="1"/>
                <w:szCs w:val="1"/>
                <w:color w:val="auto"/>
              </w:rPr>
            </w:pPr>
          </w:p>
        </w:tc>
      </w:tr>
      <w:tr>
        <w:trPr>
          <w:trHeight w:val="196"/>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166,795</w:t>
            </w:r>
          </w:p>
        </w:tc>
        <w:tc>
          <w:tcPr>
            <w:tcW w:w="2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115,235</w:t>
            </w:r>
          </w:p>
        </w:tc>
        <w:tc>
          <w:tcPr>
            <w:tcW w:w="24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51,560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44.7 %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289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40" w:right="299" w:bottom="1440" w:gutter="0" w:footer="0" w:header="0"/>
        </w:sectPr>
      </w:pPr>
    </w:p>
    <w:bookmarkStart w:id="41" w:name="page42"/>
    <w:bookmarkEnd w:id="41"/>
    <w:p>
      <w:pPr>
        <w:jc w:val="both"/>
        <w:ind w:right="100" w:firstLine="374"/>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$36.7 million to $122.9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2022 compared to $86.3 million for the same period in 2021. The increase is primarily due to increased wages and other general expenses due to the inclusion of Redflex for the full nine-month period in 2022 as compared to approximately one hundred days in the prior year and T2 Systems' operations included in the nine months ended September 30, 2022 with no comparable amounts in the prior year. In addition, we had overall increases of $8.9 million for professional services, $4.2 million for credit loss expense, and $3.3 million related to stock-based compensation expense compared to the prior year, which were partially offset by a $9.4 million decrease in certain transaction and transformation costs compared to 2021. Selling, general and administrative expenses as a percentage of total revenue decreased from 22.6% to 22.1% for the nine months ended September 30, 2021 and 2022, respectively. The following table presents selling, general and administrative expenses by segment:</w:t>
      </w:r>
    </w:p>
    <w:p>
      <w:pPr>
        <w:sectPr>
          <w:pgSz w:w="11900" w:h="16838" w:orient="portrait"/>
          <w:cols w:equalWidth="0" w:num="1">
            <w:col w:w="11340"/>
          </w:cols>
          <w:pgMar w:left="320" w:top="3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Commercial Services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Government Solutions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Parking Solutions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Corporate and other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selling, general and administrative expenses before stock-based compensation</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Stock-based compensation</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selling, general and administrative expenses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4"/>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4"/>
          </w:tcPr>
          <w:p>
            <w:pPr>
              <w:jc w:val="center"/>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7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900" w:type="dxa"/>
            <w:vAlign w:val="bottom"/>
            <w:tcBorders>
              <w:bottom w:val="single" w:sz="8" w:color="auto"/>
            </w:tcBorders>
            <w:gridSpan w:val="4"/>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40,980</w:t>
            </w:r>
          </w:p>
        </w:tc>
        <w:tc>
          <w:tcPr>
            <w:tcW w:w="4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30,449</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7.4 %</w:t>
            </w:r>
          </w:p>
        </w:tc>
        <w:tc>
          <w:tcPr>
            <w:tcW w:w="660" w:type="dxa"/>
            <w:vAlign w:val="bottom"/>
          </w:tcPr>
          <w:p>
            <w:pPr>
              <w:spacing w:after="0"/>
              <w:rPr>
                <w:sz w:val="24"/>
                <w:szCs w:val="24"/>
                <w:color w:val="auto"/>
              </w:rPr>
            </w:pPr>
          </w:p>
        </w:tc>
        <w:tc>
          <w:tcPr>
            <w:tcW w:w="820" w:type="dxa"/>
            <w:vAlign w:val="bottom"/>
            <w:gridSpan w:val="3"/>
          </w:tcPr>
          <w:p>
            <w:pPr>
              <w:jc w:val="right"/>
              <w:ind w:right="55"/>
              <w:spacing w:after="0"/>
              <w:rPr>
                <w:sz w:val="20"/>
                <w:szCs w:val="20"/>
                <w:color w:val="auto"/>
              </w:rPr>
            </w:pPr>
            <w:r>
              <w:rPr>
                <w:rFonts w:ascii="Times New Roman" w:cs="Times New Roman" w:eastAsia="Times New Roman" w:hAnsi="Times New Roman"/>
                <w:sz w:val="17"/>
                <w:szCs w:val="17"/>
                <w:color w:val="auto"/>
              </w:rPr>
              <w:t>8.0 % $</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10,531</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34.6 %</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45,732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34,663</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6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31.9 %</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660" w:type="dxa"/>
            <w:vAlign w:val="bottom"/>
          </w:tcPr>
          <w:p>
            <w:pPr>
              <w:spacing w:after="0"/>
              <w:rPr>
                <w:sz w:val="17"/>
                <w:szCs w:val="17"/>
                <w:color w:val="auto"/>
              </w:rPr>
            </w:pPr>
          </w:p>
        </w:tc>
        <w:tc>
          <w:tcPr>
            <w:tcW w:w="820" w:type="dxa"/>
            <w:vAlign w:val="bottom"/>
            <w:gridSpan w:val="3"/>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21,184</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11,577</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6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(9,387 )</w:t>
            </w:r>
          </w:p>
        </w:tc>
        <w:tc>
          <w:tcPr>
            <w:tcW w:w="4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(81.1 )%</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110,086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76,689</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19.8 %</w:t>
            </w:r>
          </w:p>
        </w:tc>
        <w:tc>
          <w:tcPr>
            <w:tcW w:w="6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20.1 %</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33,397</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43.5 %</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9,563</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6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34.1 %</w:t>
            </w:r>
          </w:p>
        </w:tc>
        <w:tc>
          <w:tcPr>
            <w:tcW w:w="0" w:type="dxa"/>
            <w:vAlign w:val="bottom"/>
          </w:tcPr>
          <w:p>
            <w:pPr>
              <w:spacing w:after="0"/>
              <w:rPr>
                <w:sz w:val="1"/>
                <w:szCs w:val="1"/>
                <w:color w:val="auto"/>
              </w:rPr>
            </w:pPr>
          </w:p>
        </w:tc>
      </w:tr>
      <w:tr>
        <w:trPr>
          <w:trHeight w:val="196"/>
        </w:trPr>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122,913</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86,252</w:t>
            </w:r>
          </w:p>
        </w:tc>
        <w:tc>
          <w:tcPr>
            <w:tcW w:w="240" w:type="dxa"/>
            <w:vAlign w:val="bottom"/>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98"/>
              </w:rPr>
              <w:t>%</w:t>
            </w:r>
          </w:p>
        </w:tc>
        <w:tc>
          <w:tcPr>
            <w:tcW w:w="6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98"/>
              </w:rPr>
              <w:t>%</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36,661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42.5 %</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-1191260</wp:posOffset>
            </wp:positionV>
            <wp:extent cx="7132320" cy="1289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-934085</wp:posOffset>
            </wp:positionV>
            <wp:extent cx="7132320" cy="1289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-676910</wp:posOffset>
            </wp:positionV>
            <wp:extent cx="7132320" cy="677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677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400"/>
            <w:col w:w="7040"/>
          </w:cols>
          <w:pgMar w:left="320" w:top="362" w:right="239" w:bottom="1440" w:gutter="0" w:footer="0" w:header="0"/>
          <w:type w:val="continuous"/>
        </w:sectPr>
      </w:pPr>
    </w:p>
    <w:p>
      <w:pPr>
        <w:spacing w:after="0" w:line="23" w:lineRule="exact"/>
        <w:rPr>
          <w:sz w:val="20"/>
          <w:szCs w:val="20"/>
          <w:color w:val="auto"/>
        </w:rPr>
      </w:pPr>
    </w:p>
    <w:p>
      <w:pPr>
        <w:jc w:val="both"/>
        <w:ind w:right="100"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$21.1 million to $105.9 million for the nine months ended September 30, 2022 from $84.8 million for the same period in 2021. This was mainly due to increased amortization and depreciation expense from the inclusion of T2 Systems' operations with no comparable amounts in the prior year and Redflex for the full nine-month period in 2022 compared to approximately one hundred days in 2021.</w:t>
      </w:r>
    </w:p>
    <w:p>
      <w:pPr>
        <w:spacing w:after="0" w:line="174" w:lineRule="exact"/>
        <w:rPr>
          <w:sz w:val="20"/>
          <w:szCs w:val="20"/>
          <w:color w:val="auto"/>
        </w:rPr>
      </w:pPr>
    </w:p>
    <w:p>
      <w:pPr>
        <w:jc w:val="both"/>
        <w:ind w:right="100" w:firstLine="374"/>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increased by $16.5 million from $32.5 million for the nine months ended September 30, 2021 to $49.0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in 2022. This increase is primarily attributable to $1.24 billion in average outstanding debt during the nine months ended September 30, 2022 which included the $250 million of incremental term loan borrowing, compared to $958 million in average outstanding debt for the same period in 2021. In addition, the 2022 period included a higher interest rate on our variable debt for three months out of the nine-month period.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right="100"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We recorded a $5.1 million gain for the nine months ended September 30, 2022 and a $5.1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loss for the nine months ended September 30, 2021, related to the changes in fair value of our Private Placement Warrants which are accounted for as liabilities on our condensed consolidated balance sheets. The change in fair value is the result of re-measurement of the liability at the end of each reporting period.</w:t>
      </w:r>
    </w:p>
    <w:p>
      <w:pPr>
        <w:spacing w:after="0" w:line="174" w:lineRule="exact"/>
        <w:rPr>
          <w:sz w:val="20"/>
          <w:szCs w:val="20"/>
          <w:color w:val="auto"/>
        </w:rPr>
      </w:pPr>
    </w:p>
    <w:p>
      <w:pPr>
        <w:jc w:val="both"/>
        <w:ind w:right="100"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Tax Receivable Agreement Liability Adjustment</w:t>
      </w:r>
      <w:r>
        <w:rPr>
          <w:rFonts w:ascii="Times New Roman" w:cs="Times New Roman" w:eastAsia="Times New Roman" w:hAnsi="Times New Roman"/>
          <w:sz w:val="18"/>
          <w:szCs w:val="18"/>
          <w:color w:val="auto"/>
        </w:rPr>
        <w:t>. We recorded a $1.0 million benefit and a $1.7 million charge for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2022 and 2021, respectively. The TRA liability adjustment in 2022 is arising from lower estimated state tax rates due to changes in apportionment, whereas in 2021 it was arising from higher estimated state tax rates due to changes in statutory rates.</w:t>
      </w:r>
    </w:p>
    <w:p>
      <w:pPr>
        <w:spacing w:after="0" w:line="188" w:lineRule="exact"/>
        <w:rPr>
          <w:sz w:val="20"/>
          <w:szCs w:val="20"/>
          <w:color w:val="auto"/>
        </w:rPr>
      </w:pPr>
    </w:p>
    <w:p>
      <w:pPr>
        <w:jc w:val="both"/>
        <w:ind w:right="100"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(Gain) Loss on Extinguishment of Debt</w:t>
      </w:r>
      <w:r>
        <w:rPr>
          <w:rFonts w:ascii="Times New Roman" w:cs="Times New Roman" w:eastAsia="Times New Roman" w:hAnsi="Times New Roman"/>
          <w:sz w:val="18"/>
          <w:szCs w:val="18"/>
          <w:color w:val="auto"/>
        </w:rPr>
        <w:t>. We recorded a $3.0 million gain on extinguishment of debt during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related to the forgiveness of the PPP loan, which is further discussed below. Loss on extinguishment of debt was $5.3 million for the nine months ended September 30, 2021 consisting of a $4.0 million write-off of pre-existing deferred financing costs and discounts and $1.3 million of lender and third-party costs associated with the issuance of the 2021 Term Loan, as discussed and defined below.</w:t>
      </w:r>
    </w:p>
    <w:p>
      <w:pPr>
        <w:spacing w:after="0" w:line="174" w:lineRule="exact"/>
        <w:rPr>
          <w:sz w:val="20"/>
          <w:szCs w:val="20"/>
          <w:color w:val="auto"/>
        </w:rPr>
      </w:pPr>
    </w:p>
    <w:p>
      <w:pPr>
        <w:jc w:val="both"/>
        <w:ind w:right="100"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approximately $9.4 million for the nine months ended September 30, 2022, compared to $9.3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2021. The slight increase is primarily due to income resulting from volume rebates earned from total spend on purchasing cards from increased tolling activity, especially in the RAC industry, offset mainly by an adjustment recognized for a previous acquisition subsequent to the measurement period.</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62" w:right="239" w:bottom="1440" w:gutter="0" w:footer="0" w:header="0"/>
          <w:type w:val="continuous"/>
        </w:sectPr>
      </w:pPr>
    </w:p>
    <w:bookmarkStart w:id="42" w:name="page43"/>
    <w:bookmarkEnd w:id="42"/>
    <w:p>
      <w:pPr>
        <w:jc w:val="both"/>
        <w:ind w:firstLine="37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$27.9 million representing an effective tax rate of 30.2%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$17.5 million representing an effective tax rate of 43.9% for the same period in 2021. The primary driver for the effective tax rate variance is the permanent differences related to the mark-to-market adjustment on the private placement warrants, the Redflex PPP loan forgiveness recorded as pre-tax income in 2022, and the increase in overall pre-tax income for 2022 compared to 2021, resulting in the Company’s permanent book and tax differences having a proportionately lesser impact on the effective tax rate for 2022.</w:t>
      </w:r>
    </w:p>
    <w:p>
      <w:pPr>
        <w:spacing w:after="0" w:line="173"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approximately $64.3 million for the nine months ended September 30, 2022, as compared to a net income of $22.4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2021. The increase in net income of $41.9 million was mainly due to increases in service revenue and product sales, and the other statement of operations activity discussed above.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principal sources of liquidity are cash flows from operations and the available borrowing under our Revolver (defined below).</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incurred significant long-term debt as a result of acquisitions completed in prior years.</w:t>
      </w:r>
    </w:p>
    <w:p>
      <w:pPr>
        <w:spacing w:after="0" w:line="212"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provided by operating activities and our ability to borrow under our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 on our Revolver, or equity financings, all of which may not be available to us on favorable terms or at all.</w:t>
      </w:r>
    </w:p>
    <w:p>
      <w:pPr>
        <w:spacing w:after="0" w:line="1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have the ability to borrow under our Revolver to meet obligations as they come due. As of September 30, 2022, we had $72.1 million available for borrowing, net of letters of credit, under our Revolver.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14"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On May 7, 2022, our Board of Directors authorized a share repurchase program for up to an aggregate amount of $125.0 million of our outstanding shares of Class A Common Stock over the next 12 months from time to time in open market transactions, ASRs or in privately negotiated transactions, each as permitted under applicable rules and regulations.</w:t>
      </w:r>
    </w:p>
    <w:p>
      <w:pPr>
        <w:spacing w:after="0" w:line="177"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color w:val="auto"/>
        </w:rPr>
        <w:t>On May 12, 2022, we paid $50.0 million, which represented the amount initially authorized for an ASR, and received an initial delivery of 2,739,726 shares of our Class A Common Stock in accordance with an ASR agreement with a third-party financial institution. The final settlement occurred on August 3, 2022, at which time, we received 445,086 additional shares calculated using a volume-weighted average price over the term of the ASR agreement. In addition, we paid $6.9 million and repurchased 445,791 shares through open market transactions during the nine months ended September 30, 2022. We discontinued open market repurchases during the third quarter of 2022 and our Board of Directors authorized an ASR for the remaining availability under the share repurchase program. On August 19, 2022, we paid $68.1 million for a second ASR, and received an initial delivery of 3,300,000 shares in accordance with an ASR agreement with a third-party financial institution. The final settlement is expected to occur during the fourth quarter of fiscal year 2022, at which time, a volume-weighted average price calculation over the term of the ASR agreement will be used to determine the final number and the average price of shares repurchased and retired. We paid a total of $125.0 million for share repurchases and $0.1 million for direct costs during the nine months ended September 30, 2022 using available cash on hand.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29% and 39% of total accounts receivable, net as of September 30,</w:t>
      </w:r>
    </w:p>
    <w:p>
      <w:pPr>
        <w:spacing w:after="0" w:line="6"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2022 and December 31, 2021, respectively. There is no material reserve related to NYCDOT open receivables as amounts are deemed collectible based on current conditions and expectations.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43" w:name="page44"/>
    <w:bookmarkEnd w:id="43"/>
    <w:p>
      <w:pPr>
        <w:ind w:left="380"/>
        <w:spacing w:after="0"/>
        <w:rPr>
          <w:sz w:val="20"/>
          <w:szCs w:val="20"/>
          <w:color w:val="auto"/>
        </w:rPr>
      </w:pPr>
      <w:r>
        <w:rPr>
          <w:rFonts w:ascii="Times New Roman" w:cs="Times New Roman" w:eastAsia="Times New Roman" w:hAnsi="Times New Roman"/>
          <w:sz w:val="18"/>
          <w:szCs w:val="18"/>
          <w:color w:val="auto"/>
        </w:rPr>
        <w:t>The following table sets forth certain captions indicated on our statements of cash flows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20" w:type="dxa"/>
            <w:vAlign w:val="bottom"/>
          </w:tcPr>
          <w:p>
            <w:pPr>
              <w:spacing w:after="0"/>
              <w:rPr>
                <w:sz w:val="13"/>
                <w:szCs w:val="13"/>
                <w:color w:val="auto"/>
              </w:rPr>
            </w:pPr>
          </w:p>
        </w:tc>
        <w:tc>
          <w:tcPr>
            <w:tcW w:w="77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shd w:val="clear" w:color="auto" w:fill="CFF0FC"/>
          </w:tcPr>
          <w:p>
            <w:pPr>
              <w:spacing w:after="0"/>
              <w:rPr>
                <w:sz w:val="17"/>
                <w:szCs w:val="17"/>
                <w:color w:val="auto"/>
              </w:rPr>
            </w:pPr>
          </w:p>
        </w:tc>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148,776</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129,284</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8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(36,434 )</w:t>
            </w:r>
          </w:p>
        </w:tc>
        <w:tc>
          <w:tcPr>
            <w:tcW w:w="38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(122,412 )</w:t>
            </w:r>
          </w:p>
        </w:tc>
      </w:tr>
      <w:tr>
        <w:trPr>
          <w:trHeight w:val="203"/>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(159,525 )</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5,335</w:t>
            </w:r>
          </w:p>
        </w:tc>
        <w:tc>
          <w:tcPr>
            <w:tcW w:w="100" w:type="dxa"/>
            <w:vAlign w:val="bottom"/>
            <w:shd w:val="clear" w:color="auto" w:fill="CFF0FC"/>
          </w:tcPr>
          <w:p>
            <w:pPr>
              <w:spacing w:after="0"/>
              <w:rPr>
                <w:sz w:val="17"/>
                <w:szCs w:val="17"/>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08"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Cash provided by operating activities increased by $19.5 million, from $129.3 million for the nine months ended September 30, 2021 to $148.8 million for the nine months ended September 30, 2022. Net income year over year increased by $41.9 million, from $22.4 million in 2021 to $64.3 million in 2022. The aggregate adjustments to reconcile net income to cash provided by operating activities remained relatively consistent year over year. The aggregate changes in operating assets and liabilities decreased by $21.4 million in 2022 primarily due to increased driver-billable accounts receivable balances in the Commercial Services business and the inclusion of accounts receivable balances in 2022 for the Parking Solutions business.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08"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Cash used in investing activities was $36.4 million and $122.4 million for the nine months ended September 30, 2022 and 2021, respectively. The cash used in 2022 was primarily related to purchases of installation and service parts and property and equipment. The cash used in 2021 was primarily related to VM Consolidated’s acquisition of 100% of the outstanding equity of Redflex at A$0.96 per share for total consideration of A$152.5 million, or approximately US$117.9 million.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 xml:space="preserve">Cash (used in) provided by financing activities was $(159.5) million and $5.3 million for the nine months ended September 30, 2022 and 2021, respectively. The cash used in 2022 was mainly due to the repurchases of 6.9 million shares of the Company’s Class A Common Stock for $125.1 million in the second and third quarters of 2022 (as discussed further in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repayment of $25.0 million of borrowing on the Revolver in January 2022 and the quarterly principal payments on the 2021 Term Loan.</w:t>
      </w:r>
    </w:p>
    <w:p>
      <w:pPr>
        <w:spacing w:after="0" w:line="69"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We had aggregate borrowings of $996.8 million during 2021 consisting of the 2021 Term Loan and Senior Notes and repayments of $882.9 million on outstanding debt related to the 2018 and 2021 Term Loans (defined below), and debt assumed as part of the Redflex acquisition that was subsequently paid. The 2018 Term Loan was fully repaid in March 2021. The aggregate borrowings net of the repayments along with existing cash on hand were used to fund the close of the Redflex acquisition in June 2021 and the share repurchase and retirement for $100 million in August 2021 (discussed above).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and Senior Notes</w:t>
      </w:r>
    </w:p>
    <w:p>
      <w:pPr>
        <w:spacing w:after="0" w:line="106"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In March 2021, VM Consolidated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$650.0 million, maturing on March 26, 2028, and an accordion feature providing for an additional $250.0 million of term loans, subject to satisfaction of certain requirements. In connection with the 2021 Term Loan, we had an offering discount cost of $3.3 million and $0.7 million of deferred financing costs, both of which were capitalized and are amortized over the remaining life of the 2021 Term Loan.</w:t>
      </w:r>
    </w:p>
    <w:p>
      <w:pPr>
        <w:spacing w:after="0" w:line="19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addition, 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due on April 15, 2029. In connection with the issuance of the Senior Notes, we incurred $5.7 million in lender and third-party costs, which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capitalized as deferred financing costs and are being amortized over the remaining life of the Senior Notes.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net proceeds from both the 2021 Term Loan and the Senior Notes were used in March 2021 to repay in full all outstanding debt which was represented by the First Lien Term Loan Credit Agreement (as amended, the “</w:t>
      </w:r>
      <w:r>
        <w:rPr>
          <w:rFonts w:ascii="Times New Roman" w:cs="Times New Roman" w:eastAsia="Times New Roman" w:hAnsi="Times New Roman"/>
          <w:sz w:val="18"/>
          <w:szCs w:val="18"/>
          <w:b w:val="1"/>
          <w:bCs w:val="1"/>
          <w:i w:val="1"/>
          <w:iCs w:val="1"/>
          <w:color w:val="auto"/>
        </w:rPr>
        <w:t>2018 Term Loan</w:t>
      </w:r>
      <w:r>
        <w:rPr>
          <w:rFonts w:ascii="Times New Roman" w:cs="Times New Roman" w:eastAsia="Times New Roman" w:hAnsi="Times New Roman"/>
          <w:sz w:val="18"/>
          <w:szCs w:val="18"/>
          <w:color w:val="auto"/>
        </w:rPr>
        <w:t>”) with a balance of $865.6 million.</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December 7, 2021, VM Consolidated entered into an agreement to exercise the accordion feature under the 2021 Term Loan, borrowing $250.0 million in incremental term loans (“</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The proceeds from the Incremental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 w:name="page45"/>
    <w:bookmarkEnd w:id="44"/>
    <w:p>
      <w:pPr>
        <w:jc w:val="both"/>
        <w:spacing w:after="0" w:line="250" w:lineRule="auto"/>
        <w:rPr>
          <w:sz w:val="20"/>
          <w:szCs w:val="20"/>
          <w:color w:val="auto"/>
        </w:rPr>
      </w:pPr>
      <w:r>
        <w:rPr>
          <w:rFonts w:ascii="Times New Roman" w:cs="Times New Roman" w:eastAsia="Times New Roman" w:hAnsi="Times New Roman"/>
          <w:sz w:val="18"/>
          <w:szCs w:val="18"/>
          <w:color w:val="auto"/>
        </w:rPr>
        <w:t>Term Loan were used, along with cash on hand, to fund the acquisition of T2 Systems, including repaying in full all outstanding debt for T2 Systems. In connection with the Incremental Term Loan, we had an offering discount cost of $1.3 million and $3.8 million of deferred financing costs, both of which were capitalized and are amortized over the remaining life of the 2021 Term Loan. The Incremental Term Loan accrued interest from the date of borrowing until December 31, 2021, at which time, it was combined with the 2021 Term Loan to be a single tranche of term loan borrowings. The total principal outstanding under the 2021 Term Loan, which includes the Incremental Term Loan, was $888.4 million at September 30, 2022.</w:t>
      </w:r>
    </w:p>
    <w:p>
      <w:pPr>
        <w:spacing w:after="0" w:line="17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2021 Term Loan is repayable at 1.0% per annum of the amount initially borrowed, paid in quarterly installments. It bears interest based, at our option, on either (1) LIBOR plus an applicable margin of 3.25% per annum, or (2) an alternate base rate plus an applicable margin of 2.25% per annum. As of September 30, 2022, the interest rate on the 2021 Term Loan was 6.1%.</w:t>
      </w:r>
    </w:p>
    <w:p>
      <w:pPr>
        <w:spacing w:after="0" w:line="169"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r>
      <w:tr>
        <w:trPr>
          <w:trHeight w:val="148"/>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r>
      <w:tr>
        <w:trPr>
          <w:trHeight w:val="200"/>
        </w:trPr>
        <w:tc>
          <w:tcPr>
            <w:tcW w:w="87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20" w:type="dxa"/>
            <w:vAlign w:val="bottom"/>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872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2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176"/>
        </w:trPr>
        <w:tc>
          <w:tcPr>
            <w:tcW w:w="3360" w:type="dxa"/>
            <w:vAlign w:val="bottom"/>
          </w:tcPr>
          <w:p>
            <w:pPr>
              <w:spacing w:after="0"/>
              <w:rPr>
                <w:sz w:val="15"/>
                <w:szCs w:val="15"/>
                <w:color w:val="auto"/>
              </w:rPr>
            </w:pPr>
          </w:p>
        </w:tc>
        <w:tc>
          <w:tcPr>
            <w:tcW w:w="5360" w:type="dxa"/>
            <w:vAlign w:val="bottom"/>
            <w:gridSpan w:val="4"/>
          </w:tcPr>
          <w:p>
            <w:pPr>
              <w:jc w:val="center"/>
              <w:ind w:right="3360"/>
              <w:spacing w:after="0" w:line="176" w:lineRule="exact"/>
              <w:rPr>
                <w:sz w:val="20"/>
                <w:szCs w:val="20"/>
                <w:color w:val="auto"/>
              </w:rPr>
            </w:pPr>
            <w:r>
              <w:rPr>
                <w:rFonts w:ascii="Times New Roman" w:cs="Times New Roman" w:eastAsia="Times New Roman" w:hAnsi="Times New Roman"/>
                <w:sz w:val="18"/>
                <w:szCs w:val="18"/>
                <w:color w:val="auto"/>
                <w:w w:val="99"/>
              </w:rPr>
              <w:t>&lt; 3.70:1.00 and &gt; 3.20:1.00</w:t>
            </w:r>
          </w:p>
        </w:tc>
        <w:tc>
          <w:tcPr>
            <w:tcW w:w="252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76"/>
        </w:trPr>
        <w:tc>
          <w:tcPr>
            <w:tcW w:w="8720" w:type="dxa"/>
            <w:vAlign w:val="bottom"/>
            <w:gridSpan w:val="5"/>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0%</w:t>
            </w: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r>
    </w:tbl>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On or after April 15, 2024, we may redeem all or a portion of the Senior Notes at the redemption prices set forth below in percentages by year, plus accrued and unpaid interest: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8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shd w:val="clear" w:color="auto" w:fill="CFF0FC"/>
          </w:tcPr>
          <w:p>
            <w:pPr>
              <w:spacing w:after="0"/>
              <w:rPr>
                <w:sz w:val="18"/>
                <w:szCs w:val="18"/>
                <w:color w:val="auto"/>
              </w:rPr>
            </w:pP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102.750%</w:t>
            </w:r>
          </w:p>
        </w:tc>
      </w:tr>
      <w:tr>
        <w:trPr>
          <w:trHeight w:val="216"/>
        </w:trPr>
        <w:tc>
          <w:tcPr>
            <w:tcW w:w="8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5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101.375%</w:t>
            </w:r>
          </w:p>
        </w:tc>
      </w:tr>
      <w:tr>
        <w:trPr>
          <w:trHeight w:val="216"/>
        </w:trPr>
        <w:tc>
          <w:tcPr>
            <w:tcW w:w="8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2026 and thereafter</w:t>
            </w:r>
          </w:p>
        </w:tc>
        <w:tc>
          <w:tcPr>
            <w:tcW w:w="2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we may redeem up to 40% of the Senior Notes before April 15, 2024, with the net cash proceeds from certain equity offerings.</w:t>
      </w:r>
    </w:p>
    <w:p>
      <w:pPr>
        <w:spacing w:after="0" w:line="225"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We evaluated the March 2021 refinancing transactions on a lender-by-lender basis and accounted for the portion of the transaction that did not meet the accounting criteria for debt extinguishment as a debt modification. Accordingly, we recognized a loss on extinguishment of debt of $5.3 million on the 2018 Term Loan during the nine months ended September 30, 2021 consisting of a $4.0 million write-off of pre-existing deferred financing costs and discounts and $1.3 million of lender and third-party costs associated with the issuance of the 2021 Term Loan.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PPP Loan</w:t>
      </w:r>
    </w:p>
    <w:p>
      <w:pPr>
        <w:spacing w:after="0" w:line="102"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During fiscal year 2020, Redflex received a $2.9 million loan from the U.S. Small Business Administration (“</w:t>
      </w:r>
      <w:r>
        <w:rPr>
          <w:rFonts w:ascii="Times New Roman" w:cs="Times New Roman" w:eastAsia="Times New Roman" w:hAnsi="Times New Roman"/>
          <w:sz w:val="18"/>
          <w:szCs w:val="18"/>
          <w:b w:val="1"/>
          <w:bCs w:val="1"/>
          <w:i w:val="1"/>
          <w:iCs w:val="1"/>
          <w:color w:val="auto"/>
        </w:rPr>
        <w:t>SBA</w:t>
      </w:r>
      <w:r>
        <w:rPr>
          <w:rFonts w:ascii="Times New Roman" w:cs="Times New Roman" w:eastAsia="Times New Roman" w:hAnsi="Times New Roman"/>
          <w:sz w:val="18"/>
          <w:szCs w:val="18"/>
          <w:color w:val="auto"/>
        </w:rPr>
        <w:t>”) as part of the Paycheck Protection Program (“</w:t>
      </w:r>
      <w:r>
        <w:rPr>
          <w:rFonts w:ascii="Times New Roman" w:cs="Times New Roman" w:eastAsia="Times New Roman" w:hAnsi="Times New Roman"/>
          <w:sz w:val="18"/>
          <w:szCs w:val="18"/>
          <w:b w:val="1"/>
          <w:bCs w:val="1"/>
          <w:i w:val="1"/>
          <w:iCs w:val="1"/>
          <w:color w:val="auto"/>
        </w:rPr>
        <w:t>PPP Loan</w:t>
      </w:r>
      <w:r>
        <w:rPr>
          <w:rFonts w:ascii="Times New Roman" w:cs="Times New Roman" w:eastAsia="Times New Roman" w:hAnsi="Times New Roman"/>
          <w:sz w:val="18"/>
          <w:szCs w:val="18"/>
          <w:color w:val="auto"/>
        </w:rPr>
        <w:t>”) to offset certain employment and other allowable costs incurred as a result of the COVID-19 pandemic. In early 2021, Redflex applied for forgiveness of this loan, and on September 23, 2022, we were notified by the SBA that the loan, together with accrued interest, had been fully forgiven under the provisions of the PPP Loan program. Accordingly, we recognized a $3.0 million gain on extinguishment of debt in the consolidated statement of operations for the three and nine months ended September 30,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102"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color w:val="auto"/>
        </w:rPr>
        <w:t>We have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 million available for loans and letters of credit. The Revolver matures on December 20,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our average availability to borrow under the commitment. At December 31, 2021, we had $25.0 million in outstanding borrowings on the Revolver, which was repaid in full in January 2022. At September 30, 2022, the availability to borrow was $72.1 million, net of $0.2 million 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outstanding letters of credit.</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we are also required to pay participation and fronting fees at 1.38% on $0.2 million of outstanding letters of credit as of September 30, 2022.</w:t>
      </w:r>
    </w:p>
    <w:p>
      <w:pPr>
        <w:spacing w:after="0" w:line="162"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our assets are pledged as collateral to secure our indebtedness under the 2021 Term Loan. At September 30, 2022, we were compliant with all debt covenants.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We recorded interest expense, including amortization of deferred financing costs and discounts, of $20.3 million and $11.6 million for the three months ended September 30, 2022 and 2021, respectively, and $49.0 million and $32.5 million for the nine months ended September 30, 2022 and 2021, respectively.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have any material off-balance sheet financing arrangements as of September 30, 2022.</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121"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Significant estimates and assumptions include those related to the fair values assigned to net assets acquired (including identifiable intangibles) in business combinations, revenue recognition, inventory valuation, allowance for credit losses, fair value of the private placement warrant liabilities, valuation allowance on deferred tax assets, impairment assessments of goodwill, intangible assets and other long-lived assets, asset retirement obligations, contingent consideration and the recognition and measurement of loss contingencies. Management believes that its estimates and assumptions are reasonable in the circumstances; however, actual results could differ materially from those estimates.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our 2021 Annual Report on Form 10-K for our critical accounting policies, estimates and judgments.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For a discussion of recent accounting pronouncements,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Part I, Item 1, Financial Statements.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are exposed to interest rate market risk due to the variable interest rate on the 2021 Term Loan described in Part I, Item 2. Management’s Discussion and Analysis of Financial Condition and Results of Operations—</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Interest rate risk represents our exposure to fluctuations in interest rates associated with the variable rate debt represented by the 2021 Term Loan, which has an outstanding balance of $888.4 million at September 30, 2022. The 2021 Term Loan bears interest based, at our option, on either (1) LIBOR plus an applicable margin of 3.25% per annum, or (2) an alternate base rate plus an applicable margin of 2.25% per annum. Based on the September 30, 2022 balance outstanding, each 1% movement in interest rates will result in an approximately $8.9 million change in annual interest expense.</w:t>
      </w:r>
    </w:p>
    <w:p>
      <w:pPr>
        <w:spacing w:after="0" w:line="17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not engaged in any hedging activities during the nine months ended September 30, 2022. We do not expect to engage in any hedging activities with respect to the market risk to which we are exposed.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0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6" w:name="page47"/>
    <w:bookmarkEnd w:id="46"/>
    <w:p>
      <w:pPr>
        <w:jc w:val="both"/>
        <w:spacing w:after="0" w:line="246" w:lineRule="auto"/>
        <w:rPr>
          <w:sz w:val="20"/>
          <w:szCs w:val="20"/>
          <w:color w:val="auto"/>
        </w:rPr>
      </w:pPr>
      <w:r>
        <w:rPr>
          <w:rFonts w:ascii="Times New Roman" w:cs="Times New Roman" w:eastAsia="Times New Roman" w:hAnsi="Times New Roman"/>
          <w:sz w:val="18"/>
          <w:szCs w:val="18"/>
          <w:color w:val="auto"/>
        </w:rPr>
        <w:t>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as of September 30, 2022 and, based on their evaluation, have concluded the controls and procedures were ineffective as the material weaknesses in internal control over financial reporting that were disclosed in our Annual Report on Form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 for the year ended December 31, 2021 were not yet remediated during the nine months ended September 30, 2022</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w:t>
      </w:r>
    </w:p>
    <w:p>
      <w:pPr>
        <w:spacing w:after="0" w:line="214"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As previously described in Part II, Item 9A. “Controls and Procedures” in our Annual Report on Form 10-K for the year ended December 31, 2021, management commenced implementation of remediation plans which are ongoing to address the material weaknesses mentioned above. The material weaknesses will not be considered remediated until the applicable controls operate for a sufficient period of time and management has concluded, through testing, that these controls are operating effectively. We continue to take steps to remediate the material weaknesses identified as of December 31, 2021. However, we will not be able to demonstrate that this material weakness has been fully remediated or that our controls are operating effectively, until we complete our remediation efforts and both we and our independent registered public accounting firm conduct a year-end assessment of our internal control over financial reporting for the fiscal year ended December 31, 2022, pursuant to Section 404 of the Sarbanes-Oxley Act of 2002. The following steps of the remediation plan are currently in process, and management may determine to enhance existing controls and/or implement additional controls as the implementation progresses:</w:t>
      </w:r>
    </w:p>
    <w:p>
      <w:pPr>
        <w:spacing w:after="0" w:line="79"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 controls to properly recognize revenue within our recent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sufficiency, experience, and training of our internal personnel and hire additional personnel.</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 controls to validate revenue and reporting data used in the preparation of our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0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or 15d-15(f) of the Exchange Act) that occurred during the quarter ended September 30, 2022 that have materially affected, or are reasonably likely to materially affect, the Company’s internal control over financial reporting.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4"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On November 2, 2020, PlusPass, Inc. (“</w:t>
      </w:r>
      <w:r>
        <w:rPr>
          <w:rFonts w:ascii="Times New Roman" w:cs="Times New Roman" w:eastAsia="Times New Roman" w:hAnsi="Times New Roman"/>
          <w:sz w:val="18"/>
          <w:szCs w:val="18"/>
          <w:b w:val="1"/>
          <w:bCs w:val="1"/>
          <w:i w:val="1"/>
          <w:iCs w:val="1"/>
          <w:color w:val="auto"/>
        </w:rPr>
        <w:t>PlusPass</w:t>
      </w:r>
      <w:r>
        <w:rPr>
          <w:rFonts w:ascii="Times New Roman" w:cs="Times New Roman" w:eastAsia="Times New Roman" w:hAnsi="Times New Roman"/>
          <w:sz w:val="18"/>
          <w:szCs w:val="18"/>
          <w:color w:val="auto"/>
        </w:rPr>
        <w:t>”) commenced an action in the United States District Court, Central District of California, against Verra Mobility, The Gores Group LLC, Platinum Equity LLC, and ATS Processing Services, Inc., alleging civil violations of federal antitrust statutes: Section 7 of the Clayton Antitrust Act of 1914 (the “</w:t>
      </w:r>
      <w:r>
        <w:rPr>
          <w:rFonts w:ascii="Times New Roman" w:cs="Times New Roman" w:eastAsia="Times New Roman" w:hAnsi="Times New Roman"/>
          <w:sz w:val="18"/>
          <w:szCs w:val="18"/>
          <w:b w:val="1"/>
          <w:bCs w:val="1"/>
          <w:i w:val="1"/>
          <w:iCs w:val="1"/>
          <w:color w:val="auto"/>
        </w:rPr>
        <w:t>Clayton Act</w:t>
      </w:r>
      <w:r>
        <w:rPr>
          <w:rFonts w:ascii="Times New Roman" w:cs="Times New Roman" w:eastAsia="Times New Roman" w:hAnsi="Times New Roman"/>
          <w:sz w:val="18"/>
          <w:szCs w:val="18"/>
          <w:color w:val="auto"/>
        </w:rPr>
        <w:t>”), and Sections 1 and 2 of the Sherman Act. On November 20, 2020, PlusPass filed a First Amended Complaint. On February 9, 2021, the defendants filed motions to dismiss, and PlusPass subsequently abandoned various theories and claims and dismissed The Gores Group LLC, Platinum Equity LLC, and ATS Processing Services, Inc. On April 27, 2021, PlusPass filed a Second Amended Complaint (“</w:t>
      </w:r>
      <w:r>
        <w:rPr>
          <w:rFonts w:ascii="Times New Roman" w:cs="Times New Roman" w:eastAsia="Times New Roman" w:hAnsi="Times New Roman"/>
          <w:sz w:val="18"/>
          <w:szCs w:val="18"/>
          <w:b w:val="1"/>
          <w:bCs w:val="1"/>
          <w:i w:val="1"/>
          <w:iCs w:val="1"/>
          <w:color w:val="auto"/>
        </w:rPr>
        <w:t>SAC</w:t>
      </w:r>
      <w:r>
        <w:rPr>
          <w:rFonts w:ascii="Times New Roman" w:cs="Times New Roman" w:eastAsia="Times New Roman" w:hAnsi="Times New Roman"/>
          <w:sz w:val="18"/>
          <w:szCs w:val="18"/>
          <w:color w:val="auto"/>
        </w:rPr>
        <w:t>”), alleging that Verra Mobility violated Section 7 of the Clayton Act through the merger of Highway Toll Administration, LLC (“</w:t>
      </w:r>
      <w:r>
        <w:rPr>
          <w:rFonts w:ascii="Times New Roman" w:cs="Times New Roman" w:eastAsia="Times New Roman" w:hAnsi="Times New Roman"/>
          <w:sz w:val="18"/>
          <w:szCs w:val="18"/>
          <w:b w:val="1"/>
          <w:bCs w:val="1"/>
          <w:i w:val="1"/>
          <w:iCs w:val="1"/>
          <w:color w:val="auto"/>
        </w:rPr>
        <w:t>HTA</w:t>
      </w:r>
      <w:r>
        <w:rPr>
          <w:rFonts w:ascii="Times New Roman" w:cs="Times New Roman" w:eastAsia="Times New Roman" w:hAnsi="Times New Roman"/>
          <w:sz w:val="18"/>
          <w:szCs w:val="18"/>
          <w:color w:val="auto"/>
        </w:rPr>
        <w:t>”) and American Traffic Solutions, Inc. (“</w:t>
      </w:r>
      <w:r>
        <w:rPr>
          <w:rFonts w:ascii="Times New Roman" w:cs="Times New Roman" w:eastAsia="Times New Roman" w:hAnsi="Times New Roman"/>
          <w:sz w:val="18"/>
          <w:szCs w:val="18"/>
          <w:b w:val="1"/>
          <w:bCs w:val="1"/>
          <w:i w:val="1"/>
          <w:iCs w:val="1"/>
          <w:color w:val="auto"/>
        </w:rPr>
        <w:t>ATS</w:t>
      </w:r>
      <w:r>
        <w:rPr>
          <w:rFonts w:ascii="Times New Roman" w:cs="Times New Roman" w:eastAsia="Times New Roman" w:hAnsi="Times New Roman"/>
          <w:sz w:val="18"/>
          <w:szCs w:val="18"/>
          <w:color w:val="auto"/>
        </w:rPr>
        <w:t>”) in 2018, and that Verra Mobility violated Sections 1 and 2 of the Sherman Antitrust Act of 1890 by using exclusive agreements in restraint of trade and other allegedly anticompetitive means to acquire and maintain monopoly power in the market for the administration of electronic toll payment collection for rental cars. PlusPass seeks injunctive relief, divestiture by Verra Mobility of HTA, damages in an amount to be determined, and attorneys’ fees and costs. On May 28, 2021, Verra Mobility filed a motion to dismiss the SAC in its entirety, which was denied in August 2021. Discovery is underway and trial has been set for September 2023. Verra Mobility believes that all of PlusPass' claims are without merit and will defend itself vigorously in this litigation.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08"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Part I, Item 1A. “Risk Factors” in our Annual Report on Form 10-K for the year ended December 31, 2021 includes a discussion of our risk factors. Other than the risk factor below, there have been no material changes from the risk factors described in our Annual Report on Form 10-K and subsequent Quarterly Reports on Form 10-Q. We may disclose changes to such risk factors or disclose additional risk factors from time to time in our future SEC filings.</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enhance long-term shareholder value. Stock repurchases could also increase the volatility of the trading price of our stock and could diminish our cash reserves.</w:t>
      </w:r>
    </w:p>
    <w:p>
      <w:pPr>
        <w:spacing w:after="0" w:line="63"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In May 2022, our Board of Directors authorized a share repurchase program for up to an aggregate amount of $125 million of our outstanding shares of Class A Common Stock. We subsequently paid $50.0 million in May 2022 to repurchase outstanding shares of our Class A Common Stock through an ASR, and received an initial delivery of 2,739,726 shares. The final settlement occurred in August 2022, at which time we received 445,086 additional shares. In addition, during the second and third quarters, we paid $6.9 million and repurchased 445,791 shares of our Class A Common Stock through open market transactions. During the third quarter of 2022, we discontinued open market repurchases and our Board of Directors authorized a second ASR for the remaining availability under the share repurchase program. In August 2022, we paid $68.1 million for the second ASR, and received an initial delivery of 3,300,000 shares of our Class A Common Stock. The final settlement is expected to occur during the fourth quarter of 2022, at which time, a volume-weighted average price calculation over the term of the ASR agreement will be used to determine the final number and the average price of shares repurchased and retired.</w:t>
      </w:r>
    </w:p>
    <w:p>
      <w:pPr>
        <w:spacing w:after="0" w:line="79"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The timing, price, and quantity of purchases under the program have been, and will continue to be, made at the discretion of our management based upon a variety of factors including share price, general and business market conditions, compliance with applicable laws and regulations, corporate and regulatory requirements, and alternative uses of capital. There is no guarantee as to the exact number of shares that we will repurchase and we cannot guarantee that the program will enhance long-term stockholder value. The share repurchase program could affect the trading price of our common stock and increase volatility. In addition, our repurchases under our share repurchase program have diminished, and could continue to diminish, our cash reserves.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w:t>
      </w:r>
    </w:p>
    <w:p>
      <w:pPr>
        <w:spacing w:after="0" w:line="106"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18"/>
          <w:szCs w:val="18"/>
          <w:color w:val="auto"/>
        </w:rPr>
        <w:t>In May 2022, our Board of Directors authorized a share repurchase program for up to an aggregate amount of $125.0 million of our outstanding shares of Class A common stock over a 12 month period in open market transactions, ASRs or in privately negotiated transactions, each as permitted under applicable rules and regulations, any of which may use pre-arranged trading plans that are designed to meet the requirements of Rule 10b5-1 of the Exchange Act.</w:t>
      </w:r>
    </w:p>
    <w:p>
      <w:pPr>
        <w:spacing w:after="0" w:line="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subsequently paid $50.0 million in May 2022 to repurchase outstanding shares of our Class A Common Stock through an ASR, and received an initial delivery of 2,739,726 shares. The final settlement occurred in August 2022, at which time we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8" w:name="page49"/>
    <w:bookmarkEnd w:id="48"/>
    <w:p>
      <w:pPr>
        <w:jc w:val="both"/>
        <w:spacing w:after="0" w:line="247" w:lineRule="auto"/>
        <w:rPr>
          <w:sz w:val="20"/>
          <w:szCs w:val="20"/>
          <w:color w:val="auto"/>
        </w:rPr>
      </w:pPr>
      <w:r>
        <w:rPr>
          <w:rFonts w:ascii="Times New Roman" w:cs="Times New Roman" w:eastAsia="Times New Roman" w:hAnsi="Times New Roman"/>
          <w:sz w:val="18"/>
          <w:szCs w:val="18"/>
          <w:color w:val="auto"/>
        </w:rPr>
        <w:t>received 445,086 additional shares. In addition, during the second and third quarters, we paid $6.9 million and repurchased 445,791 shares of our Class A Common Stock through open market transactions. During the third quarter of 2022, we discontinued open market repurchases and our Board of Directors authorized a second ASR for the remaining availability under the share repurchase program. In August 2022, we paid $68.1 million for the second ASR, and received an initial delivery of 3,300,000 shares of our Class A Common Stock. The final settlement is expected to occur during the fourth quarter of 2022, at which time, a volume-weighted average price calculation over the term of the ASR agreement will be used to determine the final number and the average price of shares repurchased and retired.</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details the purchases of the Company's Class A Common Stock during the three months ended September 30,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5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0" w:type="dxa"/>
            <w:vAlign w:val="bottom"/>
          </w:tcPr>
          <w:p>
            <w:pPr>
              <w:spacing w:after="0"/>
              <w:rPr>
                <w:sz w:val="13"/>
                <w:szCs w:val="13"/>
                <w:color w:val="auto"/>
              </w:rPr>
            </w:pP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 of Shares that May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380" w:type="dxa"/>
            <w:vAlign w:val="bottom"/>
            <w:vMerge w:val="restart"/>
          </w:tcPr>
          <w:p>
            <w:pPr>
              <w:ind w:left="100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0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00" w:type="dxa"/>
            <w:vAlign w:val="bottom"/>
            <w:vMerge w:val="restart"/>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Yet to be Purchased Under the Plans or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3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80" w:type="dxa"/>
            <w:vAlign w:val="bottom"/>
            <w:tcBorders>
              <w:bottom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 of July 1, 2022</w:t>
            </w: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69,790,032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6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109,638</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220" w:type="dxa"/>
            <w:vAlign w:val="bottom"/>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109,638</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68,069,870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 of July 31, 2022</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109,638</w:t>
            </w:r>
          </w:p>
        </w:tc>
        <w:tc>
          <w:tcPr>
            <w:tcW w:w="5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109,638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68,069,870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line="216" w:lineRule="exact"/>
              <w:rPr>
                <w:sz w:val="20"/>
                <w:szCs w:val="20"/>
                <w:color w:val="auto"/>
              </w:rPr>
            </w:pPr>
            <w:r>
              <w:rPr>
                <w:rFonts w:ascii="Times New Roman" w:cs="Times New Roman" w:eastAsia="Times New Roman" w:hAnsi="Times New Roman"/>
                <w:sz w:val="14"/>
                <w:szCs w:val="14"/>
                <w:color w:val="auto"/>
              </w:rPr>
              <w:t xml:space="preserve">Share repurchases - ASR </w:t>
            </w:r>
            <w:r>
              <w:rPr>
                <w:rFonts w:ascii="Times New Roman" w:cs="Times New Roman" w:eastAsia="Times New Roman" w:hAnsi="Times New Roman"/>
                <w:sz w:val="19"/>
                <w:szCs w:val="19"/>
                <w:color w:val="auto"/>
                <w:vertAlign w:val="superscript"/>
              </w:rPr>
              <w:t>(1)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3,745,086</w:t>
            </w:r>
          </w:p>
        </w:tc>
        <w:tc>
          <w:tcPr>
            <w:tcW w:w="5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3,745,086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6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August 31, 2022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3,854,724</w:t>
            </w:r>
          </w:p>
        </w:tc>
        <w:tc>
          <w:tcPr>
            <w:tcW w:w="5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3,854,724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6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September 30, 2022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3,854,724</w:t>
            </w:r>
          </w:p>
        </w:tc>
        <w:tc>
          <w:tcPr>
            <w:tcW w:w="5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3,854,724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-401955</wp:posOffset>
            </wp:positionV>
            <wp:extent cx="76835" cy="1454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-401955</wp:posOffset>
            </wp:positionV>
            <wp:extent cx="68580" cy="1454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-401955</wp:posOffset>
            </wp:positionV>
            <wp:extent cx="68580" cy="1454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1454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-127635</wp:posOffset>
            </wp:positionV>
            <wp:extent cx="76835" cy="1200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-127635</wp:posOffset>
            </wp:positionV>
            <wp:extent cx="68580" cy="1200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-127635</wp:posOffset>
            </wp:positionV>
            <wp:extent cx="68580" cy="1200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1200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51" w:lineRule="exact"/>
        <w:rPr>
          <w:sz w:val="20"/>
          <w:szCs w:val="20"/>
          <w:color w:val="auto"/>
        </w:rPr>
      </w:pPr>
    </w:p>
    <w:p>
      <w:pPr>
        <w:ind w:right="480" w:firstLine="8"/>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the settlement of the first ASR on August 3, 2022 for 445,086 additional shares and the initial delivery of 3,300,000 shares from the second ASR on August 19,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have any sales of unregistered equity securities during the three months ended September 30, 2022.</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18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4"/>
        </w:trPr>
        <w:tc>
          <w:tcPr>
            <w:tcW w:w="980" w:type="dxa"/>
            <w:vAlign w:val="bottom"/>
            <w:vMerge w:val="continue"/>
          </w:tcPr>
          <w:p>
            <w:pPr>
              <w:spacing w:after="0"/>
              <w:rPr>
                <w:sz w:val="11"/>
                <w:szCs w:val="11"/>
                <w:color w:val="auto"/>
              </w:rPr>
            </w:pPr>
          </w:p>
        </w:tc>
        <w:tc>
          <w:tcPr>
            <w:tcW w:w="4960" w:type="dxa"/>
            <w:vAlign w:val="bottom"/>
            <w:gridSpan w:val="6"/>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60" w:type="dxa"/>
            <w:vAlign w:val="bottom"/>
            <w:tcBorders>
              <w:bottom w:val="single" w:sz="8" w:color="auto"/>
            </w:tcBorders>
            <w:gridSpan w:val="6"/>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980" w:type="dxa"/>
            <w:vAlign w:val="bottom"/>
            <w:vMerge w:val="restart"/>
          </w:tcPr>
          <w:p>
            <w:pPr>
              <w:jc w:val="right"/>
              <w:ind w:right="659"/>
              <w:spacing w:after="0"/>
              <w:rPr>
                <w:sz w:val="20"/>
                <w:szCs w:val="20"/>
                <w:color w:val="auto"/>
              </w:rPr>
            </w:pPr>
            <w:r>
              <w:rPr>
                <w:rFonts w:ascii="Times New Roman" w:cs="Times New Roman" w:eastAsia="Times New Roman" w:hAnsi="Times New Roman"/>
                <w:sz w:val="18"/>
                <w:szCs w:val="18"/>
                <w:color w:val="auto"/>
                <w:w w:val="97"/>
              </w:rPr>
              <w:t>2.1</w:t>
            </w:r>
          </w:p>
        </w:tc>
        <w:tc>
          <w:tcPr>
            <w:tcW w:w="4960" w:type="dxa"/>
            <w:vAlign w:val="bottom"/>
            <w:gridSpan w:val="6"/>
          </w:tcPr>
          <w:p>
            <w:pPr>
              <w:spacing w:after="0" w:line="169"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Merger Agreement, dated as of June 21, 2018, by and among</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19"/>
              <w:spacing w:after="0" w:line="169" w:lineRule="exact"/>
              <w:rPr>
                <w:sz w:val="20"/>
                <w:szCs w:val="20"/>
                <w:color w:val="auto"/>
              </w:rPr>
            </w:pPr>
            <w:r>
              <w:rPr>
                <w:rFonts w:ascii="Times New Roman" w:cs="Times New Roman" w:eastAsia="Times New Roman" w:hAnsi="Times New Roman"/>
                <w:sz w:val="18"/>
                <w:szCs w:val="18"/>
                <w:color w:val="auto"/>
                <w:w w:val="99"/>
              </w:rPr>
              <w:t>001-37979</w:t>
            </w:r>
          </w:p>
        </w:tc>
        <w:tc>
          <w:tcPr>
            <w:tcW w:w="960" w:type="dxa"/>
            <w:vAlign w:val="bottom"/>
          </w:tcPr>
          <w:p>
            <w:pPr>
              <w:jc w:val="center"/>
              <w:ind w:right="76"/>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400" w:type="dxa"/>
            <w:vAlign w:val="bottom"/>
          </w:tcPr>
          <w:p>
            <w:pPr>
              <w:jc w:val="center"/>
              <w:ind w:right="76"/>
              <w:spacing w:after="0" w:line="169" w:lineRule="exact"/>
              <w:rPr>
                <w:sz w:val="20"/>
                <w:szCs w:val="20"/>
                <w:color w:val="auto"/>
              </w:rPr>
            </w:pPr>
            <w:r>
              <w:rPr>
                <w:rFonts w:ascii="Times New Roman" w:cs="Times New Roman" w:eastAsia="Times New Roman" w:hAnsi="Times New Roman"/>
                <w:sz w:val="18"/>
                <w:szCs w:val="18"/>
                <w:color w:val="auto"/>
                <w:w w:val="99"/>
              </w:rPr>
              <w:t>June 21, 2018</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80" w:type="dxa"/>
            <w:vAlign w:val="bottom"/>
            <w:vMerge w:val="continue"/>
          </w:tcPr>
          <w:p>
            <w:pPr>
              <w:spacing w:after="0"/>
              <w:rPr>
                <w:sz w:val="10"/>
                <w:szCs w:val="10"/>
                <w:color w:val="auto"/>
              </w:rPr>
            </w:pPr>
          </w:p>
        </w:tc>
        <w:tc>
          <w:tcPr>
            <w:tcW w:w="4960" w:type="dxa"/>
            <w:vAlign w:val="bottom"/>
            <w:gridSpan w:val="6"/>
            <w:vMerge w:val="restart"/>
          </w:tcPr>
          <w:p>
            <w:pPr>
              <w:spacing w:after="0" w:line="169"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Gores Holdings II, Inc., AM Merger Sub I, Inc., AM Merger Sub</w:t>
              </w:r>
            </w:hyperlink>
          </w:p>
        </w:tc>
        <w:tc>
          <w:tcPr>
            <w:tcW w:w="8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4960" w:type="dxa"/>
            <w:vAlign w:val="bottom"/>
            <w:gridSpan w:val="6"/>
            <w:vMerge w:val="continue"/>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00" w:type="dxa"/>
            <w:vAlign w:val="bottom"/>
            <w:gridSpan w:val="2"/>
          </w:tcPr>
          <w:p>
            <w:pPr>
              <w:spacing w:after="0" w:line="169"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II, LLC, Greenlight Holding II Corporation and PE Greenlight</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20" w:type="dxa"/>
            <w:vAlign w:val="bottom"/>
            <w:gridSpan w:val="3"/>
          </w:tcPr>
          <w:p>
            <w:pPr>
              <w:spacing w:after="0" w:line="169"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Holdings, LLC, in its capacity as the Stockholder Representative.</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97"/>
              </w:rPr>
              <w:t>2.2</w:t>
            </w:r>
          </w:p>
        </w:tc>
        <w:tc>
          <w:tcPr>
            <w:tcW w:w="4960" w:type="dxa"/>
            <w:vAlign w:val="bottom"/>
            <w:gridSpan w:val="6"/>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Amendment No. 1 to Agreement and Plan of Merger, dated as of</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19"/>
              <w:spacing w:after="0"/>
              <w:rPr>
                <w:sz w:val="20"/>
                <w:szCs w:val="20"/>
                <w:color w:val="auto"/>
              </w:rPr>
            </w:pPr>
            <w:r>
              <w:rPr>
                <w:rFonts w:ascii="Times New Roman" w:cs="Times New Roman" w:eastAsia="Times New Roman" w:hAnsi="Times New Roman"/>
                <w:sz w:val="18"/>
                <w:szCs w:val="18"/>
                <w:color w:val="auto"/>
                <w:w w:val="99"/>
              </w:rPr>
              <w:t>001-37979</w:t>
            </w:r>
          </w:p>
        </w:tc>
        <w:tc>
          <w:tcPr>
            <w:tcW w:w="96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rPr>
              <w:t>August 24, 2018</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40" w:type="dxa"/>
            <w:vAlign w:val="bottom"/>
            <w:gridSpan w:val="4"/>
          </w:tcPr>
          <w:p>
            <w:pPr>
              <w:spacing w:after="0" w:line="169"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August 23, 2018, by and among Gores Holdings II, Inc., AM</w:t>
              </w:r>
            </w:hyperlink>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60" w:type="dxa"/>
            <w:vAlign w:val="bottom"/>
            <w:gridSpan w:val="5"/>
          </w:tcPr>
          <w:p>
            <w:pPr>
              <w:spacing w:after="0" w:line="169"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Merger Sub I, Inc., AM Merger Sub II, LLC, Greenlight Holding</w:t>
              </w:r>
            </w:hyperlink>
          </w:p>
        </w:tc>
        <w:tc>
          <w:tcPr>
            <w:tcW w:w="1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60" w:right="5480" w:firstLine="6"/>
        <w:spacing w:after="0" w:line="234" w:lineRule="auto"/>
        <w:tabs>
          <w:tab w:leader="none" w:pos="1143" w:val="left"/>
        </w:tabs>
        <w:numPr>
          <w:ilvl w:val="0"/>
          <w:numId w:val="24"/>
        </w:numPr>
        <w:rPr>
          <w:rFonts w:ascii="Times New Roman" w:cs="Times New Roman" w:eastAsia="Times New Roman" w:hAnsi="Times New Roman"/>
          <w:sz w:val="18"/>
          <w:szCs w:val="18"/>
          <w:u w:val="single" w:color="auto"/>
          <w:color w:val="0000FF"/>
        </w:rPr>
      </w:pPr>
      <w:hyperlink r:id="rId358">
        <w:r>
          <w:rPr>
            <w:rFonts w:ascii="Times New Roman" w:cs="Times New Roman" w:eastAsia="Times New Roman" w:hAnsi="Times New Roman"/>
            <w:sz w:val="18"/>
            <w:szCs w:val="18"/>
            <w:u w:val="single" w:color="auto"/>
            <w:color w:val="0000FF"/>
          </w:rPr>
          <w:t>Corporation and PE Greenlight Holdings, LLC, in its capacity</w:t>
        </w:r>
      </w:hyperlink>
      <w:r>
        <w:rPr>
          <w:rFonts w:ascii="Times New Roman" w:cs="Times New Roman" w:eastAsia="Times New Roman" w:hAnsi="Times New Roman"/>
          <w:sz w:val="18"/>
          <w:szCs w:val="18"/>
          <w:u w:val="single" w:color="auto"/>
          <w:color w:val="0000FF"/>
        </w:rPr>
        <w:t xml:space="preserve"> </w:t>
      </w:r>
      <w:hyperlink r:id="rId358">
        <w:r>
          <w:rPr>
            <w:rFonts w:ascii="Times New Roman" w:cs="Times New Roman" w:eastAsia="Times New Roman" w:hAnsi="Times New Roman"/>
            <w:sz w:val="18"/>
            <w:szCs w:val="18"/>
            <w:u w:val="single" w:color="auto"/>
            <w:color w:val="0000FF"/>
          </w:rPr>
          <w:t>as the Stockholder Representative.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613410</wp:posOffset>
            </wp:positionH>
            <wp:positionV relativeFrom="paragraph">
              <wp:posOffset>-144145</wp:posOffset>
            </wp:positionV>
            <wp:extent cx="30441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304419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-24130</wp:posOffset>
            </wp:positionV>
            <wp:extent cx="15798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1579880" cy="8255"/>
                    </a:xfrm>
                    <a:prstGeom prst="rect">
                      <a:avLst/>
                    </a:prstGeom>
                    <a:noFill/>
                  </pic:spPr>
                </pic:pic>
              </a:graphicData>
            </a:graphic>
          </wp:anchor>
        </w:drawing>
      </w:r>
    </w:p>
    <w:p>
      <w:pPr>
        <w:spacing w:after="0" w:line="44"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4980" w:type="dxa"/>
            <w:vAlign w:val="bottom"/>
            <w:gridSpan w:val="18"/>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Second Amended and Restated Certificate of Incorporation of</w:t>
              </w:r>
            </w:hyperlink>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001-37979</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25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October 22, 2018</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40" w:type="dxa"/>
            <w:vAlign w:val="bottom"/>
            <w:gridSpan w:val="16"/>
          </w:tcPr>
          <w:p>
            <w:pPr>
              <w:spacing w:after="0" w:line="169"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Verra Mobility Corporation.</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980" w:type="dxa"/>
            <w:vAlign w:val="bottom"/>
            <w:gridSpan w:val="18"/>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Amended and Restated Bylaws of Verra Mobility Corporation.</w:t>
              </w:r>
            </w:hyperlink>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001-37979</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25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October 22, 2018</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4980" w:type="dxa"/>
            <w:vAlign w:val="bottom"/>
            <w:gridSpan w:val="18"/>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Specimen Class A Common Stock Certificate.</w:t>
              </w:r>
            </w:hyperlink>
          </w:p>
        </w:tc>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333-21503</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25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December 9, 2016</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4980" w:type="dxa"/>
            <w:vAlign w:val="bottom"/>
            <w:gridSpan w:val="18"/>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Specimen Warrant Certificate.</w:t>
              </w:r>
            </w:hyperlink>
          </w:p>
        </w:tc>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333-21503</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25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December 9, 2016</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1540" w:type="dxa"/>
            <w:vAlign w:val="bottom"/>
            <w:tcBorders>
              <w:left w:val="single" w:sz="8" w:color="0000FF"/>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4980" w:type="dxa"/>
            <w:vAlign w:val="bottom"/>
            <w:gridSpan w:val="18"/>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Warrant  Agreement,  dated  January  12,  2017,  between  the</w:t>
              </w:r>
            </w:hyperlink>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001-37979</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25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January 19, 2017</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20" w:type="dxa"/>
            <w:vAlign w:val="bottom"/>
            <w:gridSpan w:val="10"/>
          </w:tcPr>
          <w:p>
            <w:pPr>
              <w:spacing w:after="0" w:line="169"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Registrant and Continental Stock Transfer &amp; Trust Company, as</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60" w:type="dxa"/>
            <w:vAlign w:val="bottom"/>
            <w:gridSpan w:val="12"/>
          </w:tcPr>
          <w:p>
            <w:pPr>
              <w:spacing w:after="0" w:line="169"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warrant agent.</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4980" w:type="dxa"/>
            <w:vAlign w:val="bottom"/>
            <w:gridSpan w:val="18"/>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First Amendment to Warrant Agreement, dated January 15, 2020,</w:t>
              </w:r>
            </w:hyperlink>
          </w:p>
        </w:tc>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10-K</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001-37979</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25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March 2, 2020</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80" w:type="dxa"/>
            <w:vAlign w:val="bottom"/>
            <w:gridSpan w:val="13"/>
          </w:tcPr>
          <w:p>
            <w:pPr>
              <w:spacing w:after="0" w:line="169"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by and among the Registrant, Continental Stock Transfer &amp; Trust</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20" w:type="dxa"/>
            <w:vAlign w:val="bottom"/>
            <w:gridSpan w:val="15"/>
          </w:tcPr>
          <w:p>
            <w:pPr>
              <w:spacing w:after="0" w:line="169"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Company and American Stock Transfer &amp; Trust Company.</w:t>
              </w:r>
            </w:hyperlink>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Separation and Release Agreement, by and between Rebecca</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6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Collins and the Registrant, dated August 29, 2022.</w:t>
            </w:r>
          </w:p>
        </w:tc>
        <w:tc>
          <w:tcPr>
            <w:tcW w:w="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5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80" w:type="dxa"/>
            <w:vAlign w:val="bottom"/>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00" w:type="dxa"/>
            <w:vAlign w:val="bottom"/>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80" w:type="dxa"/>
            <w:vAlign w:val="bottom"/>
            <w:gridSpan w:val="4"/>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20" w:type="dxa"/>
            <w:vAlign w:val="bottom"/>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6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2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20" w:type="dxa"/>
            <w:vAlign w:val="bottom"/>
            <w:vMerge w:val="continue"/>
          </w:tcPr>
          <w:p>
            <w:pPr>
              <w:spacing w:after="0"/>
              <w:rPr>
                <w:sz w:val="14"/>
                <w:szCs w:val="14"/>
                <w:color w:val="auto"/>
              </w:rPr>
            </w:pPr>
          </w:p>
        </w:tc>
        <w:tc>
          <w:tcPr>
            <w:tcW w:w="140" w:type="dxa"/>
            <w:vAlign w:val="bottom"/>
            <w:gridSpan w:val="7"/>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00" w:type="dxa"/>
            <w:vAlign w:val="bottom"/>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80" w:type="dxa"/>
            <w:vAlign w:val="bottom"/>
            <w:gridSpan w:val="4"/>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920" w:type="dxa"/>
            <w:vAlign w:val="bottom"/>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6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270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0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40" w:type="dxa"/>
            <w:vAlign w:val="bottom"/>
            <w:gridSpan w:val="2"/>
            <w:vMerge w:val="continue"/>
          </w:tcPr>
          <w:p>
            <w:pPr>
              <w:spacing w:after="0"/>
              <w:rPr>
                <w:sz w:val="14"/>
                <w:szCs w:val="14"/>
                <w:color w:val="auto"/>
              </w:rPr>
            </w:pPr>
          </w:p>
        </w:tc>
        <w:tc>
          <w:tcPr>
            <w:tcW w:w="140" w:type="dxa"/>
            <w:vAlign w:val="bottom"/>
            <w:gridSpan w:val="7"/>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274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40" w:type="dxa"/>
            <w:vAlign w:val="bottom"/>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40" w:type="dxa"/>
            <w:vAlign w:val="bottom"/>
            <w:gridSpan w:val="7"/>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4"/>
            <w:shd w:val="clear" w:color="auto" w:fill="0000FF"/>
          </w:tcPr>
          <w:p>
            <w:pPr>
              <w:spacing w:after="0" w:line="20" w:lineRule="exact"/>
              <w:rPr>
                <w:sz w:val="1"/>
                <w:szCs w:val="1"/>
                <w:color w:val="auto"/>
              </w:rPr>
            </w:pPr>
          </w:p>
        </w:tc>
        <w:tc>
          <w:tcPr>
            <w:tcW w:w="288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9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860" w:type="dxa"/>
            <w:vAlign w:val="bottom"/>
            <w:gridSpan w:val="12"/>
            <w:shd w:val="clear" w:color="auto" w:fill="0000FF"/>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6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120" w:type="dxa"/>
            <w:vAlign w:val="bottom"/>
            <w:gridSpan w:val="6"/>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4840" w:type="dxa"/>
            <w:vAlign w:val="bottom"/>
            <w:gridSpan w:val="11"/>
            <w:shd w:val="clear" w:color="auto" w:fill="0000FF"/>
          </w:tcPr>
          <w:p>
            <w:pPr>
              <w:spacing w:after="0" w:line="20" w:lineRule="exact"/>
              <w:rPr>
                <w:sz w:val="1"/>
                <w:szCs w:val="1"/>
                <w:color w:val="auto"/>
              </w:rPr>
            </w:pPr>
          </w:p>
        </w:tc>
        <w:tc>
          <w:tcPr>
            <w:tcW w:w="140" w:type="dxa"/>
            <w:vAlign w:val="bottom"/>
            <w:gridSpan w:val="7"/>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4840" w:type="dxa"/>
            <w:vAlign w:val="bottom"/>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40" w:type="dxa"/>
            <w:vAlign w:val="bottom"/>
            <w:gridSpan w:val="7"/>
            <w:vMerge w:val="continue"/>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3"/>
        </w:trPr>
        <w:tc>
          <w:tcPr>
            <w:tcW w:w="980" w:type="dxa"/>
            <w:vAlign w:val="bottom"/>
          </w:tcPr>
          <w:p>
            <w:pPr>
              <w:spacing w:after="0"/>
              <w:rPr>
                <w:sz w:val="24"/>
                <w:szCs w:val="24"/>
                <w:color w:val="auto"/>
              </w:rPr>
            </w:pPr>
          </w:p>
        </w:tc>
        <w:tc>
          <w:tcPr>
            <w:tcW w:w="2100" w:type="dxa"/>
            <w:vAlign w:val="bottom"/>
            <w:tcBorders>
              <w:top w:val="single" w:sz="8" w:color="0000FF"/>
            </w:tcBorders>
            <w:gridSpan w:val="4"/>
          </w:tcPr>
          <w:p>
            <w:pPr>
              <w:spacing w:after="0"/>
              <w:rPr>
                <w:sz w:val="24"/>
                <w:szCs w:val="24"/>
                <w:color w:val="auto"/>
              </w:rPr>
            </w:pPr>
          </w:p>
        </w:tc>
        <w:tc>
          <w:tcPr>
            <w:tcW w:w="27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Instance Document (the instance does not appear in</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189"/>
        </w:trPr>
        <w:tc>
          <w:tcPr>
            <w:tcW w:w="820" w:type="dxa"/>
            <w:vAlign w:val="bottom"/>
          </w:tcPr>
          <w:p>
            <w:pPr>
              <w:spacing w:after="0"/>
              <w:rPr>
                <w:sz w:val="16"/>
                <w:szCs w:val="16"/>
                <w:color w:val="auto"/>
              </w:rPr>
            </w:pPr>
          </w:p>
        </w:tc>
        <w:tc>
          <w:tcPr>
            <w:tcW w:w="74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w:t>
            </w:r>
          </w:p>
        </w:tc>
        <w:tc>
          <w:tcPr>
            <w:tcW w:w="2640" w:type="dxa"/>
            <w:vAlign w:val="bottom"/>
          </w:tcPr>
          <w:p>
            <w:pPr>
              <w:spacing w:after="0"/>
              <w:rPr>
                <w:sz w:val="16"/>
                <w:szCs w:val="16"/>
                <w:color w:val="auto"/>
              </w:rPr>
            </w:pPr>
          </w:p>
        </w:tc>
      </w:tr>
      <w:tr>
        <w:trPr>
          <w:trHeight w:val="234"/>
        </w:trPr>
        <w:tc>
          <w:tcPr>
            <w:tcW w:w="820" w:type="dxa"/>
            <w:vAlign w:val="bottom"/>
          </w:tcPr>
          <w:p>
            <w:pPr>
              <w:spacing w:after="0"/>
              <w:rPr>
                <w:sz w:val="20"/>
                <w:szCs w:val="20"/>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2640" w:type="dxa"/>
            <w:vAlign w:val="bottom"/>
          </w:tcPr>
          <w:p>
            <w:pPr>
              <w:spacing w:after="0"/>
              <w:rPr>
                <w:sz w:val="20"/>
                <w:szCs w:val="20"/>
                <w:color w:val="auto"/>
              </w:rPr>
            </w:pPr>
          </w:p>
        </w:tc>
      </w:tr>
      <w:tr>
        <w:trPr>
          <w:trHeight w:val="31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26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20" w:type="dxa"/>
            <w:vAlign w:val="bottom"/>
          </w:tcPr>
          <w:p>
            <w:pPr>
              <w:spacing w:after="0"/>
              <w:rPr>
                <w:sz w:val="20"/>
                <w:szCs w:val="20"/>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640" w:type="dxa"/>
            <w:vAlign w:val="bottom"/>
          </w:tcPr>
          <w:p>
            <w:pPr>
              <w:spacing w:after="0"/>
              <w:rPr>
                <w:sz w:val="20"/>
                <w:szCs w:val="20"/>
                <w:color w:val="auto"/>
              </w:rPr>
            </w:pPr>
          </w:p>
        </w:tc>
      </w:tr>
      <w:tr>
        <w:trPr>
          <w:trHeight w:val="26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20" w:type="dxa"/>
            <w:vAlign w:val="bottom"/>
          </w:tcPr>
          <w:p>
            <w:pPr>
              <w:spacing w:after="0"/>
              <w:rPr>
                <w:sz w:val="20"/>
                <w:szCs w:val="20"/>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640" w:type="dxa"/>
            <w:vAlign w:val="bottom"/>
          </w:tcPr>
          <w:p>
            <w:pPr>
              <w:spacing w:after="0"/>
              <w:rPr>
                <w:sz w:val="20"/>
                <w:szCs w:val="20"/>
                <w:color w:val="auto"/>
              </w:rPr>
            </w:pPr>
          </w:p>
        </w:tc>
      </w:tr>
      <w:tr>
        <w:trPr>
          <w:trHeight w:val="31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26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20" w:type="dxa"/>
            <w:vAlign w:val="bottom"/>
          </w:tcPr>
          <w:p>
            <w:pPr>
              <w:spacing w:after="0"/>
              <w:rPr>
                <w:sz w:val="20"/>
                <w:szCs w:val="20"/>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640" w:type="dxa"/>
            <w:vAlign w:val="bottom"/>
          </w:tcPr>
          <w:p>
            <w:pPr>
              <w:spacing w:after="0"/>
              <w:rPr>
                <w:sz w:val="20"/>
                <w:szCs w:val="20"/>
                <w:color w:val="auto"/>
              </w:rPr>
            </w:pPr>
          </w:p>
        </w:tc>
      </w:tr>
      <w:tr>
        <w:trPr>
          <w:trHeight w:val="26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264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20" w:type="dxa"/>
            <w:vAlign w:val="bottom"/>
          </w:tcPr>
          <w:p>
            <w:pPr>
              <w:spacing w:after="0"/>
              <w:rPr>
                <w:sz w:val="20"/>
                <w:szCs w:val="20"/>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document)</w:t>
            </w:r>
          </w:p>
        </w:tc>
        <w:tc>
          <w:tcPr>
            <w:tcW w:w="2640" w:type="dxa"/>
            <w:vAlign w:val="bottom"/>
          </w:tcPr>
          <w:p>
            <w:pPr>
              <w:spacing w:after="0"/>
              <w:rPr>
                <w:sz w:val="20"/>
                <w:szCs w:val="20"/>
                <w:color w:val="auto"/>
              </w:rPr>
            </w:pPr>
          </w:p>
        </w:tc>
      </w:tr>
    </w:tbl>
    <w:p>
      <w:pPr>
        <w:spacing w:after="0" w:line="117" w:lineRule="exact"/>
        <w:rPr>
          <w:sz w:val="20"/>
          <w:szCs w:val="20"/>
          <w:color w:val="auto"/>
        </w:rPr>
      </w:pPr>
    </w:p>
    <w:p>
      <w:pPr>
        <w:ind w:firstLine="1"/>
        <w:spacing w:after="0" w:line="250" w:lineRule="auto"/>
        <w:tabs>
          <w:tab w:leader="none" w:pos="2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06" w:right="3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VERRA MOBILITY CORPORATION</w:t>
      </w:r>
    </w:p>
    <w:p>
      <w:pPr>
        <w:spacing w:after="0" w:line="239" w:lineRule="exact"/>
        <w:rPr>
          <w:sz w:val="20"/>
          <w:szCs w:val="20"/>
          <w:color w:val="auto"/>
        </w:rPr>
      </w:pPr>
    </w:p>
    <w:p>
      <w:pPr>
        <w:ind w:left="20"/>
        <w:spacing w:after="0"/>
        <w:tabs>
          <w:tab w:leader="none" w:pos="5780" w:val="left"/>
          <w:tab w:leader="none" w:pos="6240" w:val="left"/>
        </w:tabs>
        <w:rPr>
          <w:sz w:val="20"/>
          <w:szCs w:val="20"/>
          <w:color w:val="auto"/>
        </w:rPr>
      </w:pPr>
      <w:r>
        <w:rPr>
          <w:rFonts w:ascii="Times New Roman" w:cs="Times New Roman" w:eastAsia="Times New Roman" w:hAnsi="Times New Roman"/>
          <w:sz w:val="18"/>
          <w:szCs w:val="18"/>
          <w:color w:val="auto"/>
        </w:rPr>
        <w:t>Date: November 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1718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David Roberts</w:t>
      </w:r>
    </w:p>
    <w:p>
      <w:pPr>
        <w:spacing w:after="0" w:line="2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SEPARATION AND RELEASE AGREEMENT</w:t>
      </w:r>
    </w:p>
    <w:p>
      <w:pPr>
        <w:spacing w:after="0" w:line="20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This Separation and Release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between Rebecca Collins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Verra Mobility Corporation. (“</w:t>
      </w:r>
      <w:r>
        <w:rPr>
          <w:rFonts w:ascii="Times New Roman" w:cs="Times New Roman" w:eastAsia="Times New Roman" w:hAnsi="Times New Roman"/>
          <w:sz w:val="18"/>
          <w:szCs w:val="18"/>
          <w:u w:val="single" w:color="auto"/>
          <w:color w:val="auto"/>
        </w:rPr>
        <w:t>Verra Mobility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Executive,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to set forth the Parties’ agreement concerning the terms and conditions that will govern the termination of the employment relationship between Executive and the Company.</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Executive serves as the Company’s General Counsel pursuant to that certain Amended and Restated Executive Employment Agreement Effective as of March 25, 2021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Executive has notified the Company of her intent to resign from her position as General Counsel;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the Company and Executive desire to enter into certain mutual agreements regarding the terms under which Executive’s separation from the Company will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hereto, intending to be legally bound, hereby agree as follows:</w:t>
      </w:r>
    </w:p>
    <w:p>
      <w:pPr>
        <w:spacing w:after="0" w:line="212" w:lineRule="exact"/>
        <w:rPr>
          <w:sz w:val="20"/>
          <w:szCs w:val="20"/>
          <w:color w:val="auto"/>
        </w:rPr>
      </w:pPr>
    </w:p>
    <w:p>
      <w:pPr>
        <w:jc w:val="both"/>
        <w:ind w:firstLine="368"/>
        <w:spacing w:after="0" w:line="243" w:lineRule="auto"/>
        <w:tabs>
          <w:tab w:leader="none" w:pos="7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Executive’s last day of work as the Company’s General Counsel shall be September 16, 2022 (the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Executive agrees that, in addition to resigning as the Company’s General Counsel as of the Separation Date, she will resign from all other Company director, officer and other official positions on the date on which replacements are appointed by the Company, which shall be no later than the Separation Date. Executive agrees to execute any documents reasonably required by the Company, and/or its subsidiaries and affiliates, to affect such resignations. After the Separation Date, Executive will not represent herself as being an employee, officer, attorney, agent, or representative of the Company for any purpose. Except as otherwise set forth in this Agreement, the Separation Date will be the employment termination date for the Executive for all purposes, meaning that Executive is not entitled to any further compensation, monies, or other benefits from the Company, including coverage under any benefit plans or programs sponsored by the Company, as of the Separation Date.</w:t>
      </w:r>
    </w:p>
    <w:p>
      <w:pPr>
        <w:spacing w:after="0" w:line="186" w:lineRule="exact"/>
        <w:rPr>
          <w:sz w:val="20"/>
          <w:szCs w:val="20"/>
          <w:color w:val="auto"/>
        </w:rPr>
      </w:pPr>
    </w:p>
    <w:p>
      <w:pPr>
        <w:ind w:left="1480" w:hanging="363"/>
        <w:spacing w:after="0"/>
        <w:tabs>
          <w:tab w:leader="none" w:pos="1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 Expenses, and Benefits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Salary and Expenses</w:t>
      </w:r>
      <w:r>
        <w:rPr>
          <w:rFonts w:ascii="Times New Roman" w:cs="Times New Roman" w:eastAsia="Times New Roman" w:hAnsi="Times New Roman"/>
          <w:sz w:val="18"/>
          <w:szCs w:val="18"/>
          <w:color w:val="auto"/>
        </w:rPr>
        <w:t>. The Company will pay Executive at her current salary through the Separation Date in accordance with the Company’s standard payroll practices. Executive will be reimbursed for any unreimbursed business expenses incurred prior to the Separation Date pursuant to Company policy. Reimbursement requests must be submitted before the Separation Date.</w:t>
      </w:r>
    </w:p>
    <w:p>
      <w:pPr>
        <w:spacing w:after="0" w:line="167"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i w:val="1"/>
          <w:iCs w:val="1"/>
          <w:color w:val="auto"/>
        </w:rPr>
        <w:t>Benefit Plans and Programs</w:t>
      </w:r>
      <w:r>
        <w:rPr>
          <w:rFonts w:ascii="Times New Roman" w:cs="Times New Roman" w:eastAsia="Times New Roman" w:hAnsi="Times New Roman"/>
          <w:sz w:val="18"/>
          <w:szCs w:val="18"/>
          <w:color w:val="auto"/>
        </w:rPr>
        <w:t>. As of the Separation Date, Executive will cease to earn, accrue, or be eligible for benefits, coverage, or perquisites under the benefit plans and programs provided to employees of the Company, with the sole exception of the specific benefits promised in Section 3. After the Separation Date, Executive shall be eligible for continuation coverage under the Company’s health plan pursuant to COBRA. Any vested benefits to which Executive may be entitled under any Company-sponsored 401(k) plan will be provided in accordance with and subject to the terms of that plan, including any terms regarding the timing, form, and manner of contributions and payment. Except as specifically provided in Section 3 of this Agreement, any grant of equity units to Executive shall be governed by the terms of the Verra Mobility Corporation 2018 Equity Incentive Plan (the “</w:t>
      </w:r>
      <w:r>
        <w:rPr>
          <w:rFonts w:ascii="Times New Roman" w:cs="Times New Roman" w:eastAsia="Times New Roman" w:hAnsi="Times New Roman"/>
          <w:sz w:val="18"/>
          <w:szCs w:val="18"/>
          <w:u w:val="single" w:color="auto"/>
          <w:color w:val="auto"/>
        </w:rPr>
        <w:t>Equity Plan</w:t>
      </w:r>
      <w:r>
        <w:rPr>
          <w:rFonts w:ascii="Times New Roman" w:cs="Times New Roman" w:eastAsia="Times New Roman" w:hAnsi="Times New Roman"/>
          <w:sz w:val="18"/>
          <w:szCs w:val="18"/>
          <w:color w:val="auto"/>
        </w:rPr>
        <w:t>”) and related agreements.</w:t>
      </w:r>
    </w:p>
    <w:p>
      <w:pPr>
        <w:spacing w:after="0" w:line="181"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Payment of Accrued and Unused Paid Time Off Balance</w:t>
      </w:r>
      <w:r>
        <w:rPr>
          <w:rFonts w:ascii="Times New Roman" w:cs="Times New Roman" w:eastAsia="Times New Roman" w:hAnsi="Times New Roman"/>
          <w:sz w:val="18"/>
          <w:szCs w:val="18"/>
          <w:color w:val="auto"/>
        </w:rPr>
        <w:t>. Executive will be entitled to receive, and the Company will promptly pay to Executive, all accrued but unused paid time off, but not unused paid sick leave, following the Separation Date consistent with the Company’s policies and Arizona law.</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ind w:left="720" w:hanging="352"/>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18"/>
          <w:szCs w:val="18"/>
          <w:color w:val="auto"/>
        </w:rPr>
        <w:t>The Company previously awarded Executive a restricted stock unit award for 160,274 shares of the Company’s common stock on October 23, 2018 (the “</w:t>
      </w:r>
      <w:r>
        <w:rPr>
          <w:rFonts w:ascii="Times New Roman" w:cs="Times New Roman" w:eastAsia="Times New Roman" w:hAnsi="Times New Roman"/>
          <w:sz w:val="18"/>
          <w:szCs w:val="18"/>
          <w:u w:val="single" w:color="auto"/>
          <w:color w:val="auto"/>
        </w:rPr>
        <w:t>2018 RSU Award”</w:t>
      </w:r>
      <w:r>
        <w:rPr>
          <w:rFonts w:ascii="Times New Roman" w:cs="Times New Roman" w:eastAsia="Times New Roman" w:hAnsi="Times New Roman"/>
          <w:sz w:val="18"/>
          <w:szCs w:val="18"/>
          <w:color w:val="auto"/>
        </w:rPr>
        <w:t>), subject to the terms and conditions of the Equity Plan and related Equity Plan documents. The Parties acknowledge that 40,069 restricted stock units remain unvested under the 2018 RSU Award (the “</w:t>
      </w:r>
      <w:r>
        <w:rPr>
          <w:rFonts w:ascii="Times New Roman" w:cs="Times New Roman" w:eastAsia="Times New Roman" w:hAnsi="Times New Roman"/>
          <w:sz w:val="18"/>
          <w:szCs w:val="18"/>
          <w:u w:val="single" w:color="auto"/>
          <w:color w:val="auto"/>
        </w:rPr>
        <w:t>Unvested RSUs</w:t>
      </w:r>
      <w:r>
        <w:rPr>
          <w:rFonts w:ascii="Times New Roman" w:cs="Times New Roman" w:eastAsia="Times New Roman" w:hAnsi="Times New Roman"/>
          <w:sz w:val="18"/>
          <w:szCs w:val="18"/>
          <w:color w:val="auto"/>
        </w:rPr>
        <w:t xml:space="preserve">”), and because they are scheduled to vest on October 23, 2022, would remain unvested as of the Separation Date and be subject to forfeiture under the terms of the Equity Plan. As consideration for (i) Executive’s obligations set forth in this Agreement and (ii) Executive’s valid execution and non-revocation of the Supplemental Separation and Release Agreement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Supplemental Release</w:t>
      </w:r>
      <w:r>
        <w:rPr>
          <w:rFonts w:ascii="Times New Roman" w:cs="Times New Roman" w:eastAsia="Times New Roman" w:hAnsi="Times New Roman"/>
          <w:sz w:val="18"/>
          <w:szCs w:val="18"/>
          <w:color w:val="auto"/>
        </w:rPr>
        <w:t>”) on or after the Separation Date, and provided Executive is not terminated for cause, the Company agrees to accelerate the vesting of the Unvested RSUs to occur on the Supplemental Release Effective Date, as defined in the Supplemental Release (the “</w:t>
      </w:r>
      <w:r>
        <w:rPr>
          <w:rFonts w:ascii="Times New Roman" w:cs="Times New Roman" w:eastAsia="Times New Roman" w:hAnsi="Times New Roman"/>
          <w:sz w:val="18"/>
          <w:szCs w:val="18"/>
          <w:u w:val="single" w:color="auto"/>
          <w:color w:val="auto"/>
        </w:rPr>
        <w:t>RSU Vesting Acceleration</w:t>
      </w:r>
      <w:r>
        <w:rPr>
          <w:rFonts w:ascii="Times New Roman" w:cs="Times New Roman" w:eastAsia="Times New Roman" w:hAnsi="Times New Roman"/>
          <w:sz w:val="18"/>
          <w:szCs w:val="18"/>
          <w:color w:val="auto"/>
        </w:rPr>
        <w:t>”). The Parties acknowledge and agree that the RSU Vesting Acceleration is made expressly subject to and contingent upon Executive remaining in full compliance with the terms of this Agreement, the Proprietary Rights Agreement (defined in Section 6(a)) and the Supplemental Release. Executive acknowledges and agrees that (i) other than the RSU Vesting Acceleration, Executive has no rights to otherwise vest in any securities of the Company following the Separation Date, (ii) all other unvested equity awards held by Executive will terminate or be forfeited on the Separation Date and (iii) all vested equity as of the Separation Date, including those covered by the RSU Vesting Acceleration, shall be governed by the terms of the Equity Plan and related Equity Plan documents. This Agreement and the terms related to the RSU Vesting Acceleration constitute a “superseding agreement” to the Verra Mobility Corporation Restricted Stock Units Agreement and the Verra Mobility Corporation Notice of Grant of Restricted Stock Units provided to Executive with a grant date of October 23, 2018.</w:t>
      </w:r>
    </w:p>
    <w:p>
      <w:pPr>
        <w:spacing w:after="0" w:line="17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Executive agrees that her notice of resignation was “without Good Reason” as such term is referenced and/or defined in Sections 3.4 and 3.7(b) of her Employment Agreement, pursuant to which she is not entitled to the severance benefits set forth in the Employment Agreement. Executive further acknowledges and agrees that she has no right to receive the RSU Vesting Acceleration unless she validly executes this Agreement and the Supplemental Release and fully complies with the respective terms of this Agreement, the Proprietary Rights Agreement and the Supplemental Release, and is not terminated for cause. The Parties further agree that the RSU Vesting Acceleration constitutes adequate and sufficient consideration to support the mutual promises set forth in this Agreement and the Supplemental Release. Executive is not entitled to any additional payment or benefit from any Released Party (as defined below) that is not expressly promised or described in this Agreement.</w:t>
      </w:r>
    </w:p>
    <w:p>
      <w:pPr>
        <w:spacing w:after="0" w:line="181" w:lineRule="exact"/>
        <w:rPr>
          <w:sz w:val="20"/>
          <w:szCs w:val="20"/>
          <w:color w:val="auto"/>
        </w:rPr>
      </w:pPr>
    </w:p>
    <w:p>
      <w:pPr>
        <w:ind w:left="720" w:hanging="352"/>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505"/>
        <w:spacing w:after="0" w:line="242" w:lineRule="auto"/>
        <w:tabs>
          <w:tab w:leader="none" w:pos="18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Release and Released Parties</w:t>
      </w:r>
      <w:r>
        <w:rPr>
          <w:rFonts w:ascii="Times New Roman" w:cs="Times New Roman" w:eastAsia="Times New Roman" w:hAnsi="Times New Roman"/>
          <w:sz w:val="18"/>
          <w:szCs w:val="18"/>
          <w:color w:val="auto"/>
        </w:rPr>
        <w:t>. In exchange for the consideration described in Section 3, and subject only to the exclusions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4(b) below, Executive hereby releases the Company, its parents, shareholders, subsidiaries, affiliates, predecessors, successors, assigns, related companies or entities, its and their employee benefit plans and administrators, and any and all of its and their respective current and former officers, directors, partners, insurers, agents, representatives, attorneys, accountants, actuaries, trustees, fiduciaries, and employees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from any and all claims, demands or causes of action which Executive or Executive’s heirs, executors, administrators, agents, attorneys, representatives or assigns (all collectively included in the term “Executive” for purposes of this Section 4), has, had or may have against any of the Released Parties, based on any events or circumstances arising or occurring on or before the date of Executive’s execution of this Agreement, including, but not limited to, any claims relating to Executive’s employment or termination of employment, and any rights of continued employment, reinstatement or reemployment with any of the Released Parties. For the avoidance of doubt, and subject only to the exclusions in Section 4(b) of this Agreement, Executive expressly agrees, understands, and acknowledges that this is a general release that, to the fullest extent permitted by law, waives, surrenders, and extinguishes any and all claims that Executive has or may have against any of the Released Parties, whether known, unknown, foreseen, or unforeseen, including, but not limited to, the following:</w:t>
      </w:r>
    </w:p>
    <w:p>
      <w:pPr>
        <w:spacing w:after="0" w:line="170"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18"/>
          <w:szCs w:val="18"/>
          <w:color w:val="auto"/>
        </w:rPr>
        <w:t>(i)any claim(s) under Title VII of the Civil Rights Act of 1964, the Civil Rights Act of 1991, the Americans with Disabilities Act, the Equal Pay Act, the Employee Retirement Income Security Act, the Family and Medical Leave Act (“</w:t>
      </w:r>
      <w:r>
        <w:rPr>
          <w:rFonts w:ascii="Times New Roman" w:cs="Times New Roman" w:eastAsia="Times New Roman" w:hAnsi="Times New Roman"/>
          <w:sz w:val="18"/>
          <w:szCs w:val="18"/>
          <w:u w:val="single" w:color="auto"/>
          <w:color w:val="auto"/>
        </w:rPr>
        <w:t>FMLA</w:t>
      </w:r>
      <w:r>
        <w:rPr>
          <w:rFonts w:ascii="Times New Roman" w:cs="Times New Roman" w:eastAsia="Times New Roman" w:hAnsi="Times New Roman"/>
          <w:sz w:val="18"/>
          <w:szCs w:val="18"/>
          <w:color w:val="auto"/>
        </w:rPr>
        <w:t>”), the Genetic Information Nondiscrimination Act, the Health Insurance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4" w:name="page55"/>
    <w:bookmarkEnd w:id="54"/>
    <w:p>
      <w:pPr>
        <w:jc w:val="both"/>
        <w:spacing w:after="0" w:line="250" w:lineRule="auto"/>
        <w:rPr>
          <w:sz w:val="20"/>
          <w:szCs w:val="20"/>
          <w:color w:val="auto"/>
        </w:rPr>
      </w:pPr>
      <w:r>
        <w:rPr>
          <w:rFonts w:ascii="Times New Roman" w:cs="Times New Roman" w:eastAsia="Times New Roman" w:hAnsi="Times New Roman"/>
          <w:sz w:val="18"/>
          <w:szCs w:val="18"/>
          <w:color w:val="auto"/>
        </w:rPr>
        <w:t>Portability and Accountability Act, 42 U.S.C. § 1981, the Arizona Minimum Wage Act; Arizona Equal Pay Act, the Arizona Employment Protection Act, the Arizona Civil Rights Act, the Arizona Occupational Health and Safety Act; Arizona Right to Work Act, the Arizona Drug Testing of Employees Act, the Arizona Medical Marijuana Act, or the Worker Adjustment and Retraining Notification Act;</w:t>
      </w:r>
    </w:p>
    <w:p>
      <w:pPr>
        <w:spacing w:after="0" w:line="177" w:lineRule="exact"/>
        <w:rPr>
          <w:sz w:val="20"/>
          <w:szCs w:val="20"/>
          <w:color w:val="auto"/>
        </w:rPr>
      </w:pPr>
    </w:p>
    <w:p>
      <w:pPr>
        <w:jc w:val="both"/>
        <w:ind w:firstLine="2246"/>
        <w:spacing w:after="0" w:line="266" w:lineRule="auto"/>
        <w:rPr>
          <w:sz w:val="20"/>
          <w:szCs w:val="20"/>
          <w:color w:val="auto"/>
        </w:rPr>
      </w:pPr>
      <w:r>
        <w:rPr>
          <w:rFonts w:ascii="Times New Roman" w:cs="Times New Roman" w:eastAsia="Times New Roman" w:hAnsi="Times New Roman"/>
          <w:sz w:val="18"/>
          <w:szCs w:val="18"/>
          <w:color w:val="auto"/>
        </w:rPr>
        <w:t>(ii)any claim(s) under any other applicable federal, state, or local or foreign law, statute, regulation, or ordinance regarding discrimination, harassment, retaliation, or any other subject matter;</w:t>
      </w:r>
    </w:p>
    <w:p>
      <w:pPr>
        <w:spacing w:after="0" w:line="162" w:lineRule="exact"/>
        <w:rPr>
          <w:sz w:val="20"/>
          <w:szCs w:val="20"/>
          <w:color w:val="auto"/>
        </w:rPr>
      </w:pPr>
    </w:p>
    <w:p>
      <w:pPr>
        <w:jc w:val="both"/>
        <w:ind w:right="20" w:firstLine="2246"/>
        <w:spacing w:after="0" w:line="266" w:lineRule="auto"/>
        <w:rPr>
          <w:sz w:val="20"/>
          <w:szCs w:val="20"/>
          <w:color w:val="auto"/>
        </w:rPr>
      </w:pPr>
      <w:r>
        <w:rPr>
          <w:rFonts w:ascii="Times New Roman" w:cs="Times New Roman" w:eastAsia="Times New Roman" w:hAnsi="Times New Roman"/>
          <w:sz w:val="18"/>
          <w:szCs w:val="18"/>
          <w:color w:val="auto"/>
        </w:rPr>
        <w:t>(iii)any claim(s) for unpaid or withheld wages, severance, benefits, bonuses, commissions, and other compensation of any kind that Executive may have against the Company;</w:t>
      </w:r>
    </w:p>
    <w:p>
      <w:pPr>
        <w:spacing w:after="0" w:line="200" w:lineRule="exact"/>
        <w:rPr>
          <w:sz w:val="20"/>
          <w:szCs w:val="20"/>
          <w:color w:val="auto"/>
        </w:rPr>
      </w:pPr>
    </w:p>
    <w:p>
      <w:pPr>
        <w:spacing w:after="0" w:line="367" w:lineRule="exact"/>
        <w:rPr>
          <w:sz w:val="20"/>
          <w:szCs w:val="20"/>
          <w:color w:val="auto"/>
        </w:rPr>
      </w:pPr>
    </w:p>
    <w:p>
      <w:pPr>
        <w:jc w:val="both"/>
        <w:ind w:firstLine="2246"/>
        <w:spacing w:after="0" w:line="266" w:lineRule="auto"/>
        <w:rPr>
          <w:sz w:val="20"/>
          <w:szCs w:val="20"/>
          <w:color w:val="auto"/>
        </w:rPr>
      </w:pPr>
      <w:r>
        <w:rPr>
          <w:rFonts w:ascii="Times New Roman" w:cs="Times New Roman" w:eastAsia="Times New Roman" w:hAnsi="Times New Roman"/>
          <w:sz w:val="18"/>
          <w:szCs w:val="18"/>
          <w:color w:val="auto"/>
        </w:rPr>
        <w:t>(iv)any claim(s) for breach of contract, wrongful discharge, unjust dismissal, defamation, slander, libel, fraud, misrepresentation, negligence, intentional or negligent infliction of emotional distress; and</w:t>
      </w:r>
    </w:p>
    <w:p>
      <w:pPr>
        <w:spacing w:after="0" w:line="162" w:lineRule="exact"/>
        <w:rPr>
          <w:sz w:val="20"/>
          <w:szCs w:val="20"/>
          <w:color w:val="auto"/>
        </w:rPr>
      </w:pPr>
    </w:p>
    <w:p>
      <w:pPr>
        <w:jc w:val="both"/>
        <w:ind w:firstLine="2246"/>
        <w:spacing w:after="0" w:line="266" w:lineRule="auto"/>
        <w:rPr>
          <w:sz w:val="20"/>
          <w:szCs w:val="20"/>
          <w:color w:val="auto"/>
        </w:rPr>
      </w:pPr>
      <w:r>
        <w:rPr>
          <w:rFonts w:ascii="Times New Roman" w:cs="Times New Roman" w:eastAsia="Times New Roman" w:hAnsi="Times New Roman"/>
          <w:sz w:val="18"/>
          <w:szCs w:val="18"/>
          <w:color w:val="auto"/>
        </w:rPr>
        <w:t>(v)any other claim for damages or other relief arising under the common law or any theory of law or equity, including any claim for costs or attorneys’ fees.</w:t>
      </w:r>
    </w:p>
    <w:p>
      <w:pPr>
        <w:spacing w:after="0" w:line="160"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i w:val="1"/>
          <w:iCs w:val="1"/>
          <w:color w:val="auto"/>
        </w:rPr>
        <w:t>Claims Not Released.</w:t>
      </w:r>
      <w:r>
        <w:rPr>
          <w:rFonts w:ascii="Times New Roman" w:cs="Times New Roman" w:eastAsia="Times New Roman" w:hAnsi="Times New Roman"/>
          <w:sz w:val="18"/>
          <w:szCs w:val="18"/>
          <w:color w:val="auto"/>
        </w:rPr>
        <w:t xml:space="preserve"> The claims released in Section 4(a) of this Agreement do not include any claim or cause of action based on any of the following: (i) the right to vested benefits under any retirement plan; (ii) the right to continued benefits as required by COBRA; (iii) any right to receive workers’ compensation benefits or unemployment insurance as required by applicable law; (iv) the right to challenge the validity or enforceability of this Agreement under the Older Workers Benefit Protection Act; (v) any claim to enforce the terms of this Agreement; or (vi) any claim which cannot be waived as a matter of law. For the avoidance of doubt, nothing herein waives or releases any claim that may arise after the Effective Date (as defined below).</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Permitted Conduct</w:t>
      </w:r>
      <w:r>
        <w:rPr>
          <w:rFonts w:ascii="Times New Roman" w:cs="Times New Roman" w:eastAsia="Times New Roman" w:hAnsi="Times New Roman"/>
          <w:sz w:val="18"/>
          <w:szCs w:val="18"/>
          <w:color w:val="auto"/>
        </w:rPr>
        <w:t>. Nothing in this Agreement prohibits Executive from filing a charge with the Equal Employment Opportunity Commission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or any other government agency, nor does anything in this Agreement prohibit Executive from participating, cooperating, or testifying in any investigation or proceeding conducted by or pending before the EEOC or any other any government agency. However, even though Executive can provide testimony or information or assistance in an investigation or in proceedings described in this Section 4(c), Executive’s participation therein will not entitle Executive to additional compensation from the Company or any of the Released Parties beyond that described in Section 3 of this Agreement. In fact, if Executive is awarded any monetary relief in connection with any lawsuit, legal proceeding, charge or complaint, that relief will be reduced by any amounts paid or payable by the Company under this Agreement. Further, nothing in this Agreement limits or prohibits Executive from reporting possible violations of law or regulation to any government agency or entity, making other disclosures that are protected under whistleblower provisions of law, or receiving an award or monetary recovery pursuant to the Securities and Exchange Commission’s whistleblower program. Executive does not need prior authorization to make such reports or disclosures and is not required to notify the Company if Executive has made any such report or disclosure.</w:t>
      </w:r>
    </w:p>
    <w:p>
      <w:pPr>
        <w:spacing w:after="0" w:line="185" w:lineRule="exact"/>
        <w:rPr>
          <w:sz w:val="20"/>
          <w:szCs w:val="20"/>
          <w:color w:val="auto"/>
        </w:rPr>
      </w:pPr>
    </w:p>
    <w:p>
      <w:pPr>
        <w:jc w:val="both"/>
        <w:ind w:firstLine="757"/>
        <w:spacing w:after="0" w:line="258" w:lineRule="auto"/>
        <w:tabs>
          <w:tab w:leader="none" w:pos="11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 and Leave Confirmation</w:t>
      </w:r>
      <w:r>
        <w:rPr>
          <w:rFonts w:ascii="Times New Roman" w:cs="Times New Roman" w:eastAsia="Times New Roman" w:hAnsi="Times New Roman"/>
          <w:sz w:val="18"/>
          <w:szCs w:val="18"/>
          <w:color w:val="auto"/>
        </w:rPr>
        <w:t>. Executive is not aware of any occasion on which the Company or any of the Released Parties failed to pay Executive for hours worked for or on behalf of the Company at the appropriate rate of pay. Executive is not aware of any occasion when she was denied any leave that she was entitled to take under the FMLA or any other law or regulation.</w:t>
      </w:r>
    </w:p>
    <w:p>
      <w:pPr>
        <w:spacing w:after="0" w:line="74"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Intellectual Property, and Company Property</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Executive understands and agrees that she remains bound by the terms of the Company Proprietary Rights and Non-Competition Agreement that she executed in conjunction with her employment dated May 9, 2016 (the “</w:t>
      </w:r>
      <w:r>
        <w:rPr>
          <w:rFonts w:ascii="Times New Roman" w:cs="Times New Roman" w:eastAsia="Times New Roman" w:hAnsi="Times New Roman"/>
          <w:sz w:val="18"/>
          <w:szCs w:val="18"/>
          <w:u w:val="single" w:color="auto"/>
          <w:color w:val="auto"/>
        </w:rPr>
        <w:t>Proprietary Rights Agreement</w:t>
      </w:r>
      <w:r>
        <w:rPr>
          <w:rFonts w:ascii="Times New Roman" w:cs="Times New Roman" w:eastAsia="Times New Roman" w:hAnsi="Times New Roman"/>
          <w:sz w:val="18"/>
          <w:szCs w:val="18"/>
          <w:color w:val="auto"/>
        </w:rPr>
        <w:t>”), as supplemented by Sections 5 and 6 of her Employment Agreement. Executive specifically acknowledges and reaffirms her ongoing obligations (a) not to use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5" w:name="page56"/>
    <w:bookmarkEnd w:id="55"/>
    <w:p>
      <w:pPr>
        <w:jc w:val="both"/>
        <w:spacing w:after="0" w:line="242" w:lineRule="auto"/>
        <w:rPr>
          <w:sz w:val="20"/>
          <w:szCs w:val="20"/>
          <w:color w:val="auto"/>
        </w:rPr>
      </w:pPr>
      <w:r>
        <w:rPr>
          <w:rFonts w:ascii="Times New Roman" w:cs="Times New Roman" w:eastAsia="Times New Roman" w:hAnsi="Times New Roman"/>
          <w:sz w:val="18"/>
          <w:szCs w:val="18"/>
          <w:color w:val="auto"/>
        </w:rPr>
        <w:t>disclose for her own benefit, or that of another employer or any party other than the Company, any confidential or proprietary information of the Company to which she had access or created during the period of her employment with the Company, (b) to return to the Company any and all Company property and all materials containing Company confidential or proprietary information in her possession, and (c) to comply with applicable post-employment restrictions regarding the Company’s customers, competitors and employees. Notwithstanding the foregoing, nothing in this Agreement limits or prohibits Executive from reporting possible violations of law or regulation to any government agency or entity or making other disclosures that are protected under whistleblower provisions of law, and Executive may disclose Confidential Information to the extent she is compelled to do so by lawful service of process, subpoena, court order, or as she is otherwise compelled to do by law or the rules or regulations of any regulatory body or governmental agency or instrumentality to which she is subject, including full and complete disclosure in response thereto, in which event she agrees (unless prohibited by law) to provide the Company with a copy of the documents seeking disclosure of such information promptly upon receipt of such documents and prior to their disclosure of any such information, so that the Company may, upon notice to Executive, take such action as the Company deems appropriate in relation to such subpoena or request, and Executive (unless otherwise compelled to do so by lawful service of process, subpoena, court order, or by law or the rules or regulations of any regulatory body or governmental agency or instrumentality) may not disclose any such information until the Company has had the opportunity to take such action. Executive further understands and acknowledges that the Company’s Insider Trading Policy will continue to apply to Executive and her family members until after the second trading day that any material nonpublic information in her possession has become public or is no longer material.</w:t>
      </w:r>
    </w:p>
    <w:p>
      <w:pPr>
        <w:spacing w:after="0" w:line="188"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i w:val="1"/>
          <w:iCs w:val="1"/>
          <w:color w:val="auto"/>
        </w:rPr>
        <w:t>Company Property</w:t>
      </w:r>
      <w:r>
        <w:rPr>
          <w:rFonts w:ascii="Times New Roman" w:cs="Times New Roman" w:eastAsia="Times New Roman" w:hAnsi="Times New Roman"/>
          <w:sz w:val="18"/>
          <w:szCs w:val="18"/>
          <w:color w:val="auto"/>
        </w:rPr>
        <w:t>. Executive will promptly return to the Company all property belonging to it, including, but not limited to, laptops, monitors, desktop computers, mobile phones, hotspots and other mobile Wi-Fi devices, headsets, keyboards, mice, power cords and adaptors, identification badges, credit cards, supplies, documents, files, computer disks or drives, and the like (collectively, the “</w:t>
      </w: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Executive further agrees to remove from any personal computer and other data devices all data and files containing Company information.</w:t>
      </w:r>
    </w:p>
    <w:p>
      <w:pPr>
        <w:spacing w:after="0" w:line="176" w:lineRule="exact"/>
        <w:rPr>
          <w:sz w:val="20"/>
          <w:szCs w:val="20"/>
          <w:color w:val="auto"/>
        </w:rPr>
      </w:pPr>
    </w:p>
    <w:p>
      <w:pPr>
        <w:jc w:val="both"/>
        <w:ind w:firstLine="368"/>
        <w:spacing w:after="0" w:line="242" w:lineRule="auto"/>
        <w:tabs>
          <w:tab w:leader="none" w:pos="7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in Legal Proceedings and Investigations</w:t>
      </w:r>
      <w:r>
        <w:rPr>
          <w:rFonts w:ascii="Times New Roman" w:cs="Times New Roman" w:eastAsia="Times New Roman" w:hAnsi="Times New Roman"/>
          <w:sz w:val="18"/>
          <w:szCs w:val="18"/>
          <w:color w:val="auto"/>
        </w:rPr>
        <w:t>. Executive affirms that, pursuant to Section 3.6 of the Employment Agreement, she will make herself reasonably available to the Company to provide cooperation and assistance with regards to information requests, investigations, and other reasonable assistance with regards to any litigation or proceeding in which the Company (or a subsidiary) is or becomes involved. Only reasonable travel and out-of-pocket expenses incurred in assisting the Company will be reimbursed; and any such expenses incurred in excess of five hundred dollars ($500.00) must be pre-approved in writing by the Company to be eligible for reimbursement. Executive acknowledges and agrees that should she fail to provide reasonable cooperation and assistance, the Company has the right to claw back the Accelerated Vesting or, if the Company has already issued stock as a result of the RSU Vesting Acceleration, Executive shall reimburse the Company the fair market value of the RSU Vesting Acceleration, which will be calculated by multiplying the number of shares issued as a result of the RSU Vesting Acceleration by the closing price of the Company’s common stock on the date of the stock issuance (the “</w:t>
      </w:r>
      <w:r>
        <w:rPr>
          <w:rFonts w:ascii="Times New Roman" w:cs="Times New Roman" w:eastAsia="Times New Roman" w:hAnsi="Times New Roman"/>
          <w:sz w:val="18"/>
          <w:szCs w:val="18"/>
          <w:u w:val="single" w:color="auto"/>
          <w:color w:val="auto"/>
        </w:rPr>
        <w:t>FMV Reimbursement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it shall be a condition precedent to the Company’s right to claw back the Accelerated Vesting or Executive’s obligation to make the FMV Reimbursement, as the case may be, related to Executive’s failure to provide reasonable cooperation and assistance pursuant to this Section 7 that (a) the Company shall first have provided Executive with written notice describing, with reasonable specificity, the nature of Executive’s breach of this Section 7, and (b) Executive shall have a period of thirty (30) calendar days from and after the provision of such notice to fully cure or remedy any enumerated breaches.</w:t>
      </w:r>
    </w:p>
    <w:p>
      <w:pPr>
        <w:spacing w:after="0" w:line="189"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affirms her obligations to comply with Section 9 (Non-Disparagement) of her Employment Agreement.</w:t>
      </w:r>
    </w:p>
    <w:p>
      <w:pPr>
        <w:spacing w:after="0" w:line="225" w:lineRule="exact"/>
        <w:rPr>
          <w:rFonts w:ascii="Times New Roman" w:cs="Times New Roman" w:eastAsia="Times New Roman" w:hAnsi="Times New Roman"/>
          <w:sz w:val="18"/>
          <w:szCs w:val="18"/>
          <w:color w:val="auto"/>
        </w:rPr>
      </w:pPr>
    </w:p>
    <w:p>
      <w:pPr>
        <w:jc w:val="both"/>
        <w:ind w:firstLine="368"/>
        <w:spacing w:after="0" w:line="243" w:lineRule="auto"/>
        <w:tabs>
          <w:tab w:leader="none" w:pos="7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Post-employment Obligations</w:t>
      </w:r>
      <w:r>
        <w:rPr>
          <w:rFonts w:ascii="Times New Roman" w:cs="Times New Roman" w:eastAsia="Times New Roman" w:hAnsi="Times New Roman"/>
          <w:sz w:val="18"/>
          <w:szCs w:val="18"/>
          <w:color w:val="auto"/>
        </w:rPr>
        <w:t>. Executive affirms her obligations to comply with any post-employment obligations contained in the Proprietary Rights Agreement and her Employment Agreement. Additionally, in further consideration for the mutual promises and covenants set forth herein, Executive and the Company agree that the Employment Agreement shall be amended as follows: (a) the Non-Competition Period set forth in Section 7 of the Employment Agreement shall extend for a period of twenty-four (24) months following the Separation Date; (b)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6" w:name="page57"/>
    <w:bookmarkEnd w:id="56"/>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definition of the term Business (as defined in Section 7 of the Employment Agreement) shall be amended to include telematics, connected vehicles, traffic management, and curbside management;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business of Blue Yonder Group, Inc., as currently conducted, shall be expressly permitted under the definition of such term; and (c) the non-solicitation restrictions set forth in Section 8 of the Employment Agreement shall extend for a period of twenty-four (24) months following the Separation Date.</w:t>
      </w:r>
    </w:p>
    <w:p>
      <w:pPr>
        <w:spacing w:after="0" w:line="191" w:lineRule="exact"/>
        <w:rPr>
          <w:sz w:val="20"/>
          <w:szCs w:val="20"/>
          <w:color w:val="auto"/>
        </w:rPr>
      </w:pPr>
    </w:p>
    <w:p>
      <w:pPr>
        <w:jc w:val="both"/>
        <w:ind w:firstLine="757"/>
        <w:spacing w:after="0" w:line="242" w:lineRule="auto"/>
        <w:tabs>
          <w:tab w:leader="none" w:pos="112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Liquidated Damages for Breach of Certain Obligations</w:t>
      </w:r>
      <w:r>
        <w:rPr>
          <w:rFonts w:ascii="Times New Roman" w:cs="Times New Roman" w:eastAsia="Times New Roman" w:hAnsi="Times New Roman"/>
          <w:sz w:val="18"/>
          <w:szCs w:val="18"/>
          <w:color w:val="auto"/>
        </w:rPr>
        <w:t>. As Executive previously acknowledged when she signed the Proprietary Rights Agreement and her Employment Agreement, a breach of her obligations under the Proprietary Rights Agreement or Sections 5, 6, 7, 8 or 9 of her Employment Agreement could irreparably damage the Company. Consequently, and because the damage that a breach of those obligations would inflict on the Company is not an amount that the Parties can clearly ascertain at this time, but would likely be even greater than the RSU Vesting Acceleration that Executive will receive under this Agreement. Executive agrees that if she breaches any of her obligations set forth above, she will forfeit the RSU Vesting Acceleration received under this Agreement and, if the Company has already issued stock as a result of the RSU Vesting Acceleration, Executive shall provide the Company with the FMV Reimbursement of the RSU Vesting Acceleration. THE REMEDIES SET FORTH IN THIS SECTION 10 ARE NOT EXCLUSIVE AND SHALL BE IN ADDITION TO ANY OTHER LEGAL OR EQUITABLE REMEDY THAT MAY BE AVAILABLE TO THE COMPANY IN THE EVENT OF A BREACH BY EMPLOYEE.</w:t>
      </w:r>
    </w:p>
    <w:p>
      <w:pPr>
        <w:spacing w:after="0" w:line="187" w:lineRule="exact"/>
        <w:rPr>
          <w:rFonts w:ascii="Times New Roman" w:cs="Times New Roman" w:eastAsia="Times New Roman" w:hAnsi="Times New Roman"/>
          <w:sz w:val="18"/>
          <w:szCs w:val="18"/>
          <w:color w:val="auto"/>
        </w:rPr>
      </w:pPr>
    </w:p>
    <w:p>
      <w:pPr>
        <w:jc w:val="both"/>
        <w:ind w:firstLine="757"/>
        <w:spacing w:after="0" w:line="258" w:lineRule="auto"/>
        <w:tabs>
          <w:tab w:leader="none" w:pos="112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Non-Admission</w:t>
      </w:r>
      <w:r>
        <w:rPr>
          <w:rFonts w:ascii="Times New Roman" w:cs="Times New Roman" w:eastAsia="Times New Roman" w:hAnsi="Times New Roman"/>
          <w:sz w:val="18"/>
          <w:szCs w:val="18"/>
          <w:color w:val="auto"/>
        </w:rPr>
        <w:t>. This Agreement does not constitute and shall not be construed as an admission by the Company or any of the Released Parties that any of them has violated any law, interfered with any rights, breached any obligation or otherwise engaged in any improper or illegal conduct with respect to Executive, and the Company expressly denies that it has engaged in any such conduct.</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Agreement shall be determined by any court of competent jurisdiction to be invalid, illegal or unenforceable in whole or in part, and such determination shall become final, such provision or portion shall be deemed to be severed or limited, but only to the extent required to render the remaining terms and provisions of this Agreement enforceable. This Agreement as thus amended shall be enforced so as to give effect to the intention of the Parties insofar as that is possible. In addition, the Parties hereby expressly empower a court of competent jurisdiction to modify any term or provision of this Agreement to the extent necessary to comply with existing law and to enforce this Agreement as modified.</w:t>
      </w:r>
    </w:p>
    <w:p>
      <w:pPr>
        <w:spacing w:after="0" w:line="17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construed, enforced and interpreted in accordance with and governed by the laws of the State of Arizona without regard to its choice-of-law principles.</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8"/>
          <w:szCs w:val="18"/>
          <w:u w:val="single" w:color="auto"/>
          <w:color w:val="auto"/>
        </w:rPr>
        <w:t>Deductions and Withholding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may deduct and withhold from any amounts payable to the Executive hereunder all federal, state, city or other taxes that the Company may reasonably determine are required to be deducted or withheld pursuant to any applicable law or regulation (it being understood that Executive shall be responsible for payment of all taxes in respect of the payments and benefits provided herein). However, to be clear, the Company makes no commitment or guarantee to Executive that any federal, state, local, or other tax treatment will (or will not) apply or be available to Executive and assumes no liability whatsoever for any potential tax consequences (including any penalties or interest related thereto) to Executive.</w:t>
      </w:r>
    </w:p>
    <w:p>
      <w:pPr>
        <w:spacing w:after="0" w:line="18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reference purposes only and shall not in any way affect the meaning or interpretation of this Agreement.</w:t>
      </w:r>
    </w:p>
    <w:p>
      <w:pPr>
        <w:spacing w:after="0" w:line="14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understanding between the Parties with respect to the subject matter hereof and supersedes all prior agreements and understandings, oral or written, with respect to such matters. This Agreement shall be binding upon and inure to the benefit of, as applicable, Executive’s (on the one hand) and the Company’s and the Released Parties’ (on the other hand) respective successors, assigns, heirs, estates, and representatives. This Agreement shall not be amended or modified except in a writing signed by Executive and the Company’s Chief Executive Officer.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7" w:name="page58"/>
    <w:bookmarkEnd w:id="57"/>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8"/>
          <w:szCs w:val="18"/>
          <w:u w:val="single" w:color="auto"/>
          <w:color w:val="auto"/>
        </w:rPr>
        <w:t>Tax Code Section 409A Compliance</w:t>
      </w:r>
      <w:r>
        <w:rPr>
          <w:rFonts w:ascii="Times New Roman" w:cs="Times New Roman" w:eastAsia="Times New Roman" w:hAnsi="Times New Roman"/>
          <w:sz w:val="18"/>
          <w:szCs w:val="18"/>
          <w:color w:val="auto"/>
        </w:rPr>
        <w:t>. The intent of the Parties is that any payments and benefits under this Agreement that are subject to Section 409A of the Code comply with the requirements of Section 409A of the Code and any related regulations and other guidance promulgated with respect to such Section by the U.S. Department of the Treasury or the Internal Revenue Service. Accordingly, to the maximum extent permitted, this Agreement shall be interpreted and administered in compliance therewith. All expense reimbursements paid pursuant to this Agreement that are taxable income to Executive shall in no event be paid later than the end of the calendar year next following the calendar year in which Executive incurs such expense. For purposes of applying the provisions of Section 409A of the Code to this Agreement, each separately identified amount to which Executive is entitled under this Agreement shall be treated as a separate payment. In addition, to the extent permissible under Section 409A of the Code, any series of installment payments under this Agreement shall be treated as a right to a series of separate payments. In no event shall the Company be liable to Executive for any adverse tax consequences arising under Section 409A.</w:t>
      </w:r>
    </w:p>
    <w:p>
      <w:pPr>
        <w:spacing w:after="0" w:line="17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Executive may accept this Agreement by delivering a signed original of this Agreement to the Company’s Chief Executive Officer, David Roberts, on or before September 16, 2022. Executive’s signing of this Agreement will be final and binding upon Executive.</w:t>
      </w:r>
    </w:p>
    <w:p>
      <w:pPr>
        <w:spacing w:after="0" w:line="13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Agreement will become effective and enforceable on the date both Parties sign the Agreement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although Executive’s right to receive the RSU Vesting Acceleration shall not accrue until the Supplemental Release Effective Date.</w:t>
      </w:r>
    </w:p>
    <w:p>
      <w:pPr>
        <w:spacing w:after="0" w:line="148"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8"/>
          <w:szCs w:val="18"/>
          <w:u w:val="single" w:color="auto"/>
          <w:color w:val="auto"/>
        </w:rPr>
        <w:t>Executive’s Acknowledgment</w:t>
      </w:r>
      <w:r>
        <w:rPr>
          <w:rFonts w:ascii="Times New Roman" w:cs="Times New Roman" w:eastAsia="Times New Roman" w:hAnsi="Times New Roman"/>
          <w:sz w:val="18"/>
          <w:szCs w:val="18"/>
          <w:color w:val="auto"/>
        </w:rPr>
        <w:t>. Executive acknowledges that she (a) has carefully read and understands the terms and conditions of this Agreement; (b) has had adequate opportunity to consult with counsel of her choosing concerning the consequences of signing this Agreement and the release and waiver contained in Section 4; (c) is signing this Agreement knowingly and voluntarily of her own free will, without any duress, coercion or undue influence by the Company, its representatives, or other persons; and (d) has not relied on any promise, statement, or representation by anyone associated with the Company that is not contained in this Agreement in deciding to sign this Agreement. Executive specifically represents that she has not assigned or given to any other person or party the right to pursue any legal claim that falls within the scope of Section 4 of this Agreement.</w:t>
      </w:r>
    </w:p>
    <w:p>
      <w:pPr>
        <w:spacing w:after="0" w:line="19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8" w:name="page59"/>
    <w:bookmarkEnd w:id="58"/>
    <w:p>
      <w:pPr>
        <w:ind w:left="760"/>
        <w:spacing w:after="0"/>
        <w:rPr>
          <w:sz w:val="20"/>
          <w:szCs w:val="20"/>
          <w:color w:val="auto"/>
        </w:rPr>
      </w:pPr>
      <w:r>
        <w:rPr>
          <w:rFonts w:ascii="Times New Roman" w:cs="Times New Roman" w:eastAsia="Times New Roman" w:hAnsi="Times New Roman"/>
          <w:sz w:val="18"/>
          <w:szCs w:val="18"/>
          <w:color w:val="auto"/>
        </w:rPr>
        <w:t>IN WITNESS WHEREOF, the Parties knowingly and voluntarily executed this Separation and Release Agreement as of the dates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Executive Verra Mobility Corporation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40" w:type="dxa"/>
            <w:vAlign w:val="bottom"/>
          </w:tcPr>
          <w:p>
            <w:pPr>
              <w:spacing w:after="0"/>
              <w:rPr>
                <w:sz w:val="21"/>
                <w:szCs w:val="21"/>
                <w:color w:val="auto"/>
              </w:rPr>
            </w:pPr>
          </w:p>
        </w:tc>
        <w:tc>
          <w:tcPr>
            <w:tcW w:w="2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Rebecca Collins</w:t>
            </w:r>
          </w:p>
        </w:tc>
        <w:tc>
          <w:tcPr>
            <w:tcW w:w="13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Roberts</w:t>
            </w:r>
          </w:p>
        </w:tc>
        <w:tc>
          <w:tcPr>
            <w:tcW w:w="3380" w:type="dxa"/>
            <w:vAlign w:val="bottom"/>
          </w:tcPr>
          <w:p>
            <w:pPr>
              <w:spacing w:after="0"/>
              <w:rPr>
                <w:sz w:val="21"/>
                <w:szCs w:val="21"/>
                <w:color w:val="auto"/>
              </w:rPr>
            </w:pPr>
          </w:p>
        </w:tc>
      </w:tr>
      <w:tr>
        <w:trPr>
          <w:trHeight w:val="164"/>
        </w:trPr>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Rebecca Collins</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David Roberts</w:t>
            </w:r>
          </w:p>
        </w:tc>
        <w:tc>
          <w:tcPr>
            <w:tcW w:w="3380" w:type="dxa"/>
            <w:vAlign w:val="bottom"/>
          </w:tcPr>
          <w:p>
            <w:pPr>
              <w:spacing w:after="0"/>
              <w:rPr>
                <w:sz w:val="14"/>
                <w:szCs w:val="14"/>
                <w:color w:val="auto"/>
              </w:rPr>
            </w:pPr>
          </w:p>
        </w:tc>
      </w:tr>
      <w:tr>
        <w:trPr>
          <w:trHeight w:val="234"/>
        </w:trPr>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380" w:type="dxa"/>
            <w:vAlign w:val="bottom"/>
          </w:tcPr>
          <w:p>
            <w:pPr>
              <w:spacing w:after="0"/>
              <w:rPr>
                <w:sz w:val="20"/>
                <w:szCs w:val="20"/>
                <w:color w:val="auto"/>
              </w:rPr>
            </w:pPr>
          </w:p>
        </w:tc>
      </w:tr>
      <w:tr>
        <w:trPr>
          <w:trHeight w:val="41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142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color w:val="auto"/>
                <w:w w:val="98"/>
              </w:rPr>
              <w:t>8/29/2022</w:t>
            </w:r>
          </w:p>
        </w:tc>
        <w:tc>
          <w:tcPr>
            <w:tcW w:w="680" w:type="dxa"/>
            <w:vAlign w:val="bottom"/>
          </w:tcPr>
          <w:p>
            <w:pPr>
              <w:spacing w:after="0"/>
              <w:rPr>
                <w:sz w:val="24"/>
                <w:szCs w:val="24"/>
                <w:color w:val="auto"/>
              </w:rPr>
            </w:pPr>
          </w:p>
        </w:tc>
        <w:tc>
          <w:tcPr>
            <w:tcW w:w="1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tcPr>
          <w:p>
            <w:pPr>
              <w:spacing w:after="0"/>
              <w:rPr>
                <w:sz w:val="24"/>
                <w:szCs w:val="24"/>
                <w:color w:val="auto"/>
              </w:rPr>
            </w:pPr>
          </w:p>
        </w:tc>
        <w:tc>
          <w:tcPr>
            <w:tcW w:w="3040" w:type="dxa"/>
            <w:vAlign w:val="bottom"/>
            <w:tcBorders>
              <w:bottom w:val="single" w:sz="8" w:color="auto"/>
            </w:tcBorders>
            <w:gridSpan w:val="2"/>
          </w:tcPr>
          <w:p>
            <w:pPr>
              <w:jc w:val="right"/>
              <w:ind w:right="2190"/>
              <w:spacing w:after="0"/>
              <w:rPr>
                <w:sz w:val="20"/>
                <w:szCs w:val="20"/>
                <w:color w:val="auto"/>
              </w:rPr>
            </w:pPr>
            <w:r>
              <w:rPr>
                <w:rFonts w:ascii="Times New Roman" w:cs="Times New Roman" w:eastAsia="Times New Roman" w:hAnsi="Times New Roman"/>
                <w:sz w:val="18"/>
                <w:szCs w:val="18"/>
                <w:color w:val="auto"/>
              </w:rPr>
              <w:t>8/29/2022</w:t>
            </w:r>
          </w:p>
        </w:tc>
        <w:tc>
          <w:tcPr>
            <w:tcW w:w="338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60" w:type="dxa"/>
            <w:vAlign w:val="bottom"/>
            <w:gridSpan w:val="3"/>
          </w:tcPr>
          <w:p>
            <w:pPr>
              <w:jc w:val="right"/>
              <w:ind w:right="2090"/>
              <w:spacing w:after="0"/>
              <w:rPr>
                <w:sz w:val="20"/>
                <w:szCs w:val="20"/>
                <w:color w:val="auto"/>
              </w:rPr>
            </w:pPr>
            <w:r>
              <w:rPr>
                <w:rFonts w:ascii="Times New Roman" w:cs="Times New Roman" w:eastAsia="Times New Roman" w:hAnsi="Times New Roman"/>
                <w:sz w:val="20"/>
                <w:szCs w:val="20"/>
                <w:color w:val="auto"/>
              </w:rPr>
              <w:t>7</w:t>
            </w:r>
          </w:p>
        </w:tc>
        <w:tc>
          <w:tcPr>
            <w:tcW w:w="3380" w:type="dxa"/>
            <w:vAlign w:val="bottom"/>
          </w:tcPr>
          <w:p>
            <w:pPr>
              <w:spacing w:after="0"/>
              <w:rPr>
                <w:sz w:val="24"/>
                <w:szCs w:val="24"/>
                <w:color w:val="auto"/>
              </w:rPr>
            </w:pPr>
          </w:p>
        </w:tc>
      </w:tr>
      <w:tr>
        <w:trPr>
          <w:trHeight w:val="95"/>
        </w:trPr>
        <w:tc>
          <w:tcPr>
            <w:tcW w:w="1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SUPPLEMENTAL SEPARATION AND RELEASE AGREEMENT</w:t>
      </w:r>
    </w:p>
    <w:p>
      <w:pPr>
        <w:spacing w:after="0" w:line="21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This Supplemental Separation and Release Agreement (this “</w:t>
      </w:r>
      <w:r>
        <w:rPr>
          <w:rFonts w:ascii="Times New Roman" w:cs="Times New Roman" w:eastAsia="Times New Roman" w:hAnsi="Times New Roman"/>
          <w:sz w:val="18"/>
          <w:szCs w:val="18"/>
          <w:u w:val="single" w:color="auto"/>
          <w:color w:val="auto"/>
        </w:rPr>
        <w:t>Supplemental Release</w:t>
      </w:r>
      <w:r>
        <w:rPr>
          <w:rFonts w:ascii="Times New Roman" w:cs="Times New Roman" w:eastAsia="Times New Roman" w:hAnsi="Times New Roman"/>
          <w:sz w:val="18"/>
          <w:szCs w:val="18"/>
          <w:color w:val="auto"/>
        </w:rPr>
        <w:t>”) is made by and between Rebecca Collins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Verra Mobility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Executive,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as contemplated by that certain Separation and Release Agreement, by and between the Parties, dated as of August __, 2022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Capitalized terms used by not otherwise defined herein shall have the meaning set forth in the Separation Agreement.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12"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WHEREAS, pursuant to the Separation Agreement and in consideration for the RSU Vesting Acceleration, Executive desires to execute this Supplemental Release.</w:t>
      </w:r>
    </w:p>
    <w:p>
      <w:pPr>
        <w:spacing w:after="0" w:line="108"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62" w:lineRule="exact"/>
        <w:rPr>
          <w:sz w:val="20"/>
          <w:szCs w:val="20"/>
          <w:color w:val="auto"/>
        </w:rPr>
      </w:pPr>
    </w:p>
    <w:p>
      <w:pPr>
        <w:jc w:val="both"/>
        <w:ind w:firstLine="757"/>
        <w:spacing w:after="0" w:line="258" w:lineRule="auto"/>
        <w:tabs>
          <w:tab w:leader="none" w:pos="130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Executive’s last day of employment with the Company was the Separation Date. Executive’s accrual of, and eligibility for vacation, holiday pay, and any other employee privileges ceased on the Separation Date. Pursuant to Section 3 of the Separation Agreement, Executive acknowledges that any unvested equity awards, other than those covered by the RSU Vesting Acceleration, were forfeited as of the Separation Date.</w:t>
      </w:r>
    </w:p>
    <w:p>
      <w:pPr>
        <w:spacing w:after="0" w:line="169" w:lineRule="exact"/>
        <w:rPr>
          <w:rFonts w:ascii="Times New Roman" w:cs="Times New Roman" w:eastAsia="Times New Roman" w:hAnsi="Times New Roman"/>
          <w:sz w:val="18"/>
          <w:szCs w:val="18"/>
          <w:color w:val="auto"/>
        </w:rPr>
      </w:pPr>
    </w:p>
    <w:p>
      <w:pPr>
        <w:jc w:val="both"/>
        <w:ind w:firstLine="757"/>
        <w:spacing w:after="0" w:line="241" w:lineRule="auto"/>
        <w:tabs>
          <w:tab w:leader="none" w:pos="130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 of Claims</w:t>
      </w:r>
      <w:r>
        <w:rPr>
          <w:rFonts w:ascii="Times New Roman" w:cs="Times New Roman" w:eastAsia="Times New Roman" w:hAnsi="Times New Roman"/>
          <w:sz w:val="18"/>
          <w:szCs w:val="18"/>
          <w:color w:val="auto"/>
        </w:rPr>
        <w:t>. In exchange of the consideration described above, including the RSU Vesting Acceleration, Executive unconditionally, irrevocably and absolutely releases and discharges the Company, and any parent and subsidiary corporations, divisions and affiliated corporations, partnerships or other affiliated entities of the Company, past and present, as well as the Company’s employees, officers, directors, agents, successors and assigns (collectively,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from all claims related in any way to the transactions or occurrences between them to date, to the fullest extent permitted by law, including, but not limited to, Executive’s employment with the Company, the termination of Executive’s employment, and all other losses, liabilities, claims, charges, demands and causes of action, known or unknown, suspected or unsuspected, arising directly or indirectly out of or in any way connected with Executive’s employment with the Company. This release is intended to have the broadest possible application and includes, but is not limited to, any tort, contract, wrongful discharge, common law, constitutional or other statutory claims, including, but not limited to alleged violations of the Title VII of the Civil Rights Act of 1964, as amended; the Age Discrimination in Employment Act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the Fair Labor Standards Act; the Fair Credit Reporting Act; the Americans with Disabilities Act; the Family Medical Leave Act; the Equal Pay Act; the Employee Retirement Income Security Act of 1974; the National Labor Relations Act; the Arizona Minimum Wage Act; Arizona Equal Pay Act, the Arizona Employment Protection Act, the Arizona Civil Rights Act, the Arizona Occupational Health and Safety Act; Arizona Right to Work Act, the Arizona Drug Testing of Employees Act, the Arizona Medical Marijuana Act, and all other laws against discrimination, governing wage and hour, or applicable to employment that may be the subject of a release under applicable law. Executive expressly waives her right to recovery of any type, including damages or reinstatement, in any court action, whether state or federal, and whether brought by Executive or on her behalf, related in any way to the matters released herein. Nothing in this Agreement shall be construed to prohibit Executive from reporting conduct to, providing truthful information to or participating in any investigation or proceeding conducted by any federal or state government agency or self-regulatory organization.</w:t>
      </w:r>
    </w:p>
    <w:p>
      <w:pPr>
        <w:spacing w:after="0" w:line="13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color w:val="auto"/>
        </w:rPr>
        <w:t>Executive represents that, as of the date of this Supplemental Release, she has not filed any lawsuits, charges, complaints, petitions, claims or other accusatory pleadings against the Company or any of the Released Parties, in any court or with any governmental agency. Executive agrees that, to the fullest extent permitted by law, Executive will not prosecute, nor allow to be prosecuted on Executive’s behalf, in any administrative agency, whether state or federal, or in any court, whether state or federal, any claim or demand of any type related to the matters released in the Separation Agreement or this Supplemental Release.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Nothing in this Supplemental Release shall be construed to waive any claims that cannot be waived as a matter of law. In addition, this Supplemental Release does not prevent Executive from filing an administrative charge against the Company that may not be released as a matter of law. Nothing in this Supplemental Release shall be construed to prohibit Executive from reporting conduct to, providing truthful information to or participating in any investigation or proceeding conducted by any federal or state government agency or self-regulatory organization. This Supplemental Release does not waive any rights or claims that may arise after the date that Executive executed this Supplemental Release.</w:t>
      </w:r>
    </w:p>
    <w:p>
      <w:pPr>
        <w:spacing w:after="0" w:line="177" w:lineRule="exact"/>
        <w:rPr>
          <w:sz w:val="20"/>
          <w:szCs w:val="20"/>
          <w:color w:val="auto"/>
        </w:rPr>
      </w:pPr>
    </w:p>
    <w:p>
      <w:pPr>
        <w:ind w:left="1320" w:hanging="563"/>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Job-Related Illness or Injury</w:t>
      </w:r>
      <w:r>
        <w:rPr>
          <w:rFonts w:ascii="Times New Roman" w:cs="Times New Roman" w:eastAsia="Times New Roman" w:hAnsi="Times New Roman"/>
          <w:sz w:val="18"/>
          <w:szCs w:val="18"/>
          <w:color w:val="auto"/>
        </w:rPr>
        <w:t>. Executive certifies that she has not experienced a job-related illness or injury for which she has not already</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 claim.</w:t>
      </w:r>
    </w:p>
    <w:p>
      <w:pPr>
        <w:spacing w:after="0" w:line="205" w:lineRule="exact"/>
        <w:rPr>
          <w:rFonts w:ascii="Times New Roman" w:cs="Times New Roman" w:eastAsia="Times New Roman" w:hAnsi="Times New Roman"/>
          <w:sz w:val="18"/>
          <w:szCs w:val="18"/>
          <w:color w:val="auto"/>
        </w:rPr>
      </w:pPr>
    </w:p>
    <w:p>
      <w:pPr>
        <w:ind w:right="20" w:firstLine="757"/>
        <w:spacing w:after="0" w:line="266" w:lineRule="auto"/>
        <w:tabs>
          <w:tab w:leader="none" w:pos="130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Executive stipulates and agrees that she has been advised in writing that, by virtue of her age, she may have rights under the ADEA, which rights will be extinguished by her execution of this Agreement.</w:t>
      </w:r>
    </w:p>
    <w:p>
      <w:pPr>
        <w:spacing w:after="0" w:line="162"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she has been advised to seek an attorney regarding the effect of this Agreement prior to signing it.</w:t>
      </w:r>
    </w:p>
    <w:p>
      <w:pPr>
        <w:spacing w:after="0" w:line="211" w:lineRule="exact"/>
        <w:rPr>
          <w:rFonts w:ascii="Times New Roman" w:cs="Times New Roman" w:eastAsia="Times New Roman" w:hAnsi="Times New Roman"/>
          <w:sz w:val="18"/>
          <w:szCs w:val="18"/>
          <w:color w:val="auto"/>
        </w:rPr>
      </w:pPr>
    </w:p>
    <w:p>
      <w:pPr>
        <w:ind w:left="1500" w:right="20" w:hanging="369"/>
        <w:spacing w:after="0" w:line="282" w:lineRule="auto"/>
        <w:tabs>
          <w:tab w:leader="none" w:pos="15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stipulates and agrees that this Supplemental Release provides consideration in addition to anything of value to which she may be entitled independent of this Supplemental Release.</w:t>
      </w:r>
    </w:p>
    <w:p>
      <w:pPr>
        <w:spacing w:after="0" w:line="148" w:lineRule="exact"/>
        <w:rPr>
          <w:rFonts w:ascii="Times New Roman" w:cs="Times New Roman" w:eastAsia="Times New Roman" w:hAnsi="Times New Roman"/>
          <w:sz w:val="18"/>
          <w:szCs w:val="18"/>
          <w:color w:val="auto"/>
        </w:rPr>
      </w:pPr>
    </w:p>
    <w:p>
      <w:pPr>
        <w:ind w:left="1500" w:hanging="369"/>
        <w:spacing w:after="0" w:line="266" w:lineRule="auto"/>
        <w:tabs>
          <w:tab w:leader="none" w:pos="15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deemed to release claims that arise under the ADEA after the date that Executive executes this Supplemental Release.</w:t>
      </w:r>
    </w:p>
    <w:p>
      <w:pPr>
        <w:spacing w:after="0" w:line="175" w:lineRule="exact"/>
        <w:rPr>
          <w:rFonts w:ascii="Times New Roman" w:cs="Times New Roman" w:eastAsia="Times New Roman" w:hAnsi="Times New Roman"/>
          <w:sz w:val="18"/>
          <w:szCs w:val="18"/>
          <w:color w:val="auto"/>
        </w:rPr>
      </w:pPr>
    </w:p>
    <w:p>
      <w:pPr>
        <w:ind w:left="1500" w:hanging="369"/>
        <w:spacing w:after="0" w:line="266" w:lineRule="auto"/>
        <w:tabs>
          <w:tab w:leader="none" w:pos="15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she has twenty-one (21) days from the date this offer is received to consider this Supplemental Release before signing it. Executive may choose to execute this Supplemental Release before the expiration of this period.</w:t>
      </w:r>
    </w:p>
    <w:p>
      <w:pPr>
        <w:spacing w:after="0" w:line="162"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that she has seven (7) days after accepting this offer to revoke her acceptance (the “</w:t>
      </w:r>
      <w:r>
        <w:rPr>
          <w:rFonts w:ascii="Times New Roman" w:cs="Times New Roman" w:eastAsia="Times New Roman" w:hAnsi="Times New Roman"/>
          <w:sz w:val="18"/>
          <w:szCs w:val="18"/>
          <w:u w:val="single" w:color="auto"/>
          <w:color w:val="auto"/>
        </w:rPr>
        <w:t>Revocation Period</w:t>
      </w:r>
      <w:r>
        <w:rPr>
          <w:rFonts w:ascii="Times New Roman" w:cs="Times New Roman" w:eastAsia="Times New Roman" w:hAnsi="Times New Roman"/>
          <w:sz w:val="18"/>
          <w:szCs w:val="18"/>
          <w:color w:val="auto"/>
        </w:rPr>
        <w:t>”). Revocation must be in writing and either personally delivered or overnight mailed to the Company’s Chief Executive Officer to arrive on the eighth (8th) day after Executive executed this Supplemental Release. Neither Executive’s acceptance nor the terms of this Supplemental Release will be effective until the Revocation Period has expired.</w:t>
      </w:r>
    </w:p>
    <w:p>
      <w:pPr>
        <w:spacing w:after="0" w:line="190" w:lineRule="exact"/>
        <w:rPr>
          <w:rFonts w:ascii="Times New Roman" w:cs="Times New Roman" w:eastAsia="Times New Roman" w:hAnsi="Times New Roman"/>
          <w:sz w:val="18"/>
          <w:szCs w:val="18"/>
          <w:color w:val="auto"/>
        </w:rPr>
      </w:pPr>
    </w:p>
    <w:p>
      <w:pPr>
        <w:jc w:val="both"/>
        <w:ind w:firstLine="757"/>
        <w:spacing w:after="0" w:line="250" w:lineRule="auto"/>
        <w:tabs>
          <w:tab w:leader="none" w:pos="130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Executive may accept this Supplemental Release by delivering a signed original of this Supplemental Release to the Company’s Chief Executive Officer within twenty-one (21) calendar days from Executive’s receipt of this Supplemental Release. Executive may sign this Supplemental Release before the 21-day period expires, provided, however, that Executive’s execution of this Supplemental Release will be final and binding upon Executive, unless Executive rescinds the Supplemental Release within the Revocation Period referenced in Section 4 above.</w:t>
      </w:r>
    </w:p>
    <w:p>
      <w:pPr>
        <w:spacing w:after="0" w:line="177" w:lineRule="exact"/>
        <w:rPr>
          <w:rFonts w:ascii="Times New Roman" w:cs="Times New Roman" w:eastAsia="Times New Roman" w:hAnsi="Times New Roman"/>
          <w:sz w:val="18"/>
          <w:szCs w:val="18"/>
          <w:color w:val="auto"/>
        </w:rPr>
      </w:pPr>
    </w:p>
    <w:p>
      <w:pPr>
        <w:jc w:val="both"/>
        <w:ind w:firstLine="757"/>
        <w:spacing w:after="0" w:line="246" w:lineRule="auto"/>
        <w:tabs>
          <w:tab w:leader="none" w:pos="130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Supplemental Release will not become effective or enforceable until the eighth (8th) calendar day after Executive signs it (the “</w:t>
      </w:r>
      <w:r>
        <w:rPr>
          <w:rFonts w:ascii="Times New Roman" w:cs="Times New Roman" w:eastAsia="Times New Roman" w:hAnsi="Times New Roman"/>
          <w:sz w:val="18"/>
          <w:szCs w:val="18"/>
          <w:u w:val="single" w:color="auto"/>
          <w:color w:val="auto"/>
        </w:rPr>
        <w:t>Supplemental Release Effective Date</w:t>
      </w:r>
      <w:r>
        <w:rPr>
          <w:rFonts w:ascii="Times New Roman" w:cs="Times New Roman" w:eastAsia="Times New Roman" w:hAnsi="Times New Roman"/>
          <w:sz w:val="18"/>
          <w:szCs w:val="18"/>
          <w:color w:val="auto"/>
        </w:rPr>
        <w:t>”). If (i) this Supplemental Release fails to become effective and irrevocable on or prior to the 60th day following the Separation Date or (ii)(a) Executive revokes this Supplemental Release within the seven (7) day Revocation Period or (b) Executive fails to return an executed original within the required twenty-one (21) day timeframe referenced above, the Parties shall have no obligations under this Supplemental Release, and this Supplemental Release shall be considered null and void.</w:t>
      </w:r>
    </w:p>
    <w:p>
      <w:pPr>
        <w:spacing w:after="0" w:line="181" w:lineRule="exact"/>
        <w:rPr>
          <w:rFonts w:ascii="Times New Roman" w:cs="Times New Roman" w:eastAsia="Times New Roman" w:hAnsi="Times New Roman"/>
          <w:sz w:val="18"/>
          <w:szCs w:val="18"/>
          <w:color w:val="auto"/>
        </w:rPr>
      </w:pPr>
    </w:p>
    <w:p>
      <w:pPr>
        <w:jc w:val="both"/>
        <w:ind w:firstLine="757"/>
        <w:spacing w:after="0" w:line="247" w:lineRule="auto"/>
        <w:tabs>
          <w:tab w:leader="none" w:pos="130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this Supplemental Release shall be found unenforceable, that provision shall be deemed modified to the extent necessary to allow enforceability of the provision as so limited, it being intended that the Company shall receive the benefits contemplated herein to the fullest extent permitted by law. If a deemed modification is not satisfactory to make it enforceable, then that unenforceable provision shall be deemed deleted, and the validity and enforceability of the remaining provisions shall not be affected thereby.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1" w:name="page62"/>
    <w:bookmarkEnd w:id="61"/>
    <w:p>
      <w:pPr>
        <w:jc w:val="both"/>
        <w:ind w:left="-20" w:firstLine="757"/>
        <w:spacing w:after="0" w:line="258" w:lineRule="auto"/>
        <w:tabs>
          <w:tab w:leader="none" w:pos="12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Admissions</w:t>
      </w:r>
      <w:r>
        <w:rPr>
          <w:rFonts w:ascii="Times New Roman" w:cs="Times New Roman" w:eastAsia="Times New Roman" w:hAnsi="Times New Roman"/>
          <w:sz w:val="18"/>
          <w:szCs w:val="18"/>
          <w:color w:val="auto"/>
        </w:rPr>
        <w:t>. By entering into this Supplemental Release, the Company makes no admission that any of the Released Parties have engaged in any unlawful conduct. The Parties understand and acknowledge that this Supplemental Release is not an admission of liability and shall not be used or construed as such in any legal or administrative proceeding.</w:t>
      </w:r>
    </w:p>
    <w:p>
      <w:pPr>
        <w:spacing w:after="0" w:line="169" w:lineRule="exact"/>
        <w:rPr>
          <w:rFonts w:ascii="Times New Roman" w:cs="Times New Roman" w:eastAsia="Times New Roman" w:hAnsi="Times New Roman"/>
          <w:sz w:val="18"/>
          <w:szCs w:val="18"/>
          <w:color w:val="auto"/>
        </w:rPr>
      </w:pPr>
    </w:p>
    <w:p>
      <w:pPr>
        <w:ind w:left="-20" w:right="20" w:firstLine="757"/>
        <w:spacing w:after="0" w:line="282" w:lineRule="auto"/>
        <w:tabs>
          <w:tab w:leader="none" w:pos="12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validity, interpretation and performance of this Supplemental Release shall be construed and interpreted according to the laws of the United States of America and the State of Arizona.</w:t>
      </w:r>
    </w:p>
    <w:p>
      <w:pPr>
        <w:spacing w:after="0" w:line="200" w:lineRule="exact"/>
        <w:rPr>
          <w:sz w:val="20"/>
          <w:szCs w:val="20"/>
          <w:color w:val="auto"/>
        </w:rPr>
      </w:pPr>
    </w:p>
    <w:p>
      <w:pPr>
        <w:spacing w:after="0" w:line="36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40" w:right="339" w:bottom="1440" w:gutter="0" w:footer="0" w:header="0"/>
        </w:sectPr>
      </w:pPr>
    </w:p>
    <w:bookmarkStart w:id="62" w:name="page63"/>
    <w:bookmarkEnd w:id="62"/>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Parties knowingly and voluntarily executed this Supplemental Separation and Release Agreement as of the dates set forth below.</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Executive Verra Mobility Corporation</w:t>
            </w:r>
          </w:p>
        </w:tc>
        <w:tc>
          <w:tcPr>
            <w:tcW w:w="13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418"/>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w:t>
            </w:r>
          </w:p>
        </w:tc>
        <w:tc>
          <w:tcPr>
            <w:tcW w:w="13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64"/>
        </w:trPr>
        <w:tc>
          <w:tcPr>
            <w:tcW w:w="1280" w:type="dxa"/>
            <w:vAlign w:val="bottom"/>
          </w:tcPr>
          <w:p>
            <w:pPr>
              <w:spacing w:after="0"/>
              <w:rPr>
                <w:sz w:val="14"/>
                <w:szCs w:val="14"/>
                <w:color w:val="auto"/>
              </w:rPr>
            </w:pPr>
          </w:p>
        </w:tc>
        <w:tc>
          <w:tcPr>
            <w:tcW w:w="2100" w:type="dxa"/>
            <w:vAlign w:val="bottom"/>
            <w:tcBorders>
              <w:top w:val="single" w:sz="8" w:color="auto"/>
            </w:tcBorders>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Rebecca Collins</w:t>
            </w:r>
          </w:p>
        </w:tc>
        <w:tc>
          <w:tcPr>
            <w:tcW w:w="1300" w:type="dxa"/>
            <w:vAlign w:val="bottom"/>
            <w:tcBorders>
              <w:top w:val="single" w:sz="8" w:color="auto"/>
            </w:tcBorders>
          </w:tcPr>
          <w:p>
            <w:pPr>
              <w:spacing w:after="0"/>
              <w:rPr>
                <w:sz w:val="14"/>
                <w:szCs w:val="14"/>
                <w:color w:val="auto"/>
              </w:rPr>
            </w:pPr>
          </w:p>
        </w:tc>
        <w:tc>
          <w:tcPr>
            <w:tcW w:w="3160" w:type="dxa"/>
            <w:vAlign w:val="bottom"/>
            <w:tcBorders>
              <w:top w:val="single" w:sz="8" w:color="auto"/>
            </w:tcBorders>
          </w:tcPr>
          <w:p>
            <w:pPr>
              <w:ind w:left="380"/>
              <w:spacing w:after="0" w:line="164" w:lineRule="exact"/>
              <w:rPr>
                <w:sz w:val="20"/>
                <w:szCs w:val="20"/>
                <w:color w:val="auto"/>
              </w:rPr>
            </w:pPr>
            <w:r>
              <w:rPr>
                <w:rFonts w:ascii="Times New Roman" w:cs="Times New Roman" w:eastAsia="Times New Roman" w:hAnsi="Times New Roman"/>
                <w:sz w:val="18"/>
                <w:szCs w:val="18"/>
                <w:color w:val="auto"/>
              </w:rPr>
              <w:t>David Roberts</w:t>
            </w:r>
          </w:p>
        </w:tc>
      </w:t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1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2080" w:type="dxa"/>
            <w:vAlign w:val="bottom"/>
            <w:tcBorders>
              <w:bottom w:val="single" w:sz="8" w:color="auto"/>
            </w:tcBorders>
          </w:tcPr>
          <w:p>
            <w:pPr>
              <w:spacing w:after="0"/>
              <w:rPr>
                <w:sz w:val="24"/>
                <w:szCs w:val="24"/>
                <w:color w:val="auto"/>
              </w:rPr>
            </w:pPr>
          </w:p>
        </w:tc>
        <w:tc>
          <w:tcPr>
            <w:tcW w:w="1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Borders>
              <w:bottom w:val="single" w:sz="8" w:color="auto"/>
            </w:tcBorders>
          </w:tcPr>
          <w:p>
            <w:pPr>
              <w:spacing w:after="0"/>
              <w:rPr>
                <w:sz w:val="24"/>
                <w:szCs w:val="2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 to be signed until on or after the Separation Date</w:t>
      </w:r>
    </w:p>
    <w:p>
      <w:pPr>
        <w:spacing w:after="0" w:line="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4" w:right="4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Roberts, certify that:</w:t>
      </w:r>
    </w:p>
    <w:p>
      <w:pPr>
        <w:spacing w:after="0" w:line="185"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5"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on Form 10-Q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640" w:val="left"/>
          <w:tab w:leader="none" w:pos="7200" w:val="left"/>
        </w:tabs>
        <w:rPr>
          <w:sz w:val="20"/>
          <w:szCs w:val="20"/>
          <w:color w:val="auto"/>
        </w:rPr>
      </w:pPr>
      <w:r>
        <w:rPr>
          <w:rFonts w:ascii="Times New Roman" w:cs="Times New Roman" w:eastAsia="Times New Roman" w:hAnsi="Times New Roman"/>
          <w:sz w:val="18"/>
          <w:szCs w:val="18"/>
          <w:color w:val="auto"/>
        </w:rPr>
        <w:t>Dated: November 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David Roberts</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Conti, certify that:</w:t>
      </w:r>
    </w:p>
    <w:p>
      <w:pPr>
        <w:spacing w:after="0" w:line="185"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9"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5"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640" w:val="left"/>
          <w:tab w:leader="none" w:pos="7200" w:val="left"/>
        </w:tabs>
        <w:rPr>
          <w:sz w:val="20"/>
          <w:szCs w:val="20"/>
          <w:color w:val="auto"/>
        </w:rPr>
      </w:pPr>
      <w:r>
        <w:rPr>
          <w:rFonts w:ascii="Times New Roman" w:cs="Times New Roman" w:eastAsia="Times New Roman" w:hAnsi="Times New Roman"/>
          <w:sz w:val="18"/>
          <w:szCs w:val="18"/>
          <w:color w:val="auto"/>
        </w:rPr>
        <w:t>Dated: November 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Craig Conti</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periodic report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10-Q for the period ended September 30, 2022 as filed with the Securities and Exchange Commission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David Roberts, President and Chief Executive Officer of the Company, hereby certify as of the date hereof, solely for purposes of Title 18, Chapter 63, Section 1350 of the United States Code, that to the best of my knowledge:</w:t>
      </w:r>
    </w:p>
    <w:p>
      <w:pPr>
        <w:spacing w:after="0" w:line="60"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0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0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2, 2022</w:t>
            </w:r>
          </w:p>
        </w:tc>
        <w:tc>
          <w:tcPr>
            <w:tcW w:w="23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Roberts</w:t>
            </w:r>
          </w:p>
        </w:tc>
      </w:tr>
      <w:tr>
        <w:trPr>
          <w:trHeight w:val="191"/>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Roberts</w:t>
            </w:r>
          </w:p>
        </w:tc>
      </w:tr>
      <w:tr>
        <w:trPr>
          <w:trHeight w:val="234"/>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33"/>
        </w:trPr>
        <w:tc>
          <w:tcPr>
            <w:tcW w:w="36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periodic report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10-Q for the period ended September 30, 2022 as filed with the Securities and Exchange Commission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Craig Conti, Chief Financial Officer of the Company, hereby certify as of the date hereof, solely for purposes of Title 18, Chapter 63, Section 1350 of the United States Code, that to the best of my knowledge:</w:t>
      </w:r>
    </w:p>
    <w:p>
      <w:pPr>
        <w:spacing w:after="0" w:line="60"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0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0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2, 2022</w:t>
            </w:r>
          </w:p>
        </w:tc>
        <w:tc>
          <w:tcPr>
            <w:tcW w:w="23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Conti</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Craig Conti</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33"/>
        </w:trPr>
        <w:tc>
          <w:tcPr>
            <w:tcW w:w="36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2"/>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3"/>
    </w:lvl>
  </w:abstractNum>
  <w:abstractNum w:abstractNumId="7">
    <w:nsid w:val="6763845E"/>
    <w:multiLevelType w:val="hybridMultilevel"/>
    <w:lvl w:ilvl="0">
      <w:lvlJc w:val="left"/>
      <w:lvlText w:val="%1."/>
      <w:numFmt w:val="decimal"/>
      <w:start w:val="4"/>
    </w:lvl>
  </w:abstractNum>
  <w:abstractNum w:abstractNumId="8">
    <w:nsid w:val="75A2A8D4"/>
    <w:multiLevelType w:val="hybridMultilevel"/>
    <w:lvl w:ilvl="0">
      <w:lvlJc w:val="left"/>
      <w:lvlText w:val="%1."/>
      <w:numFmt w:val="decimal"/>
      <w:start w:val="5"/>
    </w:lvl>
  </w:abstractNum>
  <w:abstractNum w:abstractNumId="9">
    <w:nsid w:val="8EDBDAB"/>
    <w:multiLevelType w:val="hybridMultilevel"/>
    <w:lvl w:ilvl="0">
      <w:lvlJc w:val="left"/>
      <w:lvlText w:val="%1."/>
      <w:numFmt w:val="decimal"/>
      <w:start w:val="6"/>
    </w:lvl>
  </w:abstractNum>
  <w:abstractNum w:abstractNumId="10">
    <w:nsid w:val="79838CB2"/>
    <w:multiLevelType w:val="hybridMultilevel"/>
    <w:lvl w:ilvl="0">
      <w:lvlJc w:val="left"/>
      <w:lvlText w:val="%1."/>
      <w:numFmt w:val="decimal"/>
      <w:start w:val="7"/>
    </w:lvl>
  </w:abstractNum>
  <w:abstractNum w:abstractNumId="11">
    <w:nsid w:val="4353D0CD"/>
    <w:multiLevelType w:val="hybridMultilevel"/>
    <w:lvl w:ilvl="0">
      <w:lvlJc w:val="left"/>
      <w:lvlText w:val="%1."/>
      <w:numFmt w:val="decimal"/>
      <w:start w:val="8"/>
    </w:lvl>
  </w:abstractNum>
  <w:abstractNum w:abstractNumId="12">
    <w:nsid w:val="B03E0C6"/>
    <w:multiLevelType w:val="hybridMultilevel"/>
    <w:lvl w:ilvl="0">
      <w:lvlJc w:val="left"/>
      <w:lvlText w:val="%1."/>
      <w:numFmt w:val="decimal"/>
      <w:start w:val="9"/>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1"/>
    </w:lvl>
  </w:abstractNum>
  <w:abstractNum w:abstractNumId="15">
    <w:nsid w:val="71F32454"/>
    <w:multiLevelType w:val="hybridMultilevel"/>
    <w:lvl w:ilvl="0">
      <w:lvlJc w:val="left"/>
      <w:lvlText w:val="%1."/>
      <w:numFmt w:val="decimal"/>
      <w:start w:val="12"/>
    </w:lvl>
  </w:abstractNum>
  <w:abstractNum w:abstractNumId="16">
    <w:nsid w:val="2CA88611"/>
    <w:multiLevelType w:val="hybridMultilevel"/>
    <w:lvl w:ilvl="0">
      <w:lvlJc w:val="left"/>
      <w:lvlText w:val="%1."/>
      <w:numFmt w:val="decimal"/>
      <w:start w:val="13"/>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decimal"/>
      <w:start w:val="14"/>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upperLetter"/>
      <w:start w:val="35"/>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2"/>
    </w:lvl>
  </w:abstractNum>
  <w:abstractNum w:abstractNumId="27">
    <w:nsid w:val="3006C83E"/>
    <w:multiLevelType w:val="hybridMultilevel"/>
    <w:lvl w:ilvl="0">
      <w:lvlJc w:val="left"/>
      <w:lvlText w:val="%1."/>
      <w:numFmt w:val="decimal"/>
      <w:start w:val="3"/>
    </w:lvl>
  </w:abstractNum>
  <w:abstractNum w:abstractNumId="28">
    <w:nsid w:val="614FD4A1"/>
    <w:multiLevelType w:val="hybridMultilevel"/>
    <w:lvl w:ilvl="0">
      <w:lvlJc w:val="left"/>
      <w:lvlText w:val="%1."/>
      <w:numFmt w:val="decimal"/>
      <w:start w:val="4"/>
    </w:lvl>
    <w:lvl w:ilvl="1">
      <w:lvlJc w:val="left"/>
      <w:lvlText w:val="%2)"/>
      <w:numFmt w:val="lowerLetter"/>
      <w:start w:val="1"/>
    </w:lvl>
  </w:abstractNum>
  <w:abstractNum w:abstractNumId="29">
    <w:nsid w:val="419AC241"/>
    <w:multiLevelType w:val="hybridMultilevel"/>
    <w:lvl w:ilvl="0">
      <w:lvlJc w:val="left"/>
      <w:lvlText w:val="%1."/>
      <w:numFmt w:val="decimal"/>
      <w:start w:val="5"/>
    </w:lvl>
  </w:abstractNum>
  <w:abstractNum w:abstractNumId="30">
    <w:nsid w:val="5577F8E1"/>
    <w:multiLevelType w:val="hybridMultilevel"/>
    <w:lvl w:ilvl="0">
      <w:lvlJc w:val="left"/>
      <w:lvlText w:val="%1."/>
      <w:numFmt w:val="decimal"/>
      <w:start w:val="7"/>
    </w:lvl>
  </w:abstractNum>
  <w:abstractNum w:abstractNumId="31">
    <w:nsid w:val="440BADFC"/>
    <w:multiLevelType w:val="hybridMultilevel"/>
    <w:lvl w:ilvl="0">
      <w:lvlJc w:val="left"/>
      <w:lvlText w:val="%1."/>
      <w:numFmt w:val="decimal"/>
      <w:start w:val="10"/>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3"/>
    </w:lvl>
    <w:lvl w:ilvl="1">
      <w:lvlJc w:val="left"/>
      <w:lvlText w:val="%2."/>
      <w:numFmt w:val="lowerLetter"/>
      <w:start w:val="1"/>
    </w:lvl>
  </w:abstractNum>
  <w:abstractNum w:abstractNumId="34">
    <w:nsid w:val="77465F01"/>
    <w:multiLevelType w:val="hybridMultilevel"/>
    <w:lvl w:ilvl="0">
      <w:lvlJc w:val="left"/>
      <w:lvlText w:val="%1."/>
      <w:numFmt w:val="decimal"/>
      <w:start w:val="8"/>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7" Type="http://schemas.openxmlformats.org/officeDocument/2006/relationships/image" Target="media/image352.png"/><Relationship Id="rId368" Type="http://schemas.openxmlformats.org/officeDocument/2006/relationships/image" Target="media/image353.png"/><Relationship Id="rId369" Type="http://schemas.openxmlformats.org/officeDocument/2006/relationships/image" Target="media/image354.png"/><Relationship Id="rId370" Type="http://schemas.openxmlformats.org/officeDocument/2006/relationships/image" Target="media/image355.png"/><Relationship Id="rId371" Type="http://schemas.openxmlformats.org/officeDocument/2006/relationships/image" Target="media/image356.png"/><Relationship Id="rId372" Type="http://schemas.openxmlformats.org/officeDocument/2006/relationships/image" Target="media/image357.png"/><Relationship Id="rId373" Type="http://schemas.openxmlformats.org/officeDocument/2006/relationships/image" Target="media/image358.pn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png"/><Relationship Id="rId381" Type="http://schemas.openxmlformats.org/officeDocument/2006/relationships/image" Target="media/image366.png"/><Relationship Id="rId382" Type="http://schemas.openxmlformats.org/officeDocument/2006/relationships/image" Target="media/image367.png"/><Relationship Id="rId383" Type="http://schemas.openxmlformats.org/officeDocument/2006/relationships/image" Target="media/image368.png"/><Relationship Id="rId384" Type="http://schemas.openxmlformats.org/officeDocument/2006/relationships/image" Target="media/image369.png"/><Relationship Id="rId385" Type="http://schemas.openxmlformats.org/officeDocument/2006/relationships/image" Target="media/image370.png"/><Relationship Id="rId386" Type="http://schemas.openxmlformats.org/officeDocument/2006/relationships/image" Target="media/image371.png"/><Relationship Id="rId387" Type="http://schemas.openxmlformats.org/officeDocument/2006/relationships/image" Target="media/image372.png"/><Relationship Id="rId388" Type="http://schemas.openxmlformats.org/officeDocument/2006/relationships/image" Target="media/image373.png"/><Relationship Id="rId389" Type="http://schemas.openxmlformats.org/officeDocument/2006/relationships/image" Target="media/image374.png"/><Relationship Id="rId390" Type="http://schemas.openxmlformats.org/officeDocument/2006/relationships/image" Target="media/image375.png"/><Relationship Id="rId391" Type="http://schemas.openxmlformats.org/officeDocument/2006/relationships/image" Target="media/image376.png"/><Relationship Id="rId357" Type="http://schemas.openxmlformats.org/officeDocument/2006/relationships/hyperlink" Target="https://www.sec.gov/Archives/edgar/data/1682745/000110465918041476/a18-15692_1ex2d1.htm" TargetMode="External"/><Relationship Id="rId358" Type="http://schemas.openxmlformats.org/officeDocument/2006/relationships/hyperlink" Target="https://www.sec.gov/Archives/edgar/data/1682745/000104746918005773/a2236552zex-2_2.htm" TargetMode="External"/><Relationship Id="rId361" Type="http://schemas.openxmlformats.org/officeDocument/2006/relationships/hyperlink" Target="https://www.sec.gov/Archives/edgar/data/1682745/000156459018024644/vrrm-ex31_941.htm" TargetMode="External"/><Relationship Id="rId362" Type="http://schemas.openxmlformats.org/officeDocument/2006/relationships/hyperlink" Target="https://www.sec.gov/Archives/edgar/data/1682745/000156459018024644/vrrm-ex32_939.htm" TargetMode="External"/><Relationship Id="rId363" Type="http://schemas.openxmlformats.org/officeDocument/2006/relationships/hyperlink" Target="https://www.sec.gov/Archives/edgar/data/1682745/000110465917003086/a17-2559_1ex4d1.htm" TargetMode="External"/><Relationship Id="rId364" Type="http://schemas.openxmlformats.org/officeDocument/2006/relationships/hyperlink" Target="https://www.sec.gov/Archives/edgar/data/1682745/000104746916017126/a2230401zex-4_2.htm" TargetMode="External"/><Relationship Id="rId365" Type="http://schemas.openxmlformats.org/officeDocument/2006/relationships/hyperlink" Target="https://www.sec.gov/Archives/edgar/data/1682745/000104746916017126/a2230401zex-4_3.htm" TargetMode="External"/><Relationship Id="rId366" Type="http://schemas.openxmlformats.org/officeDocument/2006/relationships/hyperlink" Target="https://www.sec.gov/Archives/edgar/data/1682745/000156459020008153/vrrm-ex44_29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2022-11-02T17:23:35Z</dcterms:created>
  <dcterms:modified xsi:type="dcterms:W3CDTF">2022-11-02T17:23:35Z</dcterms:modified>
</cp:coreProperties>
</file>