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22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222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Keyser Jonathan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676"/>
        <w:spacing w:after="0"/>
        <w:rPr>
          <w:sz w:val="20"/>
          <w:szCs w:val="20"/>
          <w:color w:val="auto"/>
        </w:rPr>
      </w:pPr>
      <w:r>
        <w:rPr>
          <w:rFonts w:ascii="Times New Roman" w:cs="Times New Roman" w:eastAsia="Times New Roman" w:hAnsi="Times New Roman"/>
          <w:sz w:val="17"/>
          <w:szCs w:val="17"/>
          <w:color w:val="0000FF"/>
        </w:rPr>
        <w:t>Interim President and CEO</w:t>
      </w:r>
    </w:p>
    <w:p>
      <w:pPr>
        <w:spacing w:after="0" w:line="304" w:lineRule="exact"/>
        <w:rPr>
          <w:sz w:val="24"/>
          <w:szCs w:val="24"/>
          <w:color w:val="auto"/>
        </w:rPr>
      </w:pPr>
    </w:p>
    <w:p>
      <w:pPr>
        <w:sectPr>
          <w:pgSz w:w="11900" w:h="16838" w:orient="portrait"/>
          <w:cols w:equalWidth="0" w:num="3">
            <w:col w:w="3300" w:space="6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MESA</w:t>
            </w:r>
          </w:p>
        </w:tc>
        <w:tc>
          <w:tcPr>
            <w:tcW w:w="18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AZ</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85201</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460,122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06/01/2026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460,122</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460,122</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21"/>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2026, the Reporting Person was granted restricted stock units, vesting in two (2) equal annual installments beginning on June 2, 2027, subject to the Reporting Person's continued service with the Issuer through each such vesting date. Vested shares will be delivered to the Reporting Person on each settlement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Jonathan Keyser</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4"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19"/>
          <w:szCs w:val="19"/>
          <w:color w:val="auto"/>
        </w:rPr>
        <w:t>The undersigned hereby makes, constitutes and appoints Craig Conti of Verra Mobility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Irina Abbas of Hogan Lovells US LLP, or either of them acting singly, and with full power of substitution, re-substitution and delegation,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229" w:lineRule="exact"/>
        <w:rPr>
          <w:sz w:val="20"/>
          <w:szCs w:val="20"/>
          <w:color w:val="auto"/>
        </w:rPr>
      </w:pPr>
    </w:p>
    <w:p>
      <w:pPr>
        <w:jc w:val="both"/>
        <w:ind w:left="620" w:hanging="313"/>
        <w:spacing w:after="0" w:line="23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utilizing the SEC’s Electronic Data Gathering and Retrieval (“</w:t>
      </w:r>
      <w:r>
        <w:rPr>
          <w:rFonts w:ascii="Times New Roman" w:cs="Times New Roman" w:eastAsia="Times New Roman" w:hAnsi="Times New Roman"/>
          <w:sz w:val="19"/>
          <w:szCs w:val="19"/>
          <w:u w:val="single" w:color="auto"/>
          <w:color w:val="auto"/>
        </w:rPr>
        <w:t>EDGAR</w:t>
      </w:r>
      <w:r>
        <w:rPr>
          <w:rFonts w:ascii="Times New Roman" w:cs="Times New Roman" w:eastAsia="Times New Roman" w:hAnsi="Times New Roman"/>
          <w:sz w:val="19"/>
          <w:szCs w:val="19"/>
          <w:color w:val="auto"/>
        </w:rPr>
        <w:t>”)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370" w:lineRule="exact"/>
        <w:rPr>
          <w:rFonts w:ascii="Times New Roman" w:cs="Times New Roman" w:eastAsia="Times New Roman" w:hAnsi="Times New Roman"/>
          <w:sz w:val="19"/>
          <w:szCs w:val="19"/>
          <w:color w:val="auto"/>
        </w:rPr>
      </w:pPr>
    </w:p>
    <w:p>
      <w:pPr>
        <w:jc w:val="both"/>
        <w:ind w:left="620" w:hanging="313"/>
        <w:spacing w:after="0" w:line="23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w:t>
      </w:r>
      <w:r>
        <w:rPr>
          <w:rFonts w:ascii="Times New Roman" w:cs="Times New Roman" w:eastAsia="Times New Roman" w:hAnsi="Times New Roman"/>
          <w:sz w:val="19"/>
          <w:szCs w:val="19"/>
          <w:u w:val="single" w:color="auto"/>
          <w:color w:val="auto"/>
        </w:rPr>
        <w:t>Rule 144</w:t>
      </w:r>
      <w:r>
        <w:rPr>
          <w:rFonts w:ascii="Times New Roman" w:cs="Times New Roman" w:eastAsia="Times New Roman" w:hAnsi="Times New Roman"/>
          <w:sz w:val="19"/>
          <w:szCs w:val="19"/>
          <w:color w:val="auto"/>
        </w:rPr>
        <w:t>”), including Forms 3, 4 and 5, Schedules 13D and 13G, and Forms 144 (all such forms, schedules and other documents being referred to herein as “</w:t>
      </w:r>
      <w:r>
        <w:rPr>
          <w:rFonts w:ascii="Times New Roman" w:cs="Times New Roman" w:eastAsia="Times New Roman" w:hAnsi="Times New Roman"/>
          <w:sz w:val="19"/>
          <w:szCs w:val="19"/>
          <w:u w:val="single" w:color="auto"/>
          <w:color w:val="auto"/>
        </w:rPr>
        <w:t>SEC Filings</w:t>
      </w:r>
      <w:r>
        <w:rPr>
          <w:rFonts w:ascii="Times New Roman" w:cs="Times New Roman" w:eastAsia="Times New Roman" w:hAnsi="Times New Roman"/>
          <w:sz w:val="19"/>
          <w:szCs w:val="19"/>
          <w:color w:val="auto"/>
        </w:rPr>
        <w:t>”);</w:t>
      </w:r>
    </w:p>
    <w:p>
      <w:pPr>
        <w:spacing w:after="0" w:line="370" w:lineRule="exact"/>
        <w:rPr>
          <w:rFonts w:ascii="Times New Roman" w:cs="Times New Roman" w:eastAsia="Times New Roman" w:hAnsi="Times New Roman"/>
          <w:sz w:val="19"/>
          <w:szCs w:val="19"/>
          <w:color w:val="auto"/>
        </w:rPr>
      </w:pPr>
    </w:p>
    <w:p>
      <w:pPr>
        <w:ind w:left="620" w:hanging="313"/>
        <w:spacing w:after="0" w:line="250"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359" w:lineRule="exact"/>
        <w:rPr>
          <w:rFonts w:ascii="Times New Roman" w:cs="Times New Roman" w:eastAsia="Times New Roman" w:hAnsi="Times New Roman"/>
          <w:sz w:val="19"/>
          <w:szCs w:val="19"/>
          <w:color w:val="auto"/>
        </w:rPr>
      </w:pPr>
    </w:p>
    <w:p>
      <w:pPr>
        <w:ind w:left="620" w:hanging="313"/>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392" w:lineRule="exact"/>
        <w:rPr>
          <w:rFonts w:ascii="Times New Roman" w:cs="Times New Roman" w:eastAsia="Times New Roman" w:hAnsi="Times New Roman"/>
          <w:sz w:val="19"/>
          <w:szCs w:val="19"/>
          <w:color w:val="auto"/>
        </w:rPr>
      </w:pPr>
    </w:p>
    <w:p>
      <w:pPr>
        <w:jc w:val="both"/>
        <w:ind w:left="620" w:hanging="313"/>
        <w:spacing w:after="0" w:line="23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70" w:lineRule="exact"/>
        <w:rPr>
          <w:rFonts w:ascii="Times New Roman" w:cs="Times New Roman" w:eastAsia="Times New Roman" w:hAnsi="Times New Roman"/>
          <w:sz w:val="19"/>
          <w:szCs w:val="19"/>
          <w:color w:val="auto"/>
        </w:rPr>
      </w:pPr>
    </w:p>
    <w:p>
      <w:pPr>
        <w:jc w:val="both"/>
        <w:ind w:left="620" w:hanging="313"/>
        <w:spacing w:after="0" w:line="237"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371" w:lineRule="exact"/>
        <w:rPr>
          <w:rFonts w:ascii="Times New Roman" w:cs="Times New Roman" w:eastAsia="Times New Roman" w:hAnsi="Times New Roman"/>
          <w:sz w:val="19"/>
          <w:szCs w:val="19"/>
          <w:color w:val="auto"/>
        </w:rPr>
      </w:pPr>
    </w:p>
    <w:p>
      <w:pPr>
        <w:jc w:val="both"/>
        <w:ind w:left="620" w:right="20" w:hanging="313"/>
        <w:spacing w:after="0" w:line="237"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3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214" w:lineRule="exact"/>
        <w:rPr>
          <w:sz w:val="20"/>
          <w:szCs w:val="20"/>
          <w:color w:val="auto"/>
        </w:rPr>
      </w:pPr>
    </w:p>
    <w:p>
      <w:pPr>
        <w:ind w:left="1080" w:hanging="301"/>
        <w:spacing w:after="0" w:line="250"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372" w:lineRule="exact"/>
        <w:rPr>
          <w:rFonts w:ascii="Times New Roman" w:cs="Times New Roman" w:eastAsia="Times New Roman" w:hAnsi="Times New Roman"/>
          <w:sz w:val="19"/>
          <w:szCs w:val="19"/>
          <w:color w:val="auto"/>
        </w:rPr>
      </w:pPr>
    </w:p>
    <w:p>
      <w:pPr>
        <w:ind w:left="1080" w:hanging="301"/>
        <w:spacing w:after="0" w:line="29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34" w:lineRule="exact"/>
        <w:rPr>
          <w:rFonts w:ascii="Times New Roman" w:cs="Times New Roman" w:eastAsia="Times New Roman" w:hAnsi="Times New Roman"/>
          <w:sz w:val="18"/>
          <w:szCs w:val="18"/>
          <w:color w:val="auto"/>
        </w:rPr>
      </w:pPr>
    </w:p>
    <w:p>
      <w:pPr>
        <w:jc w:val="both"/>
        <w:ind w:left="1080" w:hanging="301"/>
        <w:spacing w:after="0" w:line="246"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3" w:lineRule="exact"/>
        <w:rPr>
          <w:rFonts w:ascii="Times New Roman" w:cs="Times New Roman" w:eastAsia="Times New Roman" w:hAnsi="Times New Roman"/>
          <w:sz w:val="19"/>
          <w:szCs w:val="19"/>
          <w:color w:val="auto"/>
        </w:rPr>
      </w:pPr>
    </w:p>
    <w:p>
      <w:pPr>
        <w:jc w:val="both"/>
        <w:ind w:left="1080" w:hanging="301"/>
        <w:spacing w:after="0" w:line="250"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70" w:lineRule="exact"/>
        <w:rPr>
          <w:sz w:val="20"/>
          <w:szCs w:val="20"/>
          <w:color w:val="auto"/>
        </w:rPr>
      </w:pPr>
    </w:p>
    <w:p>
      <w:pPr>
        <w:jc w:val="both"/>
        <w:ind w:firstLine="778"/>
        <w:spacing w:after="0" w:line="255"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2" w:lineRule="exact"/>
        <w:rPr>
          <w:sz w:val="20"/>
          <w:szCs w:val="20"/>
          <w:color w:val="auto"/>
        </w:rPr>
      </w:pPr>
    </w:p>
    <w:p>
      <w:pPr>
        <w:jc w:val="both"/>
        <w:ind w:firstLine="778"/>
        <w:spacing w:after="0" w:line="251"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May 12, 2026.</w:t>
      </w:r>
    </w:p>
    <w:p>
      <w:pPr>
        <w:sectPr>
          <w:pgSz w:w="11900" w:h="16838" w:orient="portrait"/>
          <w:cols w:equalWidth="0" w:num="1">
            <w:col w:w="10980"/>
          </w:cols>
          <w:pgMar w:left="460" w:top="327" w:right="459" w:bottom="0" w:gutter="0" w:footer="0" w:header="0"/>
        </w:sectPr>
      </w:pPr>
    </w:p>
    <w:bookmarkStart w:id="2" w:name="page3"/>
    <w:bookmarkEnd w:id="2"/>
    <w:p>
      <w:pPr>
        <w:ind w:left="8520"/>
        <w:spacing w:after="0"/>
        <w:rPr>
          <w:sz w:val="20"/>
          <w:szCs w:val="20"/>
          <w:color w:val="auto"/>
        </w:rPr>
      </w:pPr>
      <w:r>
        <w:rPr>
          <w:rFonts w:ascii="Times New Roman" w:cs="Times New Roman" w:eastAsia="Times New Roman" w:hAnsi="Times New Roman"/>
          <w:sz w:val="18"/>
          <w:szCs w:val="18"/>
          <w:color w:val="auto"/>
        </w:rPr>
        <w:t>/s/ Jon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5410835</wp:posOffset>
            </wp:positionH>
            <wp:positionV relativeFrom="paragraph">
              <wp:posOffset>-4445</wp:posOffset>
            </wp:positionV>
            <wp:extent cx="908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8"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9"/>
          <w:szCs w:val="19"/>
          <w:color w:val="auto"/>
        </w:rPr>
        <w:t>Jon Keyser</w:t>
      </w:r>
    </w:p>
    <w:sectPr>
      <w:pgSz w:w="11900" w:h="16838" w:orient="portrait"/>
      <w:cols w:equalWidth="0" w:num="1">
        <w:col w:w="9580"/>
      </w:cols>
      <w:pgMar w:left="1440" w:top="14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56588"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2026-06-03T16:47:29Z</dcterms:created>
  <dcterms:modified xsi:type="dcterms:W3CDTF">2026-06-03T16:47:29Z</dcterms:modified>
</cp:coreProperties>
</file>