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732155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2653665</wp:posOffset>
            </wp:positionH>
            <wp:positionV relativeFrom="paragraph">
              <wp:posOffset>150495</wp:posOffset>
            </wp:positionV>
            <wp:extent cx="18427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42770" cy="8890"/>
                    </a:xfrm>
                    <a:prstGeom prst="rect">
                      <a:avLst/>
                    </a:prstGeom>
                    <a:noFill/>
                  </pic:spPr>
                </pic:pic>
              </a:graphicData>
            </a:graphic>
          </wp:anchor>
        </w:drawing>
      </w:r>
    </w:p>
    <w:p>
      <w:pPr>
        <w:spacing w:after="0" w:line="3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2653665</wp:posOffset>
            </wp:positionH>
            <wp:positionV relativeFrom="paragraph">
              <wp:posOffset>101600</wp:posOffset>
            </wp:positionV>
            <wp:extent cx="18427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42770" cy="8890"/>
                    </a:xfrm>
                    <a:prstGeom prst="rect">
                      <a:avLst/>
                    </a:prstGeom>
                    <a:noFill/>
                  </pic:spPr>
                </pic:pic>
              </a:graphicData>
            </a:graphic>
          </wp:anchor>
        </w:drawing>
      </w:r>
    </w:p>
    <w:p>
      <w:pPr>
        <w:spacing w:after="0" w:line="3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2653665</wp:posOffset>
            </wp:positionH>
            <wp:positionV relativeFrom="paragraph">
              <wp:posOffset>107950</wp:posOffset>
            </wp:positionV>
            <wp:extent cx="18427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42770" cy="8255"/>
                    </a:xfrm>
                    <a:prstGeom prst="rect">
                      <a:avLst/>
                    </a:prstGeom>
                    <a:noFill/>
                  </pic:spPr>
                </pic:pic>
              </a:graphicData>
            </a:graphic>
          </wp:anchor>
        </w:drawing>
      </w:r>
    </w:p>
    <w:p>
      <w:pPr>
        <w:spacing w:after="0" w:line="3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1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October 30,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2653665</wp:posOffset>
            </wp:positionH>
            <wp:positionV relativeFrom="paragraph">
              <wp:posOffset>80010</wp:posOffset>
            </wp:positionV>
            <wp:extent cx="18427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42770" cy="8255"/>
                    </a:xfrm>
                    <a:prstGeom prst="rect">
                      <a:avLst/>
                    </a:prstGeom>
                    <a:noFill/>
                  </pic:spPr>
                </pic:pic>
              </a:graphicData>
            </a:graphic>
          </wp:anchor>
        </w:drawing>
      </w:r>
    </w:p>
    <w:p>
      <w:pPr>
        <w:spacing w:after="0" w:line="2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VERRA MOBILITY CORPORATION</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2653665</wp:posOffset>
            </wp:positionH>
            <wp:positionV relativeFrom="paragraph">
              <wp:posOffset>142240</wp:posOffset>
            </wp:positionV>
            <wp:extent cx="18427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42770" cy="8255"/>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p>
      <w:pPr>
        <w:ind w:left="1500"/>
        <w:spacing w:after="0"/>
        <w:tabs>
          <w:tab w:leader="none" w:pos="5300" w:val="left"/>
          <w:tab w:leader="none" w:pos="8900" w:val="left"/>
        </w:tabs>
        <w:rPr>
          <w:sz w:val="20"/>
          <w:szCs w:val="20"/>
          <w:color w:val="auto"/>
        </w:rPr>
      </w:pPr>
      <w:r>
        <w:rPr>
          <w:rFonts w:ascii="Times New Roman" w:cs="Times New Roman" w:eastAsia="Times New Roman" w:hAnsi="Times New Roman"/>
          <w:sz w:val="18"/>
          <w:szCs w:val="18"/>
          <w:b w:val="1"/>
          <w:bCs w:val="1"/>
          <w:color w:val="auto"/>
        </w:rPr>
        <w:t>Delaware</w:t>
      </w:r>
      <w:r>
        <w:rPr>
          <w:sz w:val="20"/>
          <w:szCs w:val="20"/>
          <w:color w:val="auto"/>
        </w:rPr>
        <w:tab/>
      </w:r>
      <w:r>
        <w:rPr>
          <w:rFonts w:ascii="Times New Roman" w:cs="Times New Roman" w:eastAsia="Times New Roman" w:hAnsi="Times New Roman"/>
          <w:sz w:val="18"/>
          <w:szCs w:val="18"/>
          <w:b w:val="1"/>
          <w:bCs w:val="1"/>
          <w:color w:val="auto"/>
        </w:rPr>
        <w:t>1-37979</w:t>
      </w:r>
      <w:r>
        <w:rPr>
          <w:sz w:val="20"/>
          <w:szCs w:val="20"/>
          <w:color w:val="auto"/>
        </w:rPr>
        <w:tab/>
      </w:r>
      <w:r>
        <w:rPr>
          <w:rFonts w:ascii="Times New Roman" w:cs="Times New Roman" w:eastAsia="Times New Roman" w:hAnsi="Times New Roman"/>
          <w:sz w:val="18"/>
          <w:szCs w:val="18"/>
          <w:b w:val="1"/>
          <w:bCs w:val="1"/>
          <w:color w:val="auto"/>
        </w:rPr>
        <w:t>81-3563824</w:t>
      </w:r>
    </w:p>
    <w:p>
      <w:pPr>
        <w:spacing w:after="0" w:line="65" w:lineRule="exact"/>
        <w:rPr>
          <w:sz w:val="24"/>
          <w:szCs w:val="24"/>
          <w:color w:val="auto"/>
        </w:rPr>
      </w:pPr>
    </w:p>
    <w:p>
      <w:pPr>
        <w:ind w:left="900"/>
        <w:spacing w:after="0"/>
        <w:tabs>
          <w:tab w:leader="none" w:pos="5120" w:val="left"/>
          <w:tab w:leader="none" w:pos="8820" w:val="left"/>
        </w:tabs>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State or other jurisdiction</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Commission</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IRS Employer</w:t>
      </w:r>
    </w:p>
    <w:p>
      <w:pPr>
        <w:spacing w:after="0" w:line="29" w:lineRule="exact"/>
        <w:rPr>
          <w:sz w:val="24"/>
          <w:szCs w:val="24"/>
          <w:color w:val="auto"/>
        </w:rPr>
      </w:pPr>
    </w:p>
    <w:p>
      <w:pPr>
        <w:ind w:left="1240"/>
        <w:spacing w:after="0"/>
        <w:tabs>
          <w:tab w:leader="none" w:pos="5100" w:val="left"/>
          <w:tab w:leader="none" w:pos="8680" w:val="left"/>
        </w:tabs>
        <w:rPr>
          <w:sz w:val="20"/>
          <w:szCs w:val="20"/>
          <w:color w:val="auto"/>
        </w:rPr>
      </w:pPr>
      <w:r>
        <w:rPr>
          <w:rFonts w:ascii="Times New Roman" w:cs="Times New Roman" w:eastAsia="Times New Roman" w:hAnsi="Times New Roman"/>
          <w:sz w:val="18"/>
          <w:szCs w:val="18"/>
          <w:i w:val="1"/>
          <w:iCs w:val="1"/>
          <w:color w:val="auto"/>
        </w:rPr>
        <w:t>of incorporation</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i w:val="1"/>
          <w:iCs w:val="1"/>
          <w:color w:val="auto"/>
        </w:rPr>
        <w:t>File Number</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i w:val="1"/>
          <w:iCs w:val="1"/>
          <w:color w:val="auto"/>
        </w:rPr>
        <w:t>Identification No.</w:t>
      </w:r>
      <w:r>
        <w:rPr>
          <w:rFonts w:ascii="Times New Roman" w:cs="Times New Roman" w:eastAsia="Times New Roman" w:hAnsi="Times New Roman"/>
          <w:sz w:val="17"/>
          <w:szCs w:val="17"/>
          <w:color w:val="auto"/>
        </w:rPr>
        <w:t>)</w:t>
      </w:r>
    </w:p>
    <w:p>
      <w:pPr>
        <w:spacing w:after="0" w:line="243" w:lineRule="exact"/>
        <w:rPr>
          <w:sz w:val="24"/>
          <w:szCs w:val="24"/>
          <w:color w:val="auto"/>
        </w:rPr>
      </w:pPr>
    </w:p>
    <w:p>
      <w:pPr>
        <w:ind w:left="1400"/>
        <w:spacing w:after="0"/>
        <w:tabs>
          <w:tab w:leader="none" w:pos="8200" w:val="left"/>
        </w:tabs>
        <w:rPr>
          <w:sz w:val="20"/>
          <w:szCs w:val="20"/>
          <w:color w:val="auto"/>
        </w:rPr>
      </w:pPr>
      <w:r>
        <w:rPr>
          <w:rFonts w:ascii="Times New Roman" w:cs="Times New Roman" w:eastAsia="Times New Roman" w:hAnsi="Times New Roman"/>
          <w:sz w:val="18"/>
          <w:szCs w:val="18"/>
          <w:b w:val="1"/>
          <w:bCs w:val="1"/>
          <w:color w:val="auto"/>
        </w:rPr>
        <w:t>2046 Riverview Auto Drive, Suite 300</w:t>
      </w:r>
      <w:r>
        <w:rPr>
          <w:sz w:val="20"/>
          <w:szCs w:val="20"/>
          <w:color w:val="auto"/>
        </w:rPr>
        <w:tab/>
      </w:r>
      <w:r>
        <w:rPr>
          <w:rFonts w:ascii="Times New Roman" w:cs="Times New Roman" w:eastAsia="Times New Roman" w:hAnsi="Times New Roman"/>
          <w:sz w:val="18"/>
          <w:szCs w:val="18"/>
          <w:b w:val="1"/>
          <w:bCs w:val="1"/>
          <w:color w:val="auto"/>
        </w:rPr>
        <w:t>85201</w:t>
      </w:r>
    </w:p>
    <w:p>
      <w:pPr>
        <w:spacing w:after="0" w:line="36" w:lineRule="exact"/>
        <w:rPr>
          <w:sz w:val="24"/>
          <w:szCs w:val="24"/>
          <w:color w:val="auto"/>
        </w:rPr>
      </w:pPr>
    </w:p>
    <w:p>
      <w:pPr>
        <w:ind w:left="2260"/>
        <w:spacing w:after="0"/>
        <w:tabs>
          <w:tab w:leader="none" w:pos="8020" w:val="left"/>
        </w:tabs>
        <w:rPr>
          <w:sz w:val="20"/>
          <w:szCs w:val="20"/>
          <w:color w:val="auto"/>
        </w:rPr>
      </w:pPr>
      <w:r>
        <w:rPr>
          <w:rFonts w:ascii="Times New Roman" w:cs="Times New Roman" w:eastAsia="Times New Roman" w:hAnsi="Times New Roman"/>
          <w:sz w:val="18"/>
          <w:szCs w:val="18"/>
          <w:b w:val="1"/>
          <w:bCs w:val="1"/>
          <w:color w:val="auto"/>
        </w:rPr>
        <w:t>Mesa, Arizona</w:t>
      </w:r>
      <w:r>
        <w:rPr>
          <w:sz w:val="20"/>
          <w:szCs w:val="20"/>
          <w:color w:val="auto"/>
        </w:rPr>
        <w:tab/>
      </w:r>
      <w:r>
        <w:rPr>
          <w:rFonts w:ascii="Times New Roman" w:cs="Times New Roman" w:eastAsia="Times New Roman" w:hAnsi="Times New Roman"/>
          <w:sz w:val="17"/>
          <w:szCs w:val="17"/>
          <w:i w:val="1"/>
          <w:iCs w:val="1"/>
          <w:color w:val="auto"/>
        </w:rPr>
        <w:t>(Zip Code)</w:t>
      </w:r>
    </w:p>
    <w:p>
      <w:pPr>
        <w:spacing w:after="0" w:line="38" w:lineRule="exact"/>
        <w:rPr>
          <w:sz w:val="24"/>
          <w:szCs w:val="24"/>
          <w:color w:val="auto"/>
        </w:rPr>
      </w:pPr>
    </w:p>
    <w:p>
      <w:pPr>
        <w:ind w:left="1420"/>
        <w:spacing w:after="0"/>
        <w:rPr>
          <w:sz w:val="20"/>
          <w:szCs w:val="20"/>
          <w:color w:val="auto"/>
        </w:rPr>
      </w:pPr>
      <w:r>
        <w:rPr>
          <w:rFonts w:ascii="Times New Roman" w:cs="Times New Roman" w:eastAsia="Times New Roman" w:hAnsi="Times New Roman"/>
          <w:sz w:val="18"/>
          <w:szCs w:val="18"/>
          <w:i w:val="1"/>
          <w:iCs w:val="1"/>
          <w:color w:val="auto"/>
        </w:rPr>
        <w:t>(Address of principal executive offices)</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(480) 443-7000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Registrant’s telephone number, including area code</w:t>
      </w:r>
      <w:r>
        <w:rPr>
          <w:rFonts w:ascii="Times New Roman" w:cs="Times New Roman" w:eastAsia="Times New Roman" w:hAnsi="Times New Roman"/>
          <w:sz w:val="18"/>
          <w:szCs w:val="18"/>
          <w:color w:val="auto"/>
        </w:rPr>
        <w:t>)</w:t>
      </w:r>
    </w:p>
    <w:p>
      <w:pPr>
        <w:spacing w:after="0" w:line="1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Former name or former address, if changed since last report</w:t>
      </w:r>
      <w:r>
        <w:rPr>
          <w:rFonts w:ascii="Times New Roman" w:cs="Times New Roman" w:eastAsia="Times New Roman" w:hAnsi="Times New Roman"/>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2653665</wp:posOffset>
            </wp:positionH>
            <wp:positionV relativeFrom="paragraph">
              <wp:posOffset>142875</wp:posOffset>
            </wp:positionV>
            <wp:extent cx="18427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842770" cy="8890"/>
                    </a:xfrm>
                    <a:prstGeom prst="rect">
                      <a:avLst/>
                    </a:prstGeom>
                    <a:noFill/>
                  </pic:spPr>
                </pic:pic>
              </a:graphicData>
            </a:graphic>
          </wp:anchor>
        </w:drawing>
      </w:r>
    </w:p>
    <w:p>
      <w:pPr>
        <w:spacing w:after="0" w:line="389"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is intended to simultaneously satisfy the filing obligation of the registrant under any of the following provisions:</w:t>
      </w:r>
    </w:p>
    <w:p>
      <w:pPr>
        <w:spacing w:after="0" w:line="135" w:lineRule="exact"/>
        <w:rPr>
          <w:sz w:val="24"/>
          <w:szCs w:val="24"/>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44"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44"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44"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41" w:lineRule="exact"/>
        <w:rPr>
          <w:sz w:val="24"/>
          <w:szCs w:val="24"/>
          <w:color w:val="auto"/>
        </w:rPr>
      </w:pPr>
    </w:p>
    <w:tbl>
      <w:tblPr>
        <w:tblLayout w:type="fixed"/>
        <w:tblInd w:w="0" w:type="dxa"/>
        <w:tblCellMar>
          <w:top w:w="0" w:type="dxa"/>
          <w:left w:w="0" w:type="dxa"/>
          <w:bottom w:w="0" w:type="dxa"/>
          <w:right w:w="0" w:type="dxa"/>
        </w:tblCellMar>
      </w:tblPr>
      <w:tr>
        <w:trPr>
          <w:trHeight w:val="212"/>
        </w:trPr>
        <w:tc>
          <w:tcPr>
            <w:tcW w:w="46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i w:val="1"/>
                <w:iCs w:val="1"/>
                <w:color w:val="auto"/>
              </w:rPr>
              <w:t>(Title of each class)</w:t>
            </w:r>
          </w:p>
        </w:tc>
        <w:tc>
          <w:tcPr>
            <w:tcW w:w="21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i w:val="1"/>
                <w:iCs w:val="1"/>
                <w:color w:val="auto"/>
              </w:rPr>
              <w:t>(Trading symbol)</w:t>
            </w:r>
          </w:p>
        </w:tc>
        <w:tc>
          <w:tcPr>
            <w:tcW w:w="4520" w:type="dxa"/>
            <w:vAlign w:val="bottom"/>
          </w:tcPr>
          <w:p>
            <w:pPr>
              <w:jc w:val="center"/>
              <w:spacing w:after="0"/>
              <w:rPr>
                <w:sz w:val="20"/>
                <w:szCs w:val="20"/>
                <w:color w:val="auto"/>
              </w:rPr>
            </w:pPr>
            <w:r>
              <w:rPr>
                <w:rFonts w:ascii="Times New Roman" w:cs="Times New Roman" w:eastAsia="Times New Roman" w:hAnsi="Times New Roman"/>
                <w:sz w:val="16"/>
                <w:szCs w:val="16"/>
                <w:i w:val="1"/>
                <w:iCs w:val="1"/>
                <w:color w:val="auto"/>
              </w:rPr>
              <w:t>(Name of each exchange on which registered)</w:t>
            </w:r>
          </w:p>
        </w:tc>
      </w:tr>
      <w:tr>
        <w:trPr>
          <w:trHeight w:val="33"/>
        </w:trPr>
        <w:tc>
          <w:tcPr>
            <w:tcW w:w="4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520" w:type="dxa"/>
            <w:vAlign w:val="bottom"/>
            <w:tcBorders>
              <w:bottom w:val="single" w:sz="8" w:color="auto"/>
            </w:tcBorders>
          </w:tcPr>
          <w:p>
            <w:pPr>
              <w:spacing w:after="0"/>
              <w:rPr>
                <w:sz w:val="2"/>
                <w:szCs w:val="2"/>
                <w:color w:val="auto"/>
              </w:rPr>
            </w:pPr>
          </w:p>
        </w:tc>
      </w:tr>
      <w:tr>
        <w:trPr>
          <w:trHeight w:val="217"/>
        </w:trPr>
        <w:tc>
          <w:tcPr>
            <w:tcW w:w="46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Class A common stock, par value $0.0001 per share</w:t>
            </w:r>
          </w:p>
        </w:tc>
        <w:tc>
          <w:tcPr>
            <w:tcW w:w="21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VRRM</w:t>
            </w:r>
          </w:p>
        </w:tc>
        <w:tc>
          <w:tcPr>
            <w:tcW w:w="45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Nasdaq Capital Market</w:t>
            </w:r>
          </w:p>
        </w:tc>
      </w:tr>
    </w:tbl>
    <w:p>
      <w:pPr>
        <w:spacing w:after="0" w:line="231" w:lineRule="exact"/>
        <w:rPr>
          <w:sz w:val="24"/>
          <w:szCs w:val="24"/>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54" w:lineRule="exact"/>
        <w:rPr>
          <w:sz w:val="24"/>
          <w:szCs w:val="24"/>
          <w:color w:val="auto"/>
        </w:rPr>
      </w:pPr>
    </w:p>
    <w:p>
      <w:pPr>
        <w:ind w:left="300" w:hanging="292"/>
        <w:spacing w:after="0"/>
        <w:tabs>
          <w:tab w:leader="none" w:pos="3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Emerging growth company</w:t>
      </w:r>
    </w:p>
    <w:p>
      <w:pPr>
        <w:spacing w:after="0" w:line="29" w:lineRule="exact"/>
        <w:rPr>
          <w:rFonts w:ascii="MS PGothic" w:cs="MS PGothic" w:eastAsia="MS PGothic" w:hAnsi="MS PGothic"/>
          <w:sz w:val="18"/>
          <w:szCs w:val="18"/>
          <w:color w:val="auto"/>
        </w:rPr>
      </w:pPr>
    </w:p>
    <w:p>
      <w:pPr>
        <w:ind w:firstLine="8"/>
        <w:spacing w:after="0" w:line="258" w:lineRule="auto"/>
        <w:tabs>
          <w:tab w:leader="none" w:pos="319"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50800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76200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58" w:right="3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8"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85" w:lineRule="exact"/>
        <w:rPr>
          <w:sz w:val="20"/>
          <w:szCs w:val="20"/>
          <w:color w:val="auto"/>
        </w:rPr>
      </w:pPr>
    </w:p>
    <w:p>
      <w:pPr>
        <w:ind w:right="20" w:firstLine="648"/>
        <w:spacing w:after="0" w:line="286" w:lineRule="auto"/>
        <w:rPr>
          <w:sz w:val="20"/>
          <w:szCs w:val="20"/>
          <w:color w:val="auto"/>
        </w:rPr>
      </w:pPr>
      <w:r>
        <w:rPr>
          <w:rFonts w:ascii="Times New Roman" w:cs="Times New Roman" w:eastAsia="Times New Roman" w:hAnsi="Times New Roman"/>
          <w:sz w:val="18"/>
          <w:szCs w:val="18"/>
          <w:color w:val="auto"/>
        </w:rPr>
        <w:t>On October 30, 2026, Verra Mobility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issued a press release announcing its financial results for the quarter ended September 30, 2026. A copy of the press release is furnished as Exhibit 99.1 to this Current Report on Form 8-K.</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02"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As previously announced, given the pending leadership transitions, the Company will not hold a conference call in connection with the release of its third quarter financial results. The Company expects to resume its customary quarterly earnings conference calls beginning with its fourth quarter and full-year 2026 results.</w:t>
      </w:r>
    </w:p>
    <w:p>
      <w:pPr>
        <w:spacing w:after="0" w:line="13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October 30, 2026, the Company posted supplemental investor materials on its investor relations website at ir.verramobility.com. The Company uses its investor relations website as a means of disclosing material non-public information, announcing upcoming investor conferences, and for complying with its disclosure obligations under Regulation FD. Accordingly, investors should monitor the Company’s investor relations website in addition to following its press releases, filings with the Securities and Exchange Commission, and public conference calls and webcasts.</w:t>
      </w:r>
    </w:p>
    <w:p>
      <w:pPr>
        <w:spacing w:after="0" w:line="13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information being furnished pursuant to Item 2.02, including Exhibit 99.1, and Item 7.01 of this Current Report on Form 8-K shall not be deemed “filed” for purposes of Section 18 of the Securities Exchange Act of 1934, as amended (the “</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or otherwise subject to the liabilities of that section, and shall not be incorporated by reference into any other document filed under the Securities Act of 1933, as amended, or the Exchange Act, except as expressly set forth by specific reference in such filing.</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89" w:lineRule="exact"/>
        <w:rPr>
          <w:sz w:val="20"/>
          <w:szCs w:val="20"/>
          <w:color w:val="auto"/>
        </w:rPr>
      </w:pPr>
    </w:p>
    <w:p>
      <w:pPr>
        <w:ind w:left="1260" w:hanging="552"/>
        <w:spacing w:after="0"/>
        <w:tabs>
          <w:tab w:leader="none" w:pos="1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9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92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Description of Exhibits</w:t>
            </w:r>
          </w:p>
        </w:tc>
      </w:tr>
      <w:tr>
        <w:trPr>
          <w:trHeight w:val="216"/>
        </w:trPr>
        <w:tc>
          <w:tcPr>
            <w:tcW w:w="1860" w:type="dxa"/>
            <w:vAlign w:val="bottom"/>
            <w:tcBorders>
              <w:top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color w:val="auto"/>
              </w:rPr>
              <w:t>99.1</w:t>
            </w:r>
          </w:p>
        </w:tc>
        <w:tc>
          <w:tcPr>
            <w:tcW w:w="100" w:type="dxa"/>
            <w:vAlign w:val="bottom"/>
          </w:tcPr>
          <w:p>
            <w:pPr>
              <w:spacing w:after="0"/>
              <w:rPr>
                <w:sz w:val="18"/>
                <w:szCs w:val="18"/>
                <w:color w:val="auto"/>
              </w:rPr>
            </w:pPr>
          </w:p>
        </w:tc>
        <w:tc>
          <w:tcPr>
            <w:tcW w:w="928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0000FF"/>
              </w:rPr>
              <w:t>Press Release, dated October 30, 2026, issued by Verra Mobility Corporation.</w:t>
            </w:r>
          </w:p>
        </w:tc>
      </w:tr>
      <w:tr>
        <w:trPr>
          <w:trHeight w:val="20"/>
        </w:trPr>
        <w:tc>
          <w:tcPr>
            <w:tcW w:w="1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0" w:type="dxa"/>
            <w:vAlign w:val="bottom"/>
            <w:shd w:val="clear" w:color="auto" w:fill="0000FF"/>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r>
    </w:tbl>
    <w:p>
      <w:pPr>
        <w:spacing w:after="0" w:line="63" w:lineRule="exact"/>
        <w:rPr>
          <w:sz w:val="20"/>
          <w:szCs w:val="20"/>
          <w:color w:val="auto"/>
        </w:rPr>
      </w:pPr>
    </w:p>
    <w:p>
      <w:pPr>
        <w:ind w:left="1980" w:hanging="1182"/>
        <w:spacing w:after="0"/>
        <w:tabs>
          <w:tab w:leader="none" w:pos="1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11" w:lineRule="exact"/>
        <w:rPr>
          <w:rFonts w:ascii="Times New Roman" w:cs="Times New Roman" w:eastAsia="Times New Roman" w:hAnsi="Times New Roman"/>
          <w:sz w:val="18"/>
          <w:szCs w:val="18"/>
          <w:color w:val="auto"/>
        </w:rPr>
      </w:pPr>
    </w:p>
    <w:p>
      <w:pPr>
        <w:ind w:left="5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2"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0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85"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Dated: October 30, 2026</w:t>
            </w:r>
          </w:p>
        </w:tc>
        <w:tc>
          <w:tcPr>
            <w:tcW w:w="7540" w:type="dxa"/>
            <w:vAlign w:val="bottom"/>
            <w:gridSpan w:val="2"/>
          </w:tcPr>
          <w:p>
            <w:pPr>
              <w:ind w:left="2880"/>
              <w:spacing w:after="0"/>
              <w:rPr>
                <w:sz w:val="20"/>
                <w:szCs w:val="20"/>
                <w:color w:val="auto"/>
              </w:rPr>
            </w:pPr>
            <w:r>
              <w:rPr>
                <w:rFonts w:ascii="Times New Roman" w:cs="Times New Roman" w:eastAsia="Times New Roman" w:hAnsi="Times New Roman"/>
                <w:sz w:val="18"/>
                <w:szCs w:val="18"/>
                <w:b w:val="1"/>
                <w:bCs w:val="1"/>
                <w:color w:val="auto"/>
              </w:rPr>
              <w:t>Verra Mobility Corporation</w:t>
            </w:r>
          </w:p>
        </w:tc>
      </w:tr>
      <w:tr>
        <w:trPr>
          <w:trHeight w:val="439"/>
        </w:trPr>
        <w:tc>
          <w:tcPr>
            <w:tcW w:w="3680" w:type="dxa"/>
            <w:vAlign w:val="bottom"/>
          </w:tcPr>
          <w:p>
            <w:pPr>
              <w:spacing w:after="0"/>
              <w:rPr>
                <w:sz w:val="24"/>
                <w:szCs w:val="24"/>
                <w:color w:val="auto"/>
              </w:rPr>
            </w:pPr>
          </w:p>
        </w:tc>
        <w:tc>
          <w:tcPr>
            <w:tcW w:w="3600" w:type="dxa"/>
            <w:vAlign w:val="bottom"/>
          </w:tcPr>
          <w:p>
            <w:pPr>
              <w:ind w:left="2880"/>
              <w:spacing w:after="0"/>
              <w:rPr>
                <w:sz w:val="20"/>
                <w:szCs w:val="20"/>
                <w:color w:val="auto"/>
              </w:rPr>
            </w:pPr>
            <w:r>
              <w:rPr>
                <w:rFonts w:ascii="Times New Roman" w:cs="Times New Roman" w:eastAsia="Times New Roman" w:hAnsi="Times New Roman"/>
                <w:sz w:val="18"/>
                <w:szCs w:val="18"/>
                <w:color w:val="auto"/>
              </w:rPr>
              <w:t>By:</w:t>
            </w:r>
          </w:p>
        </w:tc>
        <w:tc>
          <w:tcPr>
            <w:tcW w:w="3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Craig Conti</w:t>
            </w:r>
          </w:p>
        </w:tc>
      </w:tr>
      <w:tr>
        <w:trPr>
          <w:trHeight w:val="257"/>
        </w:trPr>
        <w:tc>
          <w:tcPr>
            <w:tcW w:w="3680" w:type="dxa"/>
            <w:vAlign w:val="bottom"/>
          </w:tcPr>
          <w:p>
            <w:pPr>
              <w:spacing w:after="0"/>
              <w:rPr>
                <w:sz w:val="22"/>
                <w:szCs w:val="22"/>
                <w:color w:val="auto"/>
              </w:rPr>
            </w:pPr>
          </w:p>
        </w:tc>
        <w:tc>
          <w:tcPr>
            <w:tcW w:w="3600" w:type="dxa"/>
            <w:vAlign w:val="bottom"/>
          </w:tcPr>
          <w:p>
            <w:pPr>
              <w:ind w:left="2880"/>
              <w:spacing w:after="0"/>
              <w:rPr>
                <w:sz w:val="20"/>
                <w:szCs w:val="20"/>
                <w:color w:val="auto"/>
              </w:rPr>
            </w:pPr>
            <w:r>
              <w:rPr>
                <w:rFonts w:ascii="Times New Roman" w:cs="Times New Roman" w:eastAsia="Times New Roman" w:hAnsi="Times New Roman"/>
                <w:sz w:val="18"/>
                <w:szCs w:val="18"/>
                <w:color w:val="auto"/>
              </w:rPr>
              <w:t>Name:</w:t>
            </w:r>
          </w:p>
        </w:tc>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Craig Conti</w:t>
            </w:r>
          </w:p>
        </w:tc>
      </w:tr>
      <w:tr>
        <w:trPr>
          <w:trHeight w:val="270"/>
        </w:trPr>
        <w:tc>
          <w:tcPr>
            <w:tcW w:w="3680" w:type="dxa"/>
            <w:vAlign w:val="bottom"/>
          </w:tcPr>
          <w:p>
            <w:pPr>
              <w:spacing w:after="0"/>
              <w:rPr>
                <w:sz w:val="23"/>
                <w:szCs w:val="23"/>
                <w:color w:val="auto"/>
              </w:rPr>
            </w:pPr>
          </w:p>
        </w:tc>
        <w:tc>
          <w:tcPr>
            <w:tcW w:w="3600" w:type="dxa"/>
            <w:vAlign w:val="bottom"/>
          </w:tcPr>
          <w:p>
            <w:pPr>
              <w:ind w:left="2880"/>
              <w:spacing w:after="0"/>
              <w:rPr>
                <w:sz w:val="20"/>
                <w:szCs w:val="20"/>
                <w:color w:val="auto"/>
              </w:rPr>
            </w:pPr>
            <w:r>
              <w:rPr>
                <w:rFonts w:ascii="Times New Roman" w:cs="Times New Roman" w:eastAsia="Times New Roman" w:hAnsi="Times New Roman"/>
                <w:sz w:val="18"/>
                <w:szCs w:val="18"/>
                <w:color w:val="auto"/>
              </w:rPr>
              <w:t>Title:</w:t>
            </w:r>
          </w:p>
        </w:tc>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918"/>
        </w:trPr>
        <w:tc>
          <w:tcPr>
            <w:tcW w:w="3680" w:type="dxa"/>
            <w:vAlign w:val="bottom"/>
          </w:tcPr>
          <w:p>
            <w:pPr>
              <w:spacing w:after="0"/>
              <w:rPr>
                <w:sz w:val="24"/>
                <w:szCs w:val="24"/>
                <w:color w:val="auto"/>
              </w:rPr>
            </w:pPr>
          </w:p>
        </w:tc>
        <w:tc>
          <w:tcPr>
            <w:tcW w:w="360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3</w:t>
            </w:r>
          </w:p>
        </w:tc>
        <w:tc>
          <w:tcPr>
            <w:tcW w:w="3940" w:type="dxa"/>
            <w:vAlign w:val="bottom"/>
          </w:tcPr>
          <w:p>
            <w:pPr>
              <w:spacing w:after="0"/>
              <w:rPr>
                <w:sz w:val="24"/>
                <w:szCs w:val="24"/>
                <w:color w:val="auto"/>
              </w:rPr>
            </w:pPr>
          </w:p>
        </w:tc>
      </w:tr>
    </w:tbl>
    <w:p>
      <w:pPr>
        <w:sectPr>
          <w:pgSz w:w="11900" w:h="16838" w:orient="portrait"/>
          <w:cols w:equalWidth="0" w:num="1">
            <w:col w:w="11240"/>
          </w:cols>
          <w:pgMar w:left="320" w:top="1103"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483235</wp:posOffset>
            </wp:positionV>
            <wp:extent cx="1971675" cy="6515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971675" cy="651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Verra Mobility Announces Third Quarter 2026 Financial Results</w:t>
      </w:r>
    </w:p>
    <w:p>
      <w:pPr>
        <w:spacing w:after="0" w:line="296" w:lineRule="exact"/>
        <w:rPr>
          <w:sz w:val="20"/>
          <w:szCs w:val="20"/>
          <w:color w:val="auto"/>
        </w:rPr>
      </w:pPr>
    </w:p>
    <w:p>
      <w:pPr>
        <w:ind w:left="720" w:hanging="388"/>
        <w:spacing w:after="0"/>
        <w:tabs>
          <w:tab w:leader="none" w:pos="72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Total revenue of $258.9 million</w:t>
      </w:r>
    </w:p>
    <w:p>
      <w:pPr>
        <w:spacing w:after="0" w:line="107" w:lineRule="exact"/>
        <w:rPr>
          <w:rFonts w:ascii="Times New Roman" w:cs="Times New Roman" w:eastAsia="Times New Roman" w:hAnsi="Times New Roman"/>
          <w:sz w:val="20"/>
          <w:szCs w:val="20"/>
          <w:color w:val="auto"/>
        </w:rPr>
      </w:pPr>
    </w:p>
    <w:p>
      <w:pPr>
        <w:ind w:left="720" w:hanging="388"/>
        <w:spacing w:after="0"/>
        <w:tabs>
          <w:tab w:leader="none" w:pos="72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Net income of $40.4 million</w:t>
      </w:r>
    </w:p>
    <w:p>
      <w:pPr>
        <w:spacing w:after="0" w:line="121" w:lineRule="exact"/>
        <w:rPr>
          <w:rFonts w:ascii="Times New Roman" w:cs="Times New Roman" w:eastAsia="Times New Roman" w:hAnsi="Times New Roman"/>
          <w:sz w:val="20"/>
          <w:szCs w:val="20"/>
          <w:color w:val="auto"/>
        </w:rPr>
      </w:pPr>
    </w:p>
    <w:p>
      <w:pPr>
        <w:ind w:left="720" w:hanging="388"/>
        <w:spacing w:after="0"/>
        <w:tabs>
          <w:tab w:leader="none" w:pos="72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Net cash provided from operations of $114.5 million</w:t>
      </w:r>
    </w:p>
    <w:p>
      <w:pPr>
        <w:spacing w:after="0" w:line="107" w:lineRule="exact"/>
        <w:rPr>
          <w:rFonts w:ascii="Times New Roman" w:cs="Times New Roman" w:eastAsia="Times New Roman" w:hAnsi="Times New Roman"/>
          <w:sz w:val="20"/>
          <w:szCs w:val="20"/>
          <w:color w:val="auto"/>
        </w:rPr>
      </w:pPr>
    </w:p>
    <w:p>
      <w:pPr>
        <w:ind w:left="740" w:right="640" w:hanging="408"/>
        <w:spacing w:after="0" w:line="283" w:lineRule="auto"/>
        <w:tabs>
          <w:tab w:leader="none" w:pos="728"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Record bookings quarter in Government Solutions, excluding quarter in which we booked the New York City Department of Transportation (“</w:t>
      </w:r>
      <w:r>
        <w:rPr>
          <w:rFonts w:ascii="Times New Roman" w:cs="Times New Roman" w:eastAsia="Times New Roman" w:hAnsi="Times New Roman"/>
          <w:sz w:val="20"/>
          <w:szCs w:val="20"/>
          <w:b w:val="1"/>
          <w:bCs w:val="1"/>
          <w:i w:val="1"/>
          <w:iCs w:val="1"/>
          <w:color w:val="auto"/>
        </w:rPr>
        <w:t>NYCDOT</w:t>
      </w:r>
      <w:r>
        <w:rPr>
          <w:rFonts w:ascii="Times New Roman" w:cs="Times New Roman" w:eastAsia="Times New Roman" w:hAnsi="Times New Roman"/>
          <w:sz w:val="20"/>
          <w:szCs w:val="20"/>
          <w:color w:val="auto"/>
        </w:rPr>
        <w:t>”) contract renewal</w:t>
      </w:r>
    </w:p>
    <w:p>
      <w:pPr>
        <w:spacing w:after="0" w:line="38" w:lineRule="exact"/>
        <w:rPr>
          <w:rFonts w:ascii="Times New Roman" w:cs="Times New Roman" w:eastAsia="Times New Roman" w:hAnsi="Times New Roman"/>
          <w:sz w:val="20"/>
          <w:szCs w:val="20"/>
          <w:color w:val="auto"/>
        </w:rPr>
      </w:pPr>
    </w:p>
    <w:p>
      <w:pPr>
        <w:ind w:left="720" w:hanging="388"/>
        <w:spacing w:after="0"/>
        <w:tabs>
          <w:tab w:leader="none" w:pos="72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Reaffirming fiscal year 2026 guidance provided August 5, 2026</w:t>
      </w:r>
    </w:p>
    <w:p>
      <w:pPr>
        <w:spacing w:after="0" w:line="121" w:lineRule="exact"/>
        <w:rPr>
          <w:rFonts w:ascii="Times New Roman" w:cs="Times New Roman" w:eastAsia="Times New Roman" w:hAnsi="Times New Roman"/>
          <w:sz w:val="20"/>
          <w:szCs w:val="20"/>
          <w:color w:val="auto"/>
        </w:rPr>
      </w:pPr>
    </w:p>
    <w:p>
      <w:pPr>
        <w:ind w:left="720" w:hanging="388"/>
        <w:spacing w:after="0"/>
        <w:tabs>
          <w:tab w:leader="none" w:pos="72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Board appointed Matthew Kvarda as Interim Chief Financial Officer</w:t>
      </w:r>
    </w:p>
    <w:p>
      <w:pPr>
        <w:spacing w:after="0" w:line="148" w:lineRule="exact"/>
        <w:rPr>
          <w:rFonts w:ascii="Times New Roman" w:cs="Times New Roman" w:eastAsia="Times New Roman" w:hAnsi="Times New Roman"/>
          <w:sz w:val="20"/>
          <w:szCs w:val="20"/>
          <w:color w:val="auto"/>
        </w:rPr>
      </w:pPr>
    </w:p>
    <w:p>
      <w:pPr>
        <w:ind w:left="740" w:hanging="408"/>
        <w:spacing w:after="0"/>
        <w:tabs>
          <w:tab w:leader="none" w:pos="74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Update on Commercial Services’ customer contracts</w:t>
      </w:r>
    </w:p>
    <w:p>
      <w:pPr>
        <w:spacing w:after="0" w:line="81"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20"/>
          <w:szCs w:val="20"/>
          <w:b w:val="1"/>
          <w:bCs w:val="1"/>
          <w:color w:val="auto"/>
        </w:rPr>
        <w:t xml:space="preserve">MESA, Ariz., October 30, 2026 /PRNewswire/ – </w:t>
      </w:r>
      <w:r>
        <w:rPr>
          <w:rFonts w:ascii="Times New Roman" w:cs="Times New Roman" w:eastAsia="Times New Roman" w:hAnsi="Times New Roman"/>
          <w:sz w:val="20"/>
          <w:szCs w:val="20"/>
          <w:color w:val="auto"/>
        </w:rPr>
        <w:t>Verra Mobility Corporation (NASDAQ: VRRM), a leading provider of smart mobility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technology solutions, announced today the financial results for the third quarter ended September 30, 2026.</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Third Quarter 2026 Financial Highlights</w:t>
      </w:r>
    </w:p>
    <w:p>
      <w:pPr>
        <w:spacing w:after="0" w:line="121" w:lineRule="exact"/>
        <w:rPr>
          <w:sz w:val="20"/>
          <w:szCs w:val="20"/>
          <w:color w:val="auto"/>
        </w:rPr>
      </w:pPr>
    </w:p>
    <w:p>
      <w:pPr>
        <w:jc w:val="both"/>
        <w:ind w:left="660" w:hanging="328"/>
        <w:spacing w:after="0" w:line="263" w:lineRule="auto"/>
        <w:tabs>
          <w:tab w:leader="none" w:pos="648"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Revenue</w:t>
      </w:r>
      <w:r>
        <w:rPr>
          <w:rFonts w:ascii="Times New Roman" w:cs="Times New Roman" w:eastAsia="Times New Roman" w:hAnsi="Times New Roman"/>
          <w:sz w:val="20"/>
          <w:szCs w:val="20"/>
          <w:color w:val="auto"/>
        </w:rPr>
        <w:t>: Total revenue for the third quarter of 2026 was $258.9 million, a decrease of 1% compared to $261.9 million for the third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quarter of 2025. Service revenue decreased 1%, driven by a 14% decline in our Commercial Services segment partially offset by 13% growth in our Government Solutions segment.</w:t>
      </w:r>
    </w:p>
    <w:p>
      <w:pPr>
        <w:spacing w:after="0" w:line="67" w:lineRule="exact"/>
        <w:rPr>
          <w:rFonts w:ascii="Times New Roman" w:cs="Times New Roman" w:eastAsia="Times New Roman" w:hAnsi="Times New Roman"/>
          <w:sz w:val="20"/>
          <w:szCs w:val="20"/>
          <w:color w:val="auto"/>
        </w:rPr>
      </w:pPr>
    </w:p>
    <w:p>
      <w:pPr>
        <w:jc w:val="both"/>
        <w:ind w:left="660" w:hanging="328"/>
        <w:spacing w:after="0" w:line="260" w:lineRule="auto"/>
        <w:tabs>
          <w:tab w:leader="none" w:pos="648"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Net income and Diluted Earnings Per Share (“EPS”)</w:t>
      </w:r>
      <w:r>
        <w:rPr>
          <w:rFonts w:ascii="Times New Roman" w:cs="Times New Roman" w:eastAsia="Times New Roman" w:hAnsi="Times New Roman"/>
          <w:sz w:val="20"/>
          <w:szCs w:val="20"/>
          <w:color w:val="auto"/>
        </w:rPr>
        <w:t>: Net income for the third quarter of 2026 was $40.4 million, or $0.27 per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share, based on 152.1 million diluted weighted average shares outstanding. Net income for the comparable 2025 period was $46.8 million, or $0.29 per share, based on 161.9 million diluted weighted average shares outstanding. The decrease in net income for the third quarter of 2026 was primarily due to decreased revenue and margins.</w:t>
      </w:r>
    </w:p>
    <w:p>
      <w:pPr>
        <w:spacing w:after="0" w:line="56" w:lineRule="exact"/>
        <w:rPr>
          <w:rFonts w:ascii="Times New Roman" w:cs="Times New Roman" w:eastAsia="Times New Roman" w:hAnsi="Times New Roman"/>
          <w:sz w:val="20"/>
          <w:szCs w:val="20"/>
          <w:color w:val="auto"/>
        </w:rPr>
      </w:pPr>
    </w:p>
    <w:p>
      <w:pPr>
        <w:ind w:left="660" w:right="20" w:hanging="328"/>
        <w:spacing w:after="0" w:line="287" w:lineRule="auto"/>
        <w:tabs>
          <w:tab w:leader="none" w:pos="648"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Adjusted EPS*</w:t>
      </w:r>
      <w:r>
        <w:rPr>
          <w:rFonts w:ascii="Times New Roman" w:cs="Times New Roman" w:eastAsia="Times New Roman" w:hAnsi="Times New Roman"/>
          <w:sz w:val="20"/>
          <w:szCs w:val="20"/>
          <w:color w:val="auto"/>
        </w:rPr>
        <w:t>: Adjusted EPS for the third quarter of 2026 was $0.36 per share compared to $0.37 per share for the third quarter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2025.</w:t>
      </w:r>
    </w:p>
    <w:p>
      <w:pPr>
        <w:spacing w:after="0" w:line="30" w:lineRule="exact"/>
        <w:rPr>
          <w:rFonts w:ascii="Times New Roman" w:cs="Times New Roman" w:eastAsia="Times New Roman" w:hAnsi="Times New Roman"/>
          <w:sz w:val="20"/>
          <w:szCs w:val="20"/>
          <w:color w:val="auto"/>
        </w:rPr>
      </w:pPr>
    </w:p>
    <w:p>
      <w:pPr>
        <w:jc w:val="both"/>
        <w:ind w:left="660" w:hanging="328"/>
        <w:spacing w:after="0" w:line="260" w:lineRule="auto"/>
        <w:tabs>
          <w:tab w:leader="none" w:pos="648"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Adjusted EBITDA*</w:t>
      </w:r>
      <w:r>
        <w:rPr>
          <w:rFonts w:ascii="Times New Roman" w:cs="Times New Roman" w:eastAsia="Times New Roman" w:hAnsi="Times New Roman"/>
          <w:sz w:val="20"/>
          <w:szCs w:val="20"/>
          <w:color w:val="auto"/>
        </w:rPr>
        <w:t>: Adjusted EBITDA was $103.9 million for the third quarter of 2026 compared to $113.3 million for the same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period in 2025. Adjusted EBITDA Margin* was 40% and 43% of total revenue for the 2026 and 2025 periods, respectively. The primary driver of the Adjusted EBITDA margin decline was an approximate 560 basis point decline in the Commercial Services segment profit margin.</w:t>
      </w:r>
    </w:p>
    <w:p>
      <w:pPr>
        <w:spacing w:after="0" w:line="69" w:lineRule="exact"/>
        <w:rPr>
          <w:rFonts w:ascii="Times New Roman" w:cs="Times New Roman" w:eastAsia="Times New Roman" w:hAnsi="Times New Roman"/>
          <w:sz w:val="20"/>
          <w:szCs w:val="20"/>
          <w:color w:val="auto"/>
        </w:rPr>
      </w:pPr>
    </w:p>
    <w:p>
      <w:pPr>
        <w:jc w:val="both"/>
        <w:ind w:left="660" w:hanging="328"/>
        <w:spacing w:after="0" w:line="252" w:lineRule="auto"/>
        <w:tabs>
          <w:tab w:leader="none" w:pos="648"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Net Cash Provided from Operations</w:t>
      </w:r>
      <w:r>
        <w:rPr>
          <w:rFonts w:ascii="Times New Roman" w:cs="Times New Roman" w:eastAsia="Times New Roman" w:hAnsi="Times New Roman"/>
          <w:sz w:val="20"/>
          <w:szCs w:val="20"/>
          <w:color w:val="auto"/>
        </w:rPr>
        <w:t>: Cash provided by operating activities increased by $36.8 million from $77.7 million for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three months ended September 30, 2025 to $114.5 million for the three months ended September 30, 2026. Net income quarter-over-quarter decreased by $6.4 million, from $46.8 million in 2025 to $40.4 million in 2026. The aggregate adjustments to reconcile net income to net cash provided by operating activities decreased $12.3 million mainly due to decreases in stock-based compensation, deferred income taxes, and an uncertain tax position reserve release. The aggregate changes in operating assets and liabilities increased by $55.5 million in 2026 compared to the prior year period, of which the majority was attributable to a decrease in accounts receivable, partially offset by a decrease in accounts payable.</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112"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2"/>
          <w:szCs w:val="22"/>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both"/>
        <w:ind w:left="660" w:hanging="328"/>
        <w:spacing w:after="0" w:line="270" w:lineRule="auto"/>
        <w:tabs>
          <w:tab w:leader="none" w:pos="648" w:val="left"/>
        </w:tabs>
        <w:numPr>
          <w:ilvl w:val="1"/>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Free Cash Flow*</w:t>
      </w:r>
      <w:r>
        <w:rPr>
          <w:rFonts w:ascii="Times New Roman" w:cs="Times New Roman" w:eastAsia="Times New Roman" w:hAnsi="Times New Roman"/>
          <w:sz w:val="20"/>
          <w:szCs w:val="20"/>
          <w:color w:val="auto"/>
        </w:rPr>
        <w:t>: Free Cash Flow was $89.4 million for the third quarter of 2026 compared to $49.0 million for the prior year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period. The increase in Free Cash Flow is attributable to the items impacting cash provided by operating activities (as discussed above) and a reduction in capital expenditures.</w:t>
      </w:r>
    </w:p>
    <w:p>
      <w:pPr>
        <w:spacing w:after="0" w:line="51" w:lineRule="exact"/>
        <w:rPr>
          <w:rFonts w:ascii="Times New Roman" w:cs="Times New Roman" w:eastAsia="Times New Roman" w:hAnsi="Times New Roman"/>
          <w:sz w:val="20"/>
          <w:szCs w:val="20"/>
          <w:color w:val="auto"/>
        </w:rPr>
      </w:pPr>
    </w:p>
    <w:p>
      <w:pPr>
        <w:ind w:left="140" w:hanging="130"/>
        <w:spacing w:after="0" w:line="283"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Non-GAAP measure; refer to “Non-GAAP Financial Measures” further below for explanatory notes and a reconciliation to the most directly comparable GAAP measure.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report our results of operations based on three operating segments:</w:t>
      </w:r>
    </w:p>
    <w:p>
      <w:pPr>
        <w:spacing w:after="0" w:line="104" w:lineRule="exact"/>
        <w:rPr>
          <w:sz w:val="20"/>
          <w:szCs w:val="20"/>
          <w:color w:val="auto"/>
        </w:rPr>
      </w:pPr>
    </w:p>
    <w:p>
      <w:pPr>
        <w:ind w:left="660" w:right="20" w:hanging="328"/>
        <w:spacing w:after="0" w:line="287" w:lineRule="auto"/>
        <w:tabs>
          <w:tab w:leader="none" w:pos="648"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Commercial Services </w:t>
      </w:r>
      <w:r>
        <w:rPr>
          <w:rFonts w:ascii="Times New Roman" w:cs="Times New Roman" w:eastAsia="Times New Roman" w:hAnsi="Times New Roman"/>
          <w:sz w:val="20"/>
          <w:szCs w:val="20"/>
          <w:color w:val="auto"/>
        </w:rPr>
        <w:t>offers automated toll and violations management and title and registration solutions to rental car companies,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fleet management companies and other large fleet owners.</w:t>
      </w:r>
    </w:p>
    <w:p>
      <w:pPr>
        <w:spacing w:after="0" w:line="30" w:lineRule="exact"/>
        <w:rPr>
          <w:rFonts w:ascii="Times New Roman" w:cs="Times New Roman" w:eastAsia="Times New Roman" w:hAnsi="Times New Roman"/>
          <w:sz w:val="20"/>
          <w:szCs w:val="20"/>
          <w:color w:val="auto"/>
        </w:rPr>
      </w:pPr>
    </w:p>
    <w:p>
      <w:pPr>
        <w:jc w:val="both"/>
        <w:ind w:left="660" w:hanging="328"/>
        <w:spacing w:after="0" w:line="270" w:lineRule="auto"/>
        <w:tabs>
          <w:tab w:leader="none" w:pos="648"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Government Solutions </w:t>
      </w:r>
      <w:r>
        <w:rPr>
          <w:rFonts w:ascii="Times New Roman" w:cs="Times New Roman" w:eastAsia="Times New Roman" w:hAnsi="Times New Roman"/>
          <w:sz w:val="20"/>
          <w:szCs w:val="20"/>
          <w:color w:val="auto"/>
        </w:rPr>
        <w:t>delivers automated safety solutions to municipalities, school districts and government agencies, including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services and technology that enable photo enforcement cameras to detect and process traffic violations related to speed, red-light, school bus and city bus lane management.</w:t>
      </w:r>
    </w:p>
    <w:p>
      <w:pPr>
        <w:spacing w:after="0" w:line="47" w:lineRule="exact"/>
        <w:rPr>
          <w:rFonts w:ascii="Times New Roman" w:cs="Times New Roman" w:eastAsia="Times New Roman" w:hAnsi="Times New Roman"/>
          <w:sz w:val="20"/>
          <w:szCs w:val="20"/>
          <w:color w:val="auto"/>
        </w:rPr>
      </w:pPr>
    </w:p>
    <w:p>
      <w:pPr>
        <w:ind w:left="660" w:hanging="328"/>
        <w:spacing w:after="0" w:line="287" w:lineRule="auto"/>
        <w:tabs>
          <w:tab w:leader="none" w:pos="648"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Parking Solutions </w:t>
      </w:r>
      <w:r>
        <w:rPr>
          <w:rFonts w:ascii="Times New Roman" w:cs="Times New Roman" w:eastAsia="Times New Roman" w:hAnsi="Times New Roman"/>
          <w:sz w:val="20"/>
          <w:szCs w:val="20"/>
          <w:color w:val="auto"/>
        </w:rPr>
        <w:t>provides an integrated suite of parking software, transaction processing and hardware solutions to universities,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municipalities, parking operators, healthcare facilities and transportation hubs in the United States and Canada.</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Third Quarter 2026 Segment Detail</w:t>
      </w:r>
    </w:p>
    <w:p>
      <w:pPr>
        <w:spacing w:after="0" w:line="152" w:lineRule="exact"/>
        <w:rPr>
          <w:sz w:val="20"/>
          <w:szCs w:val="20"/>
          <w:color w:val="auto"/>
        </w:rPr>
      </w:pPr>
    </w:p>
    <w:p>
      <w:pPr>
        <w:ind w:left="660" w:right="20" w:hanging="328"/>
        <w:spacing w:after="0" w:line="248" w:lineRule="auto"/>
        <w:tabs>
          <w:tab w:leader="none" w:pos="655"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The Commercial Services segment generated total revenue of $100.3 million, a 14% decrease compared to $117.3 million in the same period in 2025. Segment profit was $61.3 million, a 22% decrease from $78.3 million in the prior year period. The decreases in revenue and segment profit compared to the prior year period resulted from a $16.1 million or 20% reduction in rental car companies (“</w:t>
      </w:r>
      <w:r>
        <w:rPr>
          <w:rFonts w:ascii="Times New Roman" w:cs="Times New Roman" w:eastAsia="Times New Roman" w:hAnsi="Times New Roman"/>
          <w:sz w:val="20"/>
          <w:szCs w:val="20"/>
          <w:b w:val="1"/>
          <w:bCs w:val="1"/>
          <w:i w:val="1"/>
          <w:iCs w:val="1"/>
          <w:color w:val="auto"/>
        </w:rPr>
        <w:t>RAC</w:t>
      </w:r>
      <w:r>
        <w:rPr>
          <w:rFonts w:ascii="Times New Roman" w:cs="Times New Roman" w:eastAsia="Times New Roman" w:hAnsi="Times New Roman"/>
          <w:sz w:val="20"/>
          <w:szCs w:val="20"/>
          <w:color w:val="auto"/>
        </w:rPr>
        <w:t>”) tolling revenue, due to the effect of contract extensions entered into with two of our significant customers on terms materially less favorable to us than those of the prior agreement, fleet volume fluctuations with one significant customer, and reduced travel demand compared to the same period in 2025. U.S Transportation and Security Administration passenger volume in the third quarter of 2026 was approximately 3% less compared to the prior year period. Revenue derived from fleet management companies decreased $2.2 million or 13% in 2026 compared to the same period in 2025 due to a one-time operational adjustment and prior period churn. Normalizing for these adjustments, fleet management revenue would have grown 4% over the prior year period. The segment profit margin was 61% for the third quarter of 2026 and 67% for the third quarter of 2025. Third quarter 2026 segment profit margins declined due to reduced RAC tolling revenue, increased credit loss expense and decreased volume rebates earned from total spend on credit card transactions due to decreased tolling and travel activity.</w:t>
      </w:r>
    </w:p>
    <w:p>
      <w:pPr>
        <w:spacing w:after="0" w:line="81" w:lineRule="exact"/>
        <w:rPr>
          <w:rFonts w:ascii="Times New Roman" w:cs="Times New Roman" w:eastAsia="Times New Roman" w:hAnsi="Times New Roman"/>
          <w:sz w:val="22"/>
          <w:szCs w:val="22"/>
          <w:color w:val="auto"/>
        </w:rPr>
      </w:pPr>
    </w:p>
    <w:p>
      <w:pPr>
        <w:jc w:val="both"/>
        <w:ind w:left="660" w:hanging="328"/>
        <w:spacing w:after="0" w:line="251" w:lineRule="auto"/>
        <w:tabs>
          <w:tab w:leader="none" w:pos="648"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Government Solutions segment generated total revenue of $136.8 million, a 12% increase compared to $122.6 million in the same period in 2025. The increase was due to a 13% increase in service revenue over the prior year period, primarily driven by an increase of $8.6 million attributable to expansion in speed, red light, bus lane, school bus and other services, outside of NYCDOT. The remaining $5.6 million of growth, or 12%, is attributable to NYCDOT installation revenue on new camera installations, net of pricing changes under the new contract. In addition, product revenue increased approximately $0.1 million from the prior year period. The segment profit was $39.1 million in 2026 compared to $31.3 million in the prior year period with segment profit margins of 29% for 2026 and 26% for 2025. The increase in segment profit margins compared to the prior year period was primarily driven by NYCDOT installation volume, revenue mix and decreased wage expenses.</w:t>
      </w:r>
    </w:p>
    <w:p>
      <w:pPr>
        <w:spacing w:after="0" w:line="87" w:lineRule="exact"/>
        <w:rPr>
          <w:rFonts w:ascii="Times New Roman" w:cs="Times New Roman" w:eastAsia="Times New Roman" w:hAnsi="Times New Roman"/>
          <w:sz w:val="20"/>
          <w:szCs w:val="20"/>
          <w:color w:val="auto"/>
        </w:rPr>
      </w:pPr>
    </w:p>
    <w:p>
      <w:pPr>
        <w:jc w:val="both"/>
        <w:ind w:left="660" w:hanging="328"/>
        <w:spacing w:after="0" w:line="258" w:lineRule="auto"/>
        <w:tabs>
          <w:tab w:leader="none" w:pos="648"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Parking Solutions segment generated total revenue of $21.7 million, a 2% decrease compared to $22.1 million in the same period in 2025, which was due primarily to a decrease in professional services and subscription services related to parking management solutions, partially offset by increases in software as a service (“</w:t>
      </w:r>
      <w:r>
        <w:rPr>
          <w:rFonts w:ascii="Times New Roman" w:cs="Times New Roman" w:eastAsia="Times New Roman" w:hAnsi="Times New Roman"/>
          <w:sz w:val="20"/>
          <w:szCs w:val="20"/>
          <w:b w:val="1"/>
          <w:bCs w:val="1"/>
          <w:i w:val="1"/>
          <w:iCs w:val="1"/>
          <w:color w:val="auto"/>
        </w:rPr>
        <w:t>SaaS</w:t>
      </w:r>
      <w:r>
        <w:rPr>
          <w:rFonts w:ascii="Times New Roman" w:cs="Times New Roman" w:eastAsia="Times New Roman" w:hAnsi="Times New Roman"/>
          <w:sz w:val="20"/>
          <w:szCs w:val="20"/>
          <w:color w:val="auto"/>
        </w:rPr>
        <w:t>”) product offerings compared to the prior year period. The segment profit</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760" w:right="3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22"/>
          <w:szCs w:val="22"/>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was $3.5 million compared to $3.8 million in the prior year period with segment profit margins of 16% for 2026 and 17% for 2025.</w:t>
      </w:r>
    </w:p>
    <w:p>
      <w:pPr>
        <w:spacing w:after="0" w:line="11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b w:val="1"/>
          <w:bCs w:val="1"/>
          <w:color w:val="auto"/>
        </w:rPr>
        <w:t>Liquidity and Debt</w:t>
      </w:r>
      <w:r>
        <w:rPr>
          <w:rFonts w:ascii="Times New Roman" w:cs="Times New Roman" w:eastAsia="Times New Roman" w:hAnsi="Times New Roman"/>
          <w:sz w:val="20"/>
          <w:szCs w:val="20"/>
          <w:color w:val="auto"/>
        </w:rPr>
        <w:t>: As of September 30, 2026, cash and cash equivalents were $137.0 million and total debt, net was $1,033 million. Net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cash provided by operating activities was $114.5 million for the three months ended September 30, 2026, and $211.8 million for the nine months ended September 30, 2026.</w:t>
      </w:r>
    </w:p>
    <w:p>
      <w:pPr>
        <w:spacing w:after="0" w:line="67"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b w:val="1"/>
          <w:bCs w:val="1"/>
          <w:color w:val="auto"/>
        </w:rPr>
        <w:t>Net Debt and Net Leverage*</w:t>
      </w:r>
      <w:r>
        <w:rPr>
          <w:rFonts w:ascii="Times New Roman" w:cs="Times New Roman" w:eastAsia="Times New Roman" w:hAnsi="Times New Roman"/>
          <w:sz w:val="20"/>
          <w:szCs w:val="20"/>
          <w:color w:val="auto"/>
        </w:rPr>
        <w:t>: As of September 30, 2026, Net Debt was $903.3 million and Net Leverage was 2.2x, as compared to $971.8</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million and 2.3x as of December 31, 2025.</w:t>
      </w:r>
    </w:p>
    <w:p>
      <w:pPr>
        <w:spacing w:after="0" w:line="61" w:lineRule="exact"/>
        <w:rPr>
          <w:sz w:val="20"/>
          <w:szCs w:val="20"/>
          <w:color w:val="auto"/>
        </w:rPr>
      </w:pPr>
    </w:p>
    <w:p>
      <w:pPr>
        <w:ind w:left="140" w:hanging="132"/>
        <w:spacing w:after="0" w:line="269" w:lineRule="auto"/>
        <w:tabs>
          <w:tab w:leader="none" w:pos="136"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Non-GAAP measure; refer to “Non-GAAP Financial Measures” further below for explanatory notes and a reconciliation to the most directly comparable GAAP measure.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Change in Executive Leadership and Organizational Realignment</w:t>
      </w:r>
    </w:p>
    <w:p>
      <w:pPr>
        <w:spacing w:after="0" w:line="125"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20"/>
          <w:szCs w:val="20"/>
          <w:color w:val="auto"/>
        </w:rPr>
        <w:t>As previously announced, on September 30, 2026, the Board appointed Jon Newhard as President and Chief Executive Officer of Verra Mobility, effective November 1, 2026, following a comprehensive search led by the Board and an executive search firm. He will succeed Jon Keyser, who has served as Interim President and Chief Executive Officer during the leadership transition. Mr. Newhard brings more than two decades of experience in the transportation and mobility industry. His leadership will support the continued execution of Verra Mobility’s strategy, build on the Company’s strong foundation and position the business for long-term growth. To help facilitate a smooth transition, Mr. Keyser has agreed to serve as Special Advisor through the remainder of 2026.</w:t>
      </w:r>
    </w:p>
    <w:p>
      <w:pPr>
        <w:spacing w:after="0" w:line="71" w:lineRule="exact"/>
        <w:rPr>
          <w:sz w:val="20"/>
          <w:szCs w:val="20"/>
          <w:color w:val="auto"/>
        </w:rPr>
      </w:pPr>
    </w:p>
    <w:p>
      <w:pPr>
        <w:ind w:right="520"/>
        <w:spacing w:after="0" w:line="261" w:lineRule="auto"/>
        <w:rPr>
          <w:sz w:val="20"/>
          <w:szCs w:val="20"/>
          <w:color w:val="auto"/>
        </w:rPr>
      </w:pPr>
      <w:r>
        <w:rPr>
          <w:rFonts w:ascii="Times New Roman" w:cs="Times New Roman" w:eastAsia="Times New Roman" w:hAnsi="Times New Roman"/>
          <w:sz w:val="20"/>
          <w:szCs w:val="20"/>
          <w:color w:val="auto"/>
        </w:rPr>
        <w:t>On October 15, 2026, we announced that Craig Conti will step down as Executive Vice President and Chief Financial Officer, effective November 4, 2026. The Board has retained a leading executive search firm, Spencer Stuart, to conduct a comprehensive search for a permanent CFO who can help advance the Company’s strategy and support its next phase of growth.</w:t>
      </w:r>
    </w:p>
    <w:p>
      <w:pPr>
        <w:spacing w:after="0" w:line="73" w:lineRule="exact"/>
        <w:rPr>
          <w:sz w:val="20"/>
          <w:szCs w:val="20"/>
          <w:color w:val="auto"/>
        </w:rPr>
      </w:pPr>
    </w:p>
    <w:p>
      <w:pPr>
        <w:ind w:right="160"/>
        <w:spacing w:after="0" w:line="283" w:lineRule="auto"/>
        <w:rPr>
          <w:sz w:val="20"/>
          <w:szCs w:val="20"/>
          <w:color w:val="auto"/>
        </w:rPr>
      </w:pPr>
      <w:r>
        <w:rPr>
          <w:rFonts w:ascii="Times New Roman" w:cs="Times New Roman" w:eastAsia="Times New Roman" w:hAnsi="Times New Roman"/>
          <w:sz w:val="20"/>
          <w:szCs w:val="20"/>
          <w:color w:val="auto"/>
        </w:rPr>
        <w:t>On October 29, 2026, the Board appointed Matthew Kvarda as Interim Chief Financial Officer, effective November 5, 2026, to serve until a permanent Chief Financial Officer is appointed.</w:t>
      </w:r>
    </w:p>
    <w:p>
      <w:pPr>
        <w:spacing w:after="0" w:line="34"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20"/>
          <w:szCs w:val="20"/>
          <w:color w:val="auto"/>
        </w:rPr>
        <w:t>Mr. Kvarda is a Managing Director of Alvarez &amp; Marsal North America, LLC (“</w:t>
      </w:r>
      <w:r>
        <w:rPr>
          <w:rFonts w:ascii="Times New Roman" w:cs="Times New Roman" w:eastAsia="Times New Roman" w:hAnsi="Times New Roman"/>
          <w:sz w:val="20"/>
          <w:szCs w:val="20"/>
          <w:b w:val="1"/>
          <w:bCs w:val="1"/>
          <w:i w:val="1"/>
          <w:iCs w:val="1"/>
          <w:color w:val="auto"/>
        </w:rPr>
        <w:t>A&amp;M</w:t>
      </w:r>
      <w:r>
        <w:rPr>
          <w:rFonts w:ascii="Times New Roman" w:cs="Times New Roman" w:eastAsia="Times New Roman" w:hAnsi="Times New Roman"/>
          <w:sz w:val="20"/>
          <w:szCs w:val="20"/>
          <w:color w:val="auto"/>
        </w:rPr>
        <w:t>”) in Los Angeles, California where he has worked since 2004. At A&amp;M, Mr. Kvarda has served as Interim Chief Financial Officer or Interim senior management for a variety of public and non-public companies including Jacuzzi Brands, TEAM, Inc., Revlon, Inc. and 23andMe. Prior to joining A&amp;M, Mr. Kvarda was a Senior Director at KPMG, LLP from 2002 to 2003. Mr. Kvarda was also a Senior Director with Arthur Andersen &amp; Co. from 1996 to 2002 and also served as an Assistant Vice President at Bank of America from 1992 to 1996. Mr. Kvarda earned a bachelor’s degree in economics from the University of California, San Diego , and an MBA from the University of California, Los Angeles. The Board believes that Mr. Kvarda’s extensive financial experience and prior experience serving as Interim Chief Financial Officer make him well suited to serve as Interim Chief Financial Officer of the Company.</w:t>
      </w:r>
    </w:p>
    <w:p>
      <w:pPr>
        <w:spacing w:after="0" w:line="84" w:lineRule="exact"/>
        <w:rPr>
          <w:sz w:val="20"/>
          <w:szCs w:val="20"/>
          <w:color w:val="auto"/>
        </w:rPr>
      </w:pPr>
    </w:p>
    <w:p>
      <w:pPr>
        <w:ind w:right="240"/>
        <w:spacing w:after="0" w:line="283" w:lineRule="auto"/>
        <w:rPr>
          <w:sz w:val="20"/>
          <w:szCs w:val="20"/>
          <w:color w:val="auto"/>
        </w:rPr>
      </w:pPr>
      <w:r>
        <w:rPr>
          <w:rFonts w:ascii="Times New Roman" w:cs="Times New Roman" w:eastAsia="Times New Roman" w:hAnsi="Times New Roman"/>
          <w:sz w:val="20"/>
          <w:szCs w:val="20"/>
          <w:color w:val="auto"/>
        </w:rPr>
        <w:t>Following the pending executive leadership transition, and upon evaluating how the company is organized and managed, the company will make a determination as to its future segment reporting.</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Commercial Services Customer Contracts</w:t>
      </w:r>
    </w:p>
    <w:p>
      <w:pPr>
        <w:spacing w:after="0" w:line="121" w:lineRule="exact"/>
        <w:rPr>
          <w:sz w:val="20"/>
          <w:szCs w:val="20"/>
          <w:color w:val="auto"/>
        </w:rPr>
      </w:pPr>
    </w:p>
    <w:p>
      <w:pPr>
        <w:ind w:right="120"/>
        <w:spacing w:after="0" w:line="263" w:lineRule="auto"/>
        <w:rPr>
          <w:sz w:val="20"/>
          <w:szCs w:val="20"/>
          <w:color w:val="auto"/>
        </w:rPr>
      </w:pPr>
      <w:r>
        <w:rPr>
          <w:rFonts w:ascii="Times New Roman" w:cs="Times New Roman" w:eastAsia="Times New Roman" w:hAnsi="Times New Roman"/>
          <w:sz w:val="20"/>
          <w:szCs w:val="20"/>
          <w:color w:val="auto"/>
        </w:rPr>
        <w:t>In July 2026, we entered into a seven-year contract extension with Avis Budget Group ("</w:t>
      </w:r>
      <w:r>
        <w:rPr>
          <w:rFonts w:ascii="Times New Roman" w:cs="Times New Roman" w:eastAsia="Times New Roman" w:hAnsi="Times New Roman"/>
          <w:sz w:val="20"/>
          <w:szCs w:val="20"/>
          <w:b w:val="1"/>
          <w:bCs w:val="1"/>
          <w:i w:val="1"/>
          <w:iCs w:val="1"/>
          <w:color w:val="auto"/>
        </w:rPr>
        <w:t>ABG</w:t>
      </w:r>
      <w:r>
        <w:rPr>
          <w:rFonts w:ascii="Times New Roman" w:cs="Times New Roman" w:eastAsia="Times New Roman" w:hAnsi="Times New Roman"/>
          <w:sz w:val="20"/>
          <w:szCs w:val="20"/>
          <w:color w:val="auto"/>
        </w:rPr>
        <w:t>") following the withdrawal of its previously issued termination notice. The revised agreement included materially less favorable terms compared to the prior contract and provided ABG with greater flexibility to adjust its fleet volumes.</w:t>
      </w:r>
    </w:p>
    <w:p>
      <w:pPr>
        <w:spacing w:after="0" w:line="71" w:lineRule="exact"/>
        <w:rPr>
          <w:sz w:val="20"/>
          <w:szCs w:val="20"/>
          <w:color w:val="auto"/>
        </w:rPr>
      </w:pPr>
    </w:p>
    <w:p>
      <w:pPr>
        <w:ind w:right="80"/>
        <w:spacing w:after="0" w:line="251" w:lineRule="auto"/>
        <w:rPr>
          <w:sz w:val="20"/>
          <w:szCs w:val="20"/>
          <w:color w:val="auto"/>
        </w:rPr>
      </w:pPr>
      <w:r>
        <w:rPr>
          <w:rFonts w:ascii="Times New Roman" w:cs="Times New Roman" w:eastAsia="Times New Roman" w:hAnsi="Times New Roman"/>
          <w:sz w:val="20"/>
          <w:szCs w:val="20"/>
          <w:color w:val="auto"/>
        </w:rPr>
        <w:t>During the third quarter, ABG significantly and abruptly reduced its fleet volumes under the parties’ agreement, contrary to its prior stated intent to continue the parties’ longstanding relationship. Given the significant reduction in fleet volumes and other factors, we determined that our mutual interests were no longer aligned, and terminating the contract was in Verra Mobility’s best interest. As a result, on October 2, 2026, Verra Mobility exercised its contractual right to terminate the agreement effective on January 30, 2027. We have engaged Quinn Emanuel Urquhart &amp; Sullivan, LLP to vigorously support our protection of intellectual property, trade secrets and confidential information related to our tolling and violations solutions. Looking ahead, Verra</w:t>
      </w:r>
    </w:p>
    <w:p>
      <w:pPr>
        <w:sectPr>
          <w:pgSz w:w="11900" w:h="16838" w:orient="portrait"/>
          <w:cols w:equalWidth="0" w:num="1">
            <w:col w:w="11240"/>
          </w:cols>
          <w:pgMar w:left="320" w:top="76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ectPr>
          <w:pgSz w:w="11900" w:h="16838" w:orient="portrait"/>
          <w:cols w:equalWidth="0" w:num="1">
            <w:col w:w="11240"/>
          </w:cols>
          <w:pgMar w:left="320" w:top="760" w:right="339" w:bottom="1440" w:gutter="0" w:footer="0" w:header="0"/>
          <w:type w:val="continuous"/>
        </w:sectPr>
      </w:pPr>
    </w:p>
    <w:bookmarkStart w:id="6" w:name="page7"/>
    <w:bookmarkEnd w:id="6"/>
    <w:p>
      <w:pPr>
        <w:jc w:val="right"/>
        <w:spacing w:after="0"/>
        <w:rPr>
          <w:sz w:val="20"/>
          <w:szCs w:val="20"/>
          <w:color w:val="auto"/>
        </w:rPr>
      </w:pPr>
      <w:r>
        <w:rPr>
          <w:rFonts w:ascii="Times New Roman" w:cs="Times New Roman" w:eastAsia="Times New Roman" w:hAnsi="Times New Roman"/>
          <w:sz w:val="22"/>
          <w:szCs w:val="22"/>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right="180"/>
        <w:spacing w:after="0" w:line="310" w:lineRule="auto"/>
        <w:rPr>
          <w:sz w:val="20"/>
          <w:szCs w:val="20"/>
          <w:color w:val="auto"/>
        </w:rPr>
      </w:pPr>
      <w:r>
        <w:rPr>
          <w:rFonts w:ascii="Times New Roman" w:cs="Times New Roman" w:eastAsia="Times New Roman" w:hAnsi="Times New Roman"/>
          <w:sz w:val="19"/>
          <w:szCs w:val="19"/>
          <w:color w:val="auto"/>
        </w:rPr>
        <w:t>Mobility will continue prioritizing opportunities that support sustainable growth and strong customer outcomes. We remain focused on serving our customers, managing the financial implications of these contractual changes and positioning the business for long-term success.</w:t>
      </w:r>
    </w:p>
    <w:p>
      <w:pPr>
        <w:spacing w:after="0" w:line="30" w:lineRule="exact"/>
        <w:rPr>
          <w:sz w:val="20"/>
          <w:szCs w:val="20"/>
          <w:color w:val="auto"/>
        </w:rPr>
      </w:pPr>
    </w:p>
    <w:p>
      <w:pPr>
        <w:ind w:right="180"/>
        <w:spacing w:after="0" w:line="254" w:lineRule="auto"/>
        <w:rPr>
          <w:sz w:val="20"/>
          <w:szCs w:val="20"/>
          <w:color w:val="auto"/>
        </w:rPr>
      </w:pPr>
      <w:r>
        <w:rPr>
          <w:rFonts w:ascii="Times New Roman" w:cs="Times New Roman" w:eastAsia="Times New Roman" w:hAnsi="Times New Roman"/>
          <w:sz w:val="20"/>
          <w:szCs w:val="20"/>
          <w:color w:val="auto"/>
        </w:rPr>
        <w:t>Separately, we also renewed our agreement with Hertz for five years, extending our more than 20 years of partnership, and agreed to collaborate on the development of new technology solutions. As previously disclosed, this contract extension was on materially less favorable terms to us than the prior agreement and contains fleet volume modulation rights that are subject to terms and conditions set forth in the agreement.</w:t>
      </w:r>
    </w:p>
    <w:p>
      <w:pPr>
        <w:spacing w:after="0" w:line="79" w:lineRule="exact"/>
        <w:rPr>
          <w:sz w:val="20"/>
          <w:szCs w:val="20"/>
          <w:color w:val="auto"/>
        </w:rPr>
      </w:pPr>
    </w:p>
    <w:p>
      <w:pPr>
        <w:ind w:right="380"/>
        <w:spacing w:after="0" w:line="269" w:lineRule="auto"/>
        <w:rPr>
          <w:sz w:val="20"/>
          <w:szCs w:val="20"/>
          <w:color w:val="auto"/>
        </w:rPr>
      </w:pPr>
      <w:r>
        <w:rPr>
          <w:rFonts w:ascii="Times New Roman" w:cs="Times New Roman" w:eastAsia="Times New Roman" w:hAnsi="Times New Roman"/>
          <w:sz w:val="20"/>
          <w:szCs w:val="20"/>
          <w:color w:val="auto"/>
        </w:rPr>
        <w:t>The Company’s contract with Enterprise Mobility expires September 30, 2027, and Verra Mobility is following Enterprise’s procurement process.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Goodwill and Intangible Assets Impairments</w:t>
      </w:r>
    </w:p>
    <w:p>
      <w:pPr>
        <w:spacing w:after="0" w:line="125"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20"/>
          <w:szCs w:val="20"/>
          <w:color w:val="auto"/>
        </w:rPr>
        <w:t>We recorded a $64.0 million impairment to goodwill in our Parking Solutions segment during the nine months ended September 30, 2026, which is presented in a separate line item on the condensed consolidated statements of operations. This was in connection with our 2026 assessment of goodwill impairment which determined that the Parking Solutions reporting unit carrying value exceeded the estimated fair value. As part of this assessment, we determined that the carrying value of certain intangibles within the Parking Solutions segment were not recoverable and recorded a $40.4 million impairment to intangibles in our Parking Solutions segment during the nine months ended September 30, 2026, which is presented in a separate line item on the condensed consolidated statements of operations.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2026 Full Year Guidance</w:t>
      </w:r>
    </w:p>
    <w:p>
      <w:pPr>
        <w:spacing w:after="0" w:line="125"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Based on year-to-date 2026 results and our outlook for the fourth quarter, we are reaffirming 2026 full year guidance for all financial measures, provided in our second quarter earnings announcement, dated August 5, 2026.</w:t>
      </w:r>
    </w:p>
    <w:p>
      <w:pPr>
        <w:spacing w:after="0" w:line="65" w:lineRule="exact"/>
        <w:rPr>
          <w:sz w:val="20"/>
          <w:szCs w:val="20"/>
          <w:color w:val="auto"/>
        </w:rPr>
      </w:pPr>
    </w:p>
    <w:p>
      <w:pPr>
        <w:ind w:left="1300" w:hanging="320"/>
        <w:spacing w:after="0"/>
        <w:tabs>
          <w:tab w:leader="none" w:pos="130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Total Revenue of $945 million to $965 million</w:t>
      </w:r>
    </w:p>
    <w:p>
      <w:pPr>
        <w:spacing w:after="0" w:line="121" w:lineRule="exact"/>
        <w:rPr>
          <w:rFonts w:ascii="Times New Roman" w:cs="Times New Roman" w:eastAsia="Times New Roman" w:hAnsi="Times New Roman"/>
          <w:sz w:val="20"/>
          <w:szCs w:val="20"/>
          <w:color w:val="auto"/>
        </w:rPr>
      </w:pPr>
    </w:p>
    <w:p>
      <w:pPr>
        <w:ind w:left="1300" w:hanging="320"/>
        <w:spacing w:after="0"/>
        <w:tabs>
          <w:tab w:leader="none" w:pos="130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Adjusted EBITDA of $360 million to $370 million</w:t>
      </w:r>
    </w:p>
    <w:p>
      <w:pPr>
        <w:spacing w:after="0" w:line="107" w:lineRule="exact"/>
        <w:rPr>
          <w:rFonts w:ascii="Times New Roman" w:cs="Times New Roman" w:eastAsia="Times New Roman" w:hAnsi="Times New Roman"/>
          <w:sz w:val="20"/>
          <w:szCs w:val="20"/>
          <w:color w:val="auto"/>
        </w:rPr>
      </w:pPr>
    </w:p>
    <w:p>
      <w:pPr>
        <w:ind w:left="1300" w:hanging="320"/>
        <w:spacing w:after="0"/>
        <w:tabs>
          <w:tab w:leader="none" w:pos="130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Adjusted EPS of $1.11 to $1.17</w:t>
      </w:r>
    </w:p>
    <w:p>
      <w:pPr>
        <w:spacing w:after="0" w:line="121" w:lineRule="exact"/>
        <w:rPr>
          <w:rFonts w:ascii="Times New Roman" w:cs="Times New Roman" w:eastAsia="Times New Roman" w:hAnsi="Times New Roman"/>
          <w:sz w:val="20"/>
          <w:szCs w:val="20"/>
          <w:color w:val="auto"/>
        </w:rPr>
      </w:pPr>
    </w:p>
    <w:p>
      <w:pPr>
        <w:ind w:left="1300" w:hanging="320"/>
        <w:spacing w:after="0"/>
        <w:tabs>
          <w:tab w:leader="none" w:pos="130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Free Cash Flow of $105 million to $115 million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Underlying Assumptions for 2026 Full Year Guidance</w:t>
      </w:r>
    </w:p>
    <w:p>
      <w:pPr>
        <w:spacing w:after="0" w:line="125" w:lineRule="exact"/>
        <w:rPr>
          <w:sz w:val="20"/>
          <w:szCs w:val="20"/>
          <w:color w:val="auto"/>
        </w:rPr>
      </w:pPr>
    </w:p>
    <w:p>
      <w:pPr>
        <w:ind w:left="1300" w:hanging="320"/>
        <w:spacing w:after="0"/>
        <w:tabs>
          <w:tab w:leader="none" w:pos="130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Full Year 2026 TSA volume assumed to decline over 1% compared to full year 2025.</w:t>
      </w:r>
    </w:p>
    <w:p>
      <w:pPr>
        <w:spacing w:after="0" w:line="121" w:lineRule="exact"/>
        <w:rPr>
          <w:rFonts w:ascii="Times New Roman" w:cs="Times New Roman" w:eastAsia="Times New Roman" w:hAnsi="Times New Roman"/>
          <w:sz w:val="20"/>
          <w:szCs w:val="20"/>
          <w:color w:val="auto"/>
        </w:rPr>
      </w:pPr>
    </w:p>
    <w:p>
      <w:pPr>
        <w:ind w:left="1300" w:hanging="320"/>
        <w:spacing w:after="0"/>
        <w:tabs>
          <w:tab w:leader="none" w:pos="130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Weighted average fully diluted share count expected to be approximately 153 million shares for the full year 2026</w:t>
      </w:r>
    </w:p>
    <w:p>
      <w:pPr>
        <w:spacing w:after="0" w:line="107" w:lineRule="exact"/>
        <w:rPr>
          <w:rFonts w:ascii="Times New Roman" w:cs="Times New Roman" w:eastAsia="Times New Roman" w:hAnsi="Times New Roman"/>
          <w:sz w:val="20"/>
          <w:szCs w:val="20"/>
          <w:color w:val="auto"/>
        </w:rPr>
      </w:pPr>
    </w:p>
    <w:p>
      <w:pPr>
        <w:jc w:val="both"/>
        <w:ind w:left="1300" w:hanging="320"/>
        <w:spacing w:after="0" w:line="261" w:lineRule="auto"/>
        <w:tabs>
          <w:tab w:leader="none" w:pos="1288"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Effective tax rate (including state taxes) is expected to be 28.0% to 29.0%, with approximately $30 million in total cash taxes expected to be paid in 2026. The effective tax rate for non-GAAP adjustments is provided in the Reconciliation of Net Income to Adjusted Net Income and Calculation of Adjusted EPS</w:t>
      </w:r>
    </w:p>
    <w:p>
      <w:pPr>
        <w:spacing w:after="0" w:line="73" w:lineRule="exact"/>
        <w:rPr>
          <w:rFonts w:ascii="Times New Roman" w:cs="Times New Roman" w:eastAsia="Times New Roman" w:hAnsi="Times New Roman"/>
          <w:sz w:val="20"/>
          <w:szCs w:val="20"/>
          <w:color w:val="auto"/>
        </w:rPr>
      </w:pPr>
    </w:p>
    <w:p>
      <w:pPr>
        <w:ind w:left="1300" w:hanging="320"/>
        <w:spacing w:after="0"/>
        <w:tabs>
          <w:tab w:leader="none" w:pos="130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Depreciation and amortization expense expected to be approximately $120 million for 2026</w:t>
      </w:r>
    </w:p>
    <w:p>
      <w:pPr>
        <w:spacing w:after="0" w:line="121" w:lineRule="exact"/>
        <w:rPr>
          <w:rFonts w:ascii="Times New Roman" w:cs="Times New Roman" w:eastAsia="Times New Roman" w:hAnsi="Times New Roman"/>
          <w:sz w:val="20"/>
          <w:szCs w:val="20"/>
          <w:color w:val="auto"/>
        </w:rPr>
      </w:pPr>
    </w:p>
    <w:p>
      <w:pPr>
        <w:ind w:left="1300" w:hanging="320"/>
        <w:spacing w:after="0" w:line="269" w:lineRule="auto"/>
        <w:tabs>
          <w:tab w:leader="none" w:pos="1288"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Total interest expense, net expected to be approximately $62 million, of which approximately $60 million is expected to be net cash interest paid</w:t>
      </w:r>
    </w:p>
    <w:p>
      <w:pPr>
        <w:spacing w:after="0" w:line="64" w:lineRule="exact"/>
        <w:rPr>
          <w:rFonts w:ascii="Times New Roman" w:cs="Times New Roman" w:eastAsia="Times New Roman" w:hAnsi="Times New Roman"/>
          <w:sz w:val="20"/>
          <w:szCs w:val="20"/>
          <w:color w:val="auto"/>
        </w:rPr>
      </w:pPr>
    </w:p>
    <w:p>
      <w:pPr>
        <w:jc w:val="both"/>
        <w:ind w:left="1300" w:hanging="320"/>
        <w:spacing w:after="0" w:line="261" w:lineRule="auto"/>
        <w:tabs>
          <w:tab w:leader="none" w:pos="1288"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 in working capital (change in operating assets and liabilities) is expected to result in a use of cash of approximately $40 million for 2026 primarily related to both our RAC contract renewals and the timing of expenditures and collections of our ongoing installation work in New York City</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760" w:right="33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22"/>
          <w:szCs w:val="22"/>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1300" w:hanging="320"/>
        <w:spacing w:after="0" w:line="283" w:lineRule="auto"/>
        <w:tabs>
          <w:tab w:leader="none" w:pos="1288"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Capital expenditures (purchases of installation and service parts and property and equipment) are expected to be approximately $125 million for 2026 relating primarily to camera installations and MOSAIC implementation</w:t>
      </w:r>
    </w:p>
    <w:p>
      <w:pPr>
        <w:spacing w:after="0" w:line="52" w:lineRule="exact"/>
        <w:rPr>
          <w:sz w:val="20"/>
          <w:szCs w:val="20"/>
          <w:color w:val="auto"/>
        </w:rPr>
      </w:pPr>
    </w:p>
    <w:p>
      <w:pPr>
        <w:ind w:right="660"/>
        <w:spacing w:after="0" w:line="255" w:lineRule="auto"/>
        <w:rPr>
          <w:sz w:val="20"/>
          <w:szCs w:val="20"/>
          <w:color w:val="auto"/>
        </w:rPr>
      </w:pPr>
      <w:r>
        <w:rPr>
          <w:rFonts w:ascii="Times New Roman" w:cs="Times New Roman" w:eastAsia="Times New Roman" w:hAnsi="Times New Roman"/>
          <w:sz w:val="20"/>
          <w:szCs w:val="20"/>
          <w:color w:val="auto"/>
        </w:rPr>
        <w:t>The forward-looking guidance provided includes Adjusted EBITDA, Adjusted EPS, and Free Cash Flow, all of which are non-GAAP financial measures and are defined below.</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Conference Call</w:t>
      </w:r>
    </w:p>
    <w:p>
      <w:pPr>
        <w:spacing w:after="0" w:line="12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20"/>
          <w:szCs w:val="20"/>
          <w:color w:val="auto"/>
        </w:rPr>
        <w:t>As previously announced, given the pending leadership transitions, Verra Mobility will not hold a conference call in connection with the release of its third quarter financial results. The Company expects to resume its customary quarterly earnings conference calls beginning with its fourth quarter and full-year 2026 results.</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About Verra Mobility</w:t>
      </w:r>
    </w:p>
    <w:p>
      <w:pPr>
        <w:spacing w:after="0" w:line="11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Verra Mobility Corporation (NASDAQ: VRRM) is a leading provider of smart mobility technology solutions that make transportation safer, smarter, and more connected. The company sits at the center of the mobility ecosystem, bringing together vehicles, hardware, software, data, and people to enable safe, efficient solutions for customers globally. Verra Mobility’s transportation safety systems and parking management solutions protect lives, improve urban and motorway mobility, and support healthier communities. The company also solves complex payment, utilization, and compliance challenges for fleet owners and rental car companies. Headquartered in Arizona, Verra Mobility operates in the United States, Australia, Europe, and Canada. For more information, please visit www.verramobility.com.</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Forward-Looking Statements</w:t>
      </w:r>
    </w:p>
    <w:p>
      <w:pPr>
        <w:spacing w:after="0" w:line="112"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20"/>
          <w:szCs w:val="20"/>
          <w:color w:val="auto"/>
        </w:rPr>
        <w:t>This press release contains forward-looking statements which address our expected future business and financial performance, and may contain words such as “goal,” “target,” “future,” “estimate,” “expect,” “anticipate,” “intend,” “plan,” “believe,” “seek,” “project,” “may,” “should,” “will” or similar expressions. Forward-looking statements include statements regarding changes and trends in the market for our products and services, including expected operating results and metrics, such as revenue growth and expected margins; expansion plans and opportunities; expectations regarding the impact of the termination of our contract with ABG, effective January 30, 2027, and our ability to replace the revenue expected under that contract; expectations regarding fluctuations in fleet volume under our arrangement with our second significant Commercial Services customer; expectations relating to our selection by the City of Los Angeles to implement California’s largest speed safety program and the contract with NYCDOT; expectations regarding the upcoming renewal of our contract with our third significant Commercial Services customer; our ability to protect our intellectual property, trade secrets and confidential information; our ability to support sustainable growth and strong customer outcomes; our leadership transitions, including the transition to our new President and Chief Executive Officer and the search for a permanent Chief Financial Officer; potential changes to our segment reporting; full year guidance for 2026, including expected total revenue, Adjusted EBITDA, Adjusted EPS, and Free Cash Flow, and the underlying assumptions for the 2026 full-year guidance, including anticipated TSA volume, expected weighted average fully diluted share count, effective tax rate and cash taxes, expected depreciation and amortization expenses, expected interest expense, net and total net cash interest, expected change in working capital, expected capital expenditures, and expected operating expenditures; expectations relating to momentum across key growth areas and our pipeline; our ability to meet our long-term outlook; the expected benefits of our smart mobility platform, including margin expansion impact; and expectations concerning our share repurchase program. Forward-looking statements involve risks and uncertainties, and a number of factors could cause actual results to differ materially from those currently anticipated. These factors include, but are not limited to, the impact of negative industry and macroeconomic conditions, including inflation and higher interest rates, the impact of government actions and regulations, such as tariffs, trade protection measures, and military conflicts, on our customers or Verra Mobility; customer concentration in our Commercial Services and Government Solutions segments, including risks impacting these segments such as travel demand and legislation, and the risk of losing a customer; risks related to our contract with NYCDOT, which comprises a material portion of our revenue, including the timing of payments; risks related to the termination of our contract with one of our significant Commercial Services customers, effective January 30,</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760" w:right="33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22"/>
          <w:szCs w:val="22"/>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right="20"/>
        <w:spacing w:after="0" w:line="248" w:lineRule="auto"/>
        <w:rPr>
          <w:sz w:val="20"/>
          <w:szCs w:val="20"/>
          <w:color w:val="auto"/>
        </w:rPr>
      </w:pPr>
      <w:r>
        <w:rPr>
          <w:rFonts w:ascii="Times New Roman" w:cs="Times New Roman" w:eastAsia="Times New Roman" w:hAnsi="Times New Roman"/>
          <w:sz w:val="20"/>
          <w:szCs w:val="20"/>
          <w:color w:val="auto"/>
        </w:rPr>
        <w:t>2027, and our ability to replace the revenue expected under that contract on a timely basis or at all; risks associated with fluctuations in fleet volume under the contract extension with our second significant Commercial Services customer; risks related to the upcoming renewal of our contract with our third significant Commercial Services customer, which may involve a competitive process, including the risk that we may not be successful in retaining the contract or may retain it only on terms less favorable to us than the current agreement; risks related to the future termination of any such contracts; risks and uncertainties related to our government contracts, including legislative changes, termination rights, delays in payments, audits, and investigations; decreases in the prevalence or political acceptance of, or an increase in governmental restrictions regarding, automated and other similar methods of photo enforcement, parking solutions, or the use of tolling; our ability to successfully implement our acquisition strategy or integrate acquisitions; failures in or breaches of our networks or systems, including as a result of cyber-attacks or other incidents; risks and uncertainties related to our international operations and our ability to develop and successfully market new products and technologies into new markets; our failure to acquire necessary intellectual property or adequately protect our intellectual property; our ability to successfully improve operational efficiencies, generate cost savings, and achieve expected benefits from our transformation and strategic initiatives, including organizational changes that could result in a change to our segment reporting; risks related to our ongoing leadership transitions, including the transition to our new President and Chief Executive Officer, our reliance on an Interim Chief Financial Officer provided through a third-party engagement and the search for a permanent Chief Financial Officer, and our ability to attract and retain key management personnel; our ability to manage our substantial level of indebtedness; our ability to maintain effective internal controls over financial reporting; risks related to our goodwill and intangible assets, which have been subject to impairment and may be subject to further impairment in the future; our ability to properly perform under our contracts and otherwise satisfy our customers; risks associated with the use of artificial intelligence (“</w:t>
      </w:r>
      <w:r>
        <w:rPr>
          <w:rFonts w:ascii="Times New Roman" w:cs="Times New Roman" w:eastAsia="Times New Roman" w:hAnsi="Times New Roman"/>
          <w:sz w:val="20"/>
          <w:szCs w:val="20"/>
          <w:b w:val="1"/>
          <w:bCs w:val="1"/>
          <w:i w:val="1"/>
          <w:iCs w:val="1"/>
          <w:color w:val="auto"/>
        </w:rPr>
        <w:t>AI</w:t>
      </w:r>
      <w:r>
        <w:rPr>
          <w:rFonts w:ascii="Times New Roman" w:cs="Times New Roman" w:eastAsia="Times New Roman" w:hAnsi="Times New Roman"/>
          <w:sz w:val="20"/>
          <w:szCs w:val="20"/>
          <w:color w:val="auto"/>
        </w:rPr>
        <w:t>”) and related tools and our ability to achieve expected benefits from AI; our ability to incorporate AI into our business and transform our data into valuable insights, deliver more intelligent software and hardware, improve our efficiency of our operations and create a new generation of AI-enabled transportation solutions that strengthens customer outcomes, improves roadway safety and increases the long-term value of our technology platform; decreased interest in outsourcing from our customers; our ability to keep up with technological developments and changing customer preferences; our ability to compete in a highly competitive and rapidly evolving market; risks and uncertainties related to our share repurchase program; risks and uncertainties related to litigation, including pending securities litigation, and other disputes and regulatory investigations; our reliance on specialized third-party providers; and other risks and uncertainties indicated from time to time in documents we filed or will file with the Securities and Exchange Commission (the “</w:t>
      </w:r>
      <w:r>
        <w:rPr>
          <w:rFonts w:ascii="Times New Roman" w:cs="Times New Roman" w:eastAsia="Times New Roman" w:hAnsi="Times New Roman"/>
          <w:sz w:val="20"/>
          <w:szCs w:val="20"/>
          <w:b w:val="1"/>
          <w:bCs w:val="1"/>
          <w:i w:val="1"/>
          <w:iCs w:val="1"/>
          <w:color w:val="auto"/>
        </w:rPr>
        <w:t>SEC</w:t>
      </w:r>
      <w:r>
        <w:rPr>
          <w:rFonts w:ascii="Times New Roman" w:cs="Times New Roman" w:eastAsia="Times New Roman" w:hAnsi="Times New Roman"/>
          <w:sz w:val="20"/>
          <w:szCs w:val="20"/>
          <w:color w:val="auto"/>
        </w:rPr>
        <w:t>”). In addition, no assurance can be given that any plan, initiative, projection, goal, commitment, expectation, or prospect set forth in this press release can or will be achieved. This press release should be read in conjunction with the information included in our other press releases, reports, and other filings with the SEC. Additional information regarding the factors that may cause actual results to differ materially from these forward-looking statements is available in our SEC filings, including our 2025 Annual Report on Form 10-K, our Quarterly Reports on Form 10-Q for the quarters ended March 31, 2026, June 30, 2026, and September 30, 2026. These forward-looking statements speak only as of the date of this press release and except to the extent required by applicable law, we do not assume any obligation to update or revise any forward-looking statement, whether as a result of new information, future events and developments, or otherwise. Understanding the information contained in these filings is important in order to fully understand our reported financial results and our business outlook for future periods.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Additional Information</w:t>
      </w:r>
    </w:p>
    <w:p>
      <w:pPr>
        <w:spacing w:after="0" w:line="112"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 xml:space="preserve">We periodically provide information for investors on our corporate website, </w:t>
      </w:r>
      <w:r>
        <w:rPr>
          <w:rFonts w:ascii="Times New Roman" w:cs="Times New Roman" w:eastAsia="Times New Roman" w:hAnsi="Times New Roman"/>
          <w:sz w:val="20"/>
          <w:szCs w:val="20"/>
          <w:u w:val="single" w:color="auto"/>
          <w:color w:val="0000FF"/>
        </w:rPr>
        <w:t>www.verramobility.com</w:t>
      </w:r>
      <w:r>
        <w:rPr>
          <w:rFonts w:ascii="Times New Roman" w:cs="Times New Roman" w:eastAsia="Times New Roman" w:hAnsi="Times New Roman"/>
          <w:sz w:val="20"/>
          <w:szCs w:val="20"/>
          <w:color w:val="auto"/>
        </w:rPr>
        <w:t xml:space="preserve">, and our investor relations website, </w:t>
      </w:r>
      <w:r>
        <w:rPr>
          <w:rFonts w:ascii="Times New Roman" w:cs="Times New Roman" w:eastAsia="Times New Roman" w:hAnsi="Times New Roman"/>
          <w:sz w:val="20"/>
          <w:szCs w:val="20"/>
          <w:u w:val="single" w:color="auto"/>
          <w:color w:val="0000FF"/>
        </w:rPr>
        <w:t>ir.verramobility.com</w:t>
      </w:r>
      <w:r>
        <w:rPr>
          <w:rFonts w:ascii="Times New Roman" w:cs="Times New Roman" w:eastAsia="Times New Roman" w:hAnsi="Times New Roman"/>
          <w:sz w:val="20"/>
          <w:szCs w:val="20"/>
          <w:color w:val="000000"/>
        </w:rPr>
        <w:t>.</w:t>
      </w:r>
    </w:p>
    <w:p>
      <w:pPr>
        <w:spacing w:after="0" w:line="3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color w:val="auto"/>
        </w:rPr>
        <w:t>We intend to use our website including our quarterly earnings presentation as a means of disclosing material non-public information, additional financial and operating metrics and for complying with disclosure obligations under Regulation FD. Accordingly, investors should monitor our website, in addition to following our press releases, SEC filings, public conference calls, webcasts, and social media. In addition, you may enroll to automatically receive e-mail alerts and other information about our company by visiting “Email Alerts” under the “Investor Resources” section of the “Investors” portion of our website.</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760" w:right="339" w:bottom="1440" w:gutter="0" w:footer="0" w:header="0"/>
        </w:sectPr>
      </w:pPr>
    </w:p>
    <w:bookmarkStart w:id="9" w:name="page10"/>
    <w:bookmarkEnd w:id="9"/>
    <w:p>
      <w:pPr>
        <w:jc w:val="right"/>
        <w:spacing w:after="0"/>
        <w:rPr>
          <w:sz w:val="20"/>
          <w:szCs w:val="20"/>
          <w:color w:val="auto"/>
        </w:rPr>
      </w:pPr>
      <w:r>
        <w:rPr>
          <w:rFonts w:ascii="Times New Roman" w:cs="Times New Roman" w:eastAsia="Times New Roman" w:hAnsi="Times New Roman"/>
          <w:sz w:val="22"/>
          <w:szCs w:val="22"/>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Non-GAAP Financial Measures</w:t>
      </w:r>
    </w:p>
    <w:p>
      <w:pPr>
        <w:spacing w:after="0" w:line="12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In addition to disclosing financial results that are determined in accordance with U.S. generally accepted accounting principles (“</w:t>
      </w:r>
      <w:r>
        <w:rPr>
          <w:rFonts w:ascii="Times New Roman" w:cs="Times New Roman" w:eastAsia="Times New Roman" w:hAnsi="Times New Roman"/>
          <w:sz w:val="20"/>
          <w:szCs w:val="20"/>
          <w:b w:val="1"/>
          <w:bCs w:val="1"/>
          <w:i w:val="1"/>
          <w:iCs w:val="1"/>
          <w:color w:val="auto"/>
        </w:rPr>
        <w:t>GAAP</w:t>
      </w:r>
      <w:r>
        <w:rPr>
          <w:rFonts w:ascii="Times New Roman" w:cs="Times New Roman" w:eastAsia="Times New Roman" w:hAnsi="Times New Roman"/>
          <w:sz w:val="20"/>
          <w:szCs w:val="20"/>
          <w:color w:val="auto"/>
        </w:rPr>
        <w:t>”), we also disclose certain non-GAAP financial information in this press release. These financial measures are not recognized measures under GAAP and are not intended to be, and should not be, considered in isolation or as a substitute for, or superior to, the financial information prepared and presented in accordance with GAAP. EBITDA, Adjusted EBITDA, Free Cash Flow, Adjusted Net Income, Adjusted EPS, Adjusted EBITDA Margin, Net Debt, and Net Leverage are non-GAAP financial measures as defined by SEC rules. These non-GAAP financial measures may be determined or calculated differently by other companies. As a result, they may not be comparable to similarly titled performance measures presented by other companies. Reconciliations of these non-GAAP measurements to the most directly comparable GAAP financial measurements have been provided in the financial statement tables included in this press release, and investors are encouraged to review the reconciliations.</w:t>
      </w:r>
    </w:p>
    <w:p>
      <w:pPr>
        <w:spacing w:after="0" w:line="8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We are not providing a quantitative reconciliation of Adjusted EBITDA, Adjusted EPS, or Free Cash Flow which are included in our 2026 financial guidance above, in reliance on the “unreasonable efforts” exception for forward-looking non-GAAP measures set forth in SEC rules because certain financial information, the probable significance of which cannot be determined, is not available and cannot be reasonably estimated without unreasonable effort and expense. In this regard, we are unable to provide a reconciliation of forward-looking Adjusted EBITDA to GAAP net income, Adjusted EPS to net income per share and Free Cash Flow to net cash provided by operating activities, due to the inherent difficulty in forecasting and quantifying certain amounts that are necessary for such reconciliation. Due to the uncertainty of estimates and assumptions used in preparing forward-looking non-GAAP measures, we caution investors that actual results could differ materially from these non-GAAP financial projections.</w:t>
      </w:r>
    </w:p>
    <w:p>
      <w:pPr>
        <w:spacing w:after="0" w:line="8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color w:val="auto"/>
        </w:rPr>
        <w:t>We use the non-GAAP metrics EBITDA, Adjusted EBITDA, Free Cash Flow, Adjusted Net Income, Adjusted EPS, and Adjusted EBITDA Margin to measure our performance from period to period, to evaluate and fund incentive compensation programs and to compare our results to those of our competitors. We use the non-GAAP metrics Free Cash Flow in connection with managing the business and we use the non-GAAP metrics “Net Debt” and “Net Leverage” to understand our overall leverage position and to evaluate capital allocation decisions. In addition, we also believe that these non-GAAP measures provide useful information to investors regarding financial and business trends related to our results of operations and that when non-GAAP financial information is viewed with GAAP financial information, investors are provided with a more meaningful understanding of our ongoing operating performance, liquidity, and leverage relative to other periods. These non-GAAP measures have certain limitations as analytical tools and should not be used as substitutes for net income, cash flows from operations, earnings per share, other consolidated income, cash flow, or debt data prepared in accordance with GAAP.</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EBITDA and Adjusted EBITDA</w:t>
      </w:r>
    </w:p>
    <w:p>
      <w:pPr>
        <w:spacing w:after="0" w:line="125"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We define “EBITDA” as net income adjusted to exclude interest expense, net, income taxes, depreciation and amortization. “Adjusted EBITDA” further excludes certain non-cash expenses and non-recurring items.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Free Cash Flow</w:t>
      </w:r>
    </w:p>
    <w:p>
      <w:pPr>
        <w:spacing w:after="0" w:line="112"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We define “Free Cash Flow” as net cash flow provided by operating activities less purchases of installation and service parts and property and equipment.</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Adjusted Net Income</w:t>
      </w:r>
    </w:p>
    <w:p>
      <w:pPr>
        <w:spacing w:after="0" w:line="112"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20"/>
          <w:szCs w:val="20"/>
          <w:color w:val="auto"/>
        </w:rPr>
        <w:t>We define “Adjusted Net Income” as net income adjusted to exclude amortization of intangibles and certain non-cash or non-recurring expenses such as loss on extinguishment of debt, among other items.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Adjusted EPS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define “Adjusted EPS” as Adjusted Net Income divided by the diluted weighted average shares for the period.</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40"/>
          </w:cols>
          <w:pgMar w:left="320" w:top="760" w:right="339" w:bottom="1440" w:gutter="0" w:footer="0" w:header="0"/>
        </w:sectPr>
      </w:pPr>
    </w:p>
    <w:bookmarkStart w:id="10" w:name="page11"/>
    <w:bookmarkEnd w:id="10"/>
    <w:p>
      <w:pPr>
        <w:jc w:val="right"/>
        <w:spacing w:after="0"/>
        <w:rPr>
          <w:sz w:val="20"/>
          <w:szCs w:val="20"/>
          <w:color w:val="auto"/>
        </w:rPr>
      </w:pPr>
      <w:r>
        <w:rPr>
          <w:rFonts w:ascii="Times New Roman" w:cs="Times New Roman" w:eastAsia="Times New Roman" w:hAnsi="Times New Roman"/>
          <w:sz w:val="22"/>
          <w:szCs w:val="22"/>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Adjusted EBITDA Margin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define “Adjusted EBITDA Margin” as Adjusted EBITDA as a percentage of total revenue.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Net Debt</w:t>
      </w:r>
    </w:p>
    <w:p>
      <w:pPr>
        <w:spacing w:after="0" w:line="125"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We define “Net Debt” as total debt, net excluding original issue discounts and unamortized deferred financing costs, less cash and cash equivalents.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Net Leverage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define “Net Leverage” as Net Debt divided by the trailing twelve months Adjusted EBITDA as of the current quarter-end.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Additional Metrics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Recurring Revenue or Recurring Service Revenue</w:t>
      </w:r>
    </w:p>
    <w:p>
      <w:pPr>
        <w:spacing w:after="0" w:line="11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0"/>
          <w:szCs w:val="20"/>
          <w:color w:val="auto"/>
        </w:rPr>
        <w:t>We define “Recurring Revenue” or “Recurring Service Revenue” as all revenue other than product sales for each of our segments, as we typically generate revenue on a recurring monthly basis under long-term contracts with our customers. This includes our Commercial Services segment where we generate service revenue through processing of tolls, violations, and titles and registrations.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TSA Volume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TSA passenger volume represents the number of airline passengers passing through Transportation Security Administration checkpoints.</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40"/>
          </w:cols>
          <w:pgMar w:left="320" w:top="760"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82"/>
        </w:trPr>
        <w:tc>
          <w:tcPr>
            <w:tcW w:w="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5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Exhibit 99.1</w:t>
            </w:r>
          </w:p>
        </w:tc>
        <w:tc>
          <w:tcPr>
            <w:tcW w:w="0" w:type="dxa"/>
            <w:vAlign w:val="bottom"/>
          </w:tcPr>
          <w:p>
            <w:pPr>
              <w:spacing w:after="0"/>
              <w:rPr>
                <w:sz w:val="1"/>
                <w:szCs w:val="1"/>
                <w:color w:val="auto"/>
              </w:rPr>
            </w:pPr>
          </w:p>
        </w:tc>
      </w:tr>
      <w:tr>
        <w:trPr>
          <w:trHeight w:val="947"/>
        </w:trPr>
        <w:tc>
          <w:tcPr>
            <w:tcW w:w="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5880" w:type="dxa"/>
            <w:vAlign w:val="bottom"/>
          </w:tcPr>
          <w:p>
            <w:pPr>
              <w:jc w:val="center"/>
              <w:ind w:left="661"/>
              <w:spacing w:after="0"/>
              <w:rPr>
                <w:sz w:val="20"/>
                <w:szCs w:val="20"/>
                <w:color w:val="auto"/>
              </w:rPr>
            </w:pPr>
            <w:r>
              <w:rPr>
                <w:rFonts w:ascii="Times New Roman" w:cs="Times New Roman" w:eastAsia="Times New Roman" w:hAnsi="Times New Roman"/>
                <w:sz w:val="20"/>
                <w:szCs w:val="20"/>
                <w:b w:val="1"/>
                <w:bCs w:val="1"/>
                <w:color w:val="auto"/>
                <w:w w:val="98"/>
              </w:rPr>
              <w:t>VERRA MOBILITY CORPORATION</w:t>
            </w: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5880" w:type="dxa"/>
            <w:vAlign w:val="bottom"/>
          </w:tcPr>
          <w:p>
            <w:pPr>
              <w:jc w:val="center"/>
              <w:ind w:left="661"/>
              <w:spacing w:after="0"/>
              <w:rPr>
                <w:sz w:val="20"/>
                <w:szCs w:val="20"/>
                <w:color w:val="auto"/>
              </w:rPr>
            </w:pPr>
            <w:r>
              <w:rPr>
                <w:rFonts w:ascii="Times New Roman" w:cs="Times New Roman" w:eastAsia="Times New Roman" w:hAnsi="Times New Roman"/>
                <w:sz w:val="20"/>
                <w:szCs w:val="20"/>
                <w:b w:val="1"/>
                <w:bCs w:val="1"/>
                <w:color w:val="auto"/>
                <w:w w:val="98"/>
              </w:rPr>
              <w:t>CONDENSED CONSOLIDATED BALANCE SHEETS</w:t>
            </w: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280" w:type="dxa"/>
            <w:vAlign w:val="bottom"/>
          </w:tcPr>
          <w:p>
            <w:pPr>
              <w:spacing w:after="0"/>
              <w:rPr>
                <w:sz w:val="22"/>
                <w:szCs w:val="22"/>
                <w:color w:val="auto"/>
              </w:rPr>
            </w:pPr>
          </w:p>
        </w:tc>
        <w:tc>
          <w:tcPr>
            <w:tcW w:w="5880" w:type="dxa"/>
            <w:vAlign w:val="bottom"/>
          </w:tcPr>
          <w:p>
            <w:pPr>
              <w:jc w:val="center"/>
              <w:ind w:left="661"/>
              <w:spacing w:after="0"/>
              <w:rPr>
                <w:sz w:val="20"/>
                <w:szCs w:val="20"/>
                <w:color w:val="auto"/>
              </w:rPr>
            </w:pPr>
            <w:r>
              <w:rPr>
                <w:rFonts w:ascii="Times New Roman" w:cs="Times New Roman" w:eastAsia="Times New Roman" w:hAnsi="Times New Roman"/>
                <w:sz w:val="20"/>
                <w:szCs w:val="20"/>
                <w:color w:val="auto"/>
                <w:w w:val="99"/>
              </w:rPr>
              <w:t>(Unaudited)</w:t>
            </w:r>
          </w:p>
        </w:tc>
        <w:tc>
          <w:tcPr>
            <w:tcW w:w="2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7"/>
        </w:trPr>
        <w:tc>
          <w:tcPr>
            <w:tcW w:w="20" w:type="dxa"/>
            <w:vAlign w:val="bottom"/>
          </w:tcPr>
          <w:p>
            <w:pPr>
              <w:spacing w:after="0"/>
              <w:rPr>
                <w:sz w:val="24"/>
                <w:szCs w:val="24"/>
                <w:color w:val="auto"/>
              </w:rPr>
            </w:pPr>
          </w:p>
        </w:tc>
        <w:tc>
          <w:tcPr>
            <w:tcW w:w="81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200" w:type="dxa"/>
            <w:vAlign w:val="bottom"/>
          </w:tcPr>
          <w:p>
            <w:pPr>
              <w:spacing w:after="0"/>
              <w:rPr>
                <w:sz w:val="24"/>
                <w:szCs w:val="24"/>
                <w:color w:val="auto"/>
              </w:rPr>
            </w:pPr>
          </w:p>
        </w:tc>
        <w:tc>
          <w:tcPr>
            <w:tcW w:w="13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24"/>
                <w:szCs w:val="24"/>
                <w:color w:val="auto"/>
              </w:rPr>
            </w:pPr>
          </w:p>
        </w:tc>
        <w:tc>
          <w:tcPr>
            <w:tcW w:w="1260" w:type="dxa"/>
            <w:vAlign w:val="bottom"/>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81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Pr>
          <w:p>
            <w:pPr>
              <w:jc w:val="right"/>
              <w:ind w:right="511"/>
              <w:spacing w:after="0" w:line="127" w:lineRule="exact"/>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jc w:val="right"/>
              <w:ind w:right="511"/>
              <w:spacing w:after="0" w:line="127" w:lineRule="exact"/>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34"/>
        </w:trPr>
        <w:tc>
          <w:tcPr>
            <w:tcW w:w="20" w:type="dxa"/>
            <w:vAlign w:val="bottom"/>
            <w:tcBorders>
              <w:bottom w:val="single" w:sz="8" w:color="CFF0FC"/>
            </w:tcBorders>
          </w:tcPr>
          <w:p>
            <w:pPr>
              <w:spacing w:after="0"/>
              <w:rPr>
                <w:sz w:val="2"/>
                <w:szCs w:val="2"/>
                <w:color w:val="auto"/>
              </w:rPr>
            </w:pPr>
          </w:p>
        </w:tc>
        <w:tc>
          <w:tcPr>
            <w:tcW w:w="2280" w:type="dxa"/>
            <w:vAlign w:val="bottom"/>
            <w:tcBorders>
              <w:top w:val="single" w:sz="8" w:color="auto"/>
              <w:bottom w:val="single" w:sz="8" w:color="CFF0FC"/>
            </w:tcBorders>
          </w:tcPr>
          <w:p>
            <w:pPr>
              <w:spacing w:after="0"/>
              <w:rPr>
                <w:sz w:val="2"/>
                <w:szCs w:val="2"/>
                <w:color w:val="auto"/>
              </w:rPr>
            </w:pPr>
          </w:p>
        </w:tc>
        <w:tc>
          <w:tcPr>
            <w:tcW w:w="5880" w:type="dxa"/>
            <w:vAlign w:val="bottom"/>
            <w:tcBorders>
              <w:bottom w:val="single" w:sz="8" w:color="CFF0F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0" w:type="dxa"/>
            <w:vAlign w:val="bottom"/>
            <w:shd w:val="clear" w:color="auto" w:fill="CFF0FC"/>
          </w:tcPr>
          <w:p>
            <w:pPr>
              <w:spacing w:after="0"/>
              <w:rPr>
                <w:sz w:val="21"/>
                <w:szCs w:val="21"/>
                <w:color w:val="auto"/>
              </w:rPr>
            </w:pPr>
          </w:p>
        </w:tc>
        <w:tc>
          <w:tcPr>
            <w:tcW w:w="81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6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1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Current assets:</w:t>
            </w:r>
          </w:p>
        </w:tc>
        <w:tc>
          <w:tcPr>
            <w:tcW w:w="2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20" w:type="dxa"/>
            <w:vAlign w:val="bottom"/>
            <w:shd w:val="clear" w:color="auto" w:fill="CFF0FC"/>
          </w:tcPr>
          <w:p>
            <w:pPr>
              <w:spacing w:after="0"/>
              <w:rPr>
                <w:sz w:val="24"/>
                <w:szCs w:val="24"/>
                <w:color w:val="auto"/>
              </w:rPr>
            </w:pPr>
          </w:p>
        </w:tc>
        <w:tc>
          <w:tcPr>
            <w:tcW w:w="8160" w:type="dxa"/>
            <w:vAlign w:val="bottom"/>
            <w:gridSpan w:val="2"/>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136,972</w:t>
            </w:r>
          </w:p>
        </w:tc>
        <w:tc>
          <w:tcPr>
            <w:tcW w:w="100" w:type="dxa"/>
            <w:vAlign w:val="bottom"/>
            <w:shd w:val="clear" w:color="auto" w:fill="CFF0FC"/>
          </w:tcPr>
          <w:p>
            <w:pPr>
              <w:spacing w:after="0"/>
              <w:rPr>
                <w:sz w:val="24"/>
                <w:szCs w:val="24"/>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65,272</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1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Restricted cash</w:t>
            </w: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3,144</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3,046</w:t>
            </w:r>
          </w:p>
        </w:tc>
        <w:tc>
          <w:tcPr>
            <w:tcW w:w="0" w:type="dxa"/>
            <w:vAlign w:val="bottom"/>
          </w:tcPr>
          <w:p>
            <w:pPr>
              <w:spacing w:after="0"/>
              <w:rPr>
                <w:sz w:val="1"/>
                <w:szCs w:val="1"/>
                <w:color w:val="auto"/>
              </w:rPr>
            </w:pPr>
          </w:p>
        </w:tc>
      </w:tr>
      <w:tr>
        <w:trPr>
          <w:trHeight w:val="245"/>
        </w:trPr>
        <w:tc>
          <w:tcPr>
            <w:tcW w:w="20" w:type="dxa"/>
            <w:vAlign w:val="bottom"/>
            <w:shd w:val="clear" w:color="auto" w:fill="CFF0FC"/>
          </w:tcPr>
          <w:p>
            <w:pPr>
              <w:spacing w:after="0"/>
              <w:rPr>
                <w:sz w:val="21"/>
                <w:szCs w:val="21"/>
                <w:color w:val="auto"/>
              </w:rPr>
            </w:pPr>
          </w:p>
        </w:tc>
        <w:tc>
          <w:tcPr>
            <w:tcW w:w="8160" w:type="dxa"/>
            <w:vAlign w:val="bottom"/>
            <w:gridSpan w:val="2"/>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Accounts receivable (net of allowance for credit losses of $20.7 million and $23.0 million at September 30,</w:t>
            </w:r>
          </w:p>
        </w:tc>
        <w:tc>
          <w:tcPr>
            <w:tcW w:w="200" w:type="dxa"/>
            <w:vAlign w:val="bottom"/>
            <w:shd w:val="clear" w:color="auto" w:fill="CFF0FC"/>
          </w:tcPr>
          <w:p>
            <w:pPr>
              <w:spacing w:after="0"/>
              <w:rPr>
                <w:sz w:val="21"/>
                <w:szCs w:val="21"/>
                <w:color w:val="auto"/>
              </w:rPr>
            </w:pPr>
          </w:p>
        </w:tc>
        <w:tc>
          <w:tcPr>
            <w:tcW w:w="12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192,181</w:t>
            </w:r>
          </w:p>
        </w:tc>
        <w:tc>
          <w:tcPr>
            <w:tcW w:w="1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234,288</w:t>
            </w:r>
          </w:p>
        </w:tc>
        <w:tc>
          <w:tcPr>
            <w:tcW w:w="0" w:type="dxa"/>
            <w:vAlign w:val="bottom"/>
          </w:tcPr>
          <w:p>
            <w:pPr>
              <w:spacing w:after="0"/>
              <w:rPr>
                <w:sz w:val="1"/>
                <w:szCs w:val="1"/>
                <w:color w:val="auto"/>
              </w:rPr>
            </w:pPr>
          </w:p>
        </w:tc>
      </w:tr>
      <w:tr>
        <w:trPr>
          <w:trHeight w:val="234"/>
        </w:trPr>
        <w:tc>
          <w:tcPr>
            <w:tcW w:w="20" w:type="dxa"/>
            <w:vAlign w:val="bottom"/>
            <w:shd w:val="clear" w:color="auto" w:fill="CFF0FC"/>
          </w:tcPr>
          <w:p>
            <w:pPr>
              <w:spacing w:after="0"/>
              <w:rPr>
                <w:sz w:val="20"/>
                <w:szCs w:val="20"/>
                <w:color w:val="auto"/>
              </w:rPr>
            </w:pPr>
          </w:p>
        </w:tc>
        <w:tc>
          <w:tcPr>
            <w:tcW w:w="8160" w:type="dxa"/>
            <w:vAlign w:val="bottom"/>
            <w:gridSpan w:val="2"/>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2026 and December 31, 2025, respectively)</w:t>
            </w:r>
          </w:p>
        </w:tc>
        <w:tc>
          <w:tcPr>
            <w:tcW w:w="200" w:type="dxa"/>
            <w:vAlign w:val="bottom"/>
            <w:shd w:val="clear" w:color="auto" w:fill="CFF0FC"/>
          </w:tcPr>
          <w:p>
            <w:pPr>
              <w:spacing w:after="0"/>
              <w:rPr>
                <w:sz w:val="20"/>
                <w:szCs w:val="20"/>
                <w:color w:val="auto"/>
              </w:rPr>
            </w:pPr>
          </w:p>
        </w:tc>
        <w:tc>
          <w:tcPr>
            <w:tcW w:w="1280" w:type="dxa"/>
            <w:vAlign w:val="bottom"/>
            <w:vMerge w:val="continue"/>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260" w:type="dxa"/>
            <w:vAlign w:val="bottom"/>
            <w:vMerge w:val="continue"/>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1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Unbilled receivables</w:t>
            </w: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108,721</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56,100</w:t>
            </w:r>
          </w:p>
        </w:tc>
        <w:tc>
          <w:tcPr>
            <w:tcW w:w="0" w:type="dxa"/>
            <w:vAlign w:val="bottom"/>
          </w:tcPr>
          <w:p>
            <w:pPr>
              <w:spacing w:after="0"/>
              <w:rPr>
                <w:sz w:val="1"/>
                <w:szCs w:val="1"/>
                <w:color w:val="auto"/>
              </w:rPr>
            </w:pPr>
          </w:p>
        </w:tc>
      </w:tr>
      <w:tr>
        <w:trPr>
          <w:trHeight w:val="277"/>
        </w:trPr>
        <w:tc>
          <w:tcPr>
            <w:tcW w:w="20" w:type="dxa"/>
            <w:vAlign w:val="bottom"/>
            <w:shd w:val="clear" w:color="auto" w:fill="CFF0FC"/>
          </w:tcPr>
          <w:p>
            <w:pPr>
              <w:spacing w:after="0"/>
              <w:rPr>
                <w:sz w:val="24"/>
                <w:szCs w:val="24"/>
                <w:color w:val="auto"/>
              </w:rPr>
            </w:pPr>
          </w:p>
        </w:tc>
        <w:tc>
          <w:tcPr>
            <w:tcW w:w="8160" w:type="dxa"/>
            <w:vAlign w:val="bottom"/>
            <w:gridSpan w:val="2"/>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Inventory</w:t>
            </w:r>
          </w:p>
        </w:tc>
        <w:tc>
          <w:tcPr>
            <w:tcW w:w="200" w:type="dxa"/>
            <w:vAlign w:val="bottom"/>
            <w:shd w:val="clear" w:color="auto" w:fill="CFF0FC"/>
          </w:tcPr>
          <w:p>
            <w:pPr>
              <w:spacing w:after="0"/>
              <w:rPr>
                <w:sz w:val="24"/>
                <w:szCs w:val="24"/>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21,412</w:t>
            </w:r>
          </w:p>
        </w:tc>
        <w:tc>
          <w:tcPr>
            <w:tcW w:w="100" w:type="dxa"/>
            <w:vAlign w:val="bottom"/>
            <w:shd w:val="clear" w:color="auto" w:fill="CFF0FC"/>
          </w:tcPr>
          <w:p>
            <w:pPr>
              <w:spacing w:after="0"/>
              <w:rPr>
                <w:sz w:val="24"/>
                <w:szCs w:val="24"/>
                <w:color w:val="auto"/>
              </w:rPr>
            </w:pPr>
          </w:p>
        </w:tc>
        <w:tc>
          <w:tcPr>
            <w:tcW w:w="220" w:type="dxa"/>
            <w:vAlign w:val="bottom"/>
            <w:shd w:val="clear" w:color="auto" w:fill="CFF0FC"/>
          </w:tcPr>
          <w:p>
            <w:pPr>
              <w:spacing w:after="0"/>
              <w:rPr>
                <w:sz w:val="24"/>
                <w:szCs w:val="24"/>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20,662</w:t>
            </w:r>
          </w:p>
        </w:tc>
        <w:tc>
          <w:tcPr>
            <w:tcW w:w="0" w:type="dxa"/>
            <w:vAlign w:val="bottom"/>
          </w:tcPr>
          <w:p>
            <w:pPr>
              <w:spacing w:after="0"/>
              <w:rPr>
                <w:sz w:val="1"/>
                <w:szCs w:val="1"/>
                <w:color w:val="auto"/>
              </w:rPr>
            </w:pPr>
          </w:p>
        </w:tc>
      </w:tr>
      <w:tr>
        <w:trPr>
          <w:trHeight w:val="263"/>
        </w:trPr>
        <w:tc>
          <w:tcPr>
            <w:tcW w:w="20" w:type="dxa"/>
            <w:vAlign w:val="bottom"/>
            <w:tcBorders>
              <w:bottom w:val="single" w:sz="8" w:color="CFF0FC"/>
            </w:tcBorders>
          </w:tcPr>
          <w:p>
            <w:pPr>
              <w:spacing w:after="0"/>
              <w:rPr>
                <w:sz w:val="22"/>
                <w:szCs w:val="22"/>
                <w:color w:val="auto"/>
              </w:rPr>
            </w:pPr>
          </w:p>
        </w:tc>
        <w:tc>
          <w:tcPr>
            <w:tcW w:w="8160" w:type="dxa"/>
            <w:vAlign w:val="bottom"/>
            <w:tcBorders>
              <w:bottom w:val="single" w:sz="8" w:color="CFF0FC"/>
            </w:tcBorders>
            <w:gridSpan w:val="2"/>
          </w:tcPr>
          <w:p>
            <w:pPr>
              <w:ind w:left="3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65,313</w:t>
            </w:r>
          </w:p>
        </w:tc>
        <w:tc>
          <w:tcPr>
            <w:tcW w:w="10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61,534</w:t>
            </w:r>
          </w:p>
        </w:tc>
        <w:tc>
          <w:tcPr>
            <w:tcW w:w="0" w:type="dxa"/>
            <w:vAlign w:val="bottom"/>
          </w:tcPr>
          <w:p>
            <w:pPr>
              <w:spacing w:after="0"/>
              <w:rPr>
                <w:sz w:val="1"/>
                <w:szCs w:val="1"/>
                <w:color w:val="auto"/>
              </w:rPr>
            </w:pPr>
          </w:p>
        </w:tc>
      </w:tr>
      <w:tr>
        <w:trPr>
          <w:trHeight w:val="270"/>
        </w:trPr>
        <w:tc>
          <w:tcPr>
            <w:tcW w:w="20" w:type="dxa"/>
            <w:vAlign w:val="bottom"/>
            <w:shd w:val="clear" w:color="auto" w:fill="CFF0FC"/>
          </w:tcPr>
          <w:p>
            <w:pPr>
              <w:spacing w:after="0"/>
              <w:rPr>
                <w:sz w:val="23"/>
                <w:szCs w:val="23"/>
                <w:color w:val="auto"/>
              </w:rPr>
            </w:pPr>
          </w:p>
        </w:tc>
        <w:tc>
          <w:tcPr>
            <w:tcW w:w="81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200" w:type="dxa"/>
            <w:vAlign w:val="bottom"/>
            <w:shd w:val="clear" w:color="auto" w:fill="CFF0FC"/>
          </w:tcPr>
          <w:p>
            <w:pPr>
              <w:spacing w:after="0"/>
              <w:rPr>
                <w:sz w:val="23"/>
                <w:szCs w:val="23"/>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527,743</w:t>
            </w:r>
          </w:p>
        </w:tc>
        <w:tc>
          <w:tcPr>
            <w:tcW w:w="100" w:type="dxa"/>
            <w:vAlign w:val="bottom"/>
            <w:shd w:val="clear" w:color="auto" w:fill="CFF0FC"/>
          </w:tcPr>
          <w:p>
            <w:pPr>
              <w:spacing w:after="0"/>
              <w:rPr>
                <w:sz w:val="23"/>
                <w:szCs w:val="23"/>
                <w:color w:val="auto"/>
              </w:rPr>
            </w:pPr>
          </w:p>
        </w:tc>
        <w:tc>
          <w:tcPr>
            <w:tcW w:w="220" w:type="dxa"/>
            <w:vAlign w:val="bottom"/>
            <w:shd w:val="clear" w:color="auto" w:fill="CFF0FC"/>
          </w:tcPr>
          <w:p>
            <w:pPr>
              <w:spacing w:after="0"/>
              <w:rPr>
                <w:sz w:val="23"/>
                <w:szCs w:val="23"/>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440,902</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1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Installation and service parts, net</w:t>
            </w: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38,173</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27,081</w:t>
            </w:r>
          </w:p>
        </w:tc>
        <w:tc>
          <w:tcPr>
            <w:tcW w:w="0" w:type="dxa"/>
            <w:vAlign w:val="bottom"/>
          </w:tcPr>
          <w:p>
            <w:pPr>
              <w:spacing w:after="0"/>
              <w:rPr>
                <w:sz w:val="1"/>
                <w:szCs w:val="1"/>
                <w:color w:val="auto"/>
              </w:rPr>
            </w:pPr>
          </w:p>
        </w:tc>
      </w:tr>
      <w:tr>
        <w:trPr>
          <w:trHeight w:val="277"/>
        </w:trPr>
        <w:tc>
          <w:tcPr>
            <w:tcW w:w="20" w:type="dxa"/>
            <w:vAlign w:val="bottom"/>
            <w:shd w:val="clear" w:color="auto" w:fill="CFF0FC"/>
          </w:tcPr>
          <w:p>
            <w:pPr>
              <w:spacing w:after="0"/>
              <w:rPr>
                <w:sz w:val="24"/>
                <w:szCs w:val="24"/>
                <w:color w:val="auto"/>
              </w:rPr>
            </w:pPr>
          </w:p>
        </w:tc>
        <w:tc>
          <w:tcPr>
            <w:tcW w:w="816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00" w:type="dxa"/>
            <w:vAlign w:val="bottom"/>
            <w:shd w:val="clear" w:color="auto" w:fill="CFF0FC"/>
          </w:tcPr>
          <w:p>
            <w:pPr>
              <w:spacing w:after="0"/>
              <w:rPr>
                <w:sz w:val="24"/>
                <w:szCs w:val="24"/>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266,947</w:t>
            </w:r>
          </w:p>
        </w:tc>
        <w:tc>
          <w:tcPr>
            <w:tcW w:w="100" w:type="dxa"/>
            <w:vAlign w:val="bottom"/>
            <w:shd w:val="clear" w:color="auto" w:fill="CFF0FC"/>
          </w:tcPr>
          <w:p>
            <w:pPr>
              <w:spacing w:after="0"/>
              <w:rPr>
                <w:sz w:val="24"/>
                <w:szCs w:val="24"/>
                <w:color w:val="auto"/>
              </w:rPr>
            </w:pPr>
          </w:p>
        </w:tc>
        <w:tc>
          <w:tcPr>
            <w:tcW w:w="220" w:type="dxa"/>
            <w:vAlign w:val="bottom"/>
            <w:shd w:val="clear" w:color="auto" w:fill="CFF0FC"/>
          </w:tcPr>
          <w:p>
            <w:pPr>
              <w:spacing w:after="0"/>
              <w:rPr>
                <w:sz w:val="24"/>
                <w:szCs w:val="24"/>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208,703</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1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Operating lease assets</w:t>
            </w: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43,869</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36,359</w:t>
            </w:r>
          </w:p>
        </w:tc>
        <w:tc>
          <w:tcPr>
            <w:tcW w:w="0" w:type="dxa"/>
            <w:vAlign w:val="bottom"/>
          </w:tcPr>
          <w:p>
            <w:pPr>
              <w:spacing w:after="0"/>
              <w:rPr>
                <w:sz w:val="1"/>
                <w:szCs w:val="1"/>
                <w:color w:val="auto"/>
              </w:rPr>
            </w:pPr>
          </w:p>
        </w:tc>
      </w:tr>
      <w:tr>
        <w:trPr>
          <w:trHeight w:val="277"/>
        </w:trPr>
        <w:tc>
          <w:tcPr>
            <w:tcW w:w="20" w:type="dxa"/>
            <w:vAlign w:val="bottom"/>
            <w:shd w:val="clear" w:color="auto" w:fill="CFF0FC"/>
          </w:tcPr>
          <w:p>
            <w:pPr>
              <w:spacing w:after="0"/>
              <w:rPr>
                <w:sz w:val="24"/>
                <w:szCs w:val="24"/>
                <w:color w:val="auto"/>
              </w:rPr>
            </w:pPr>
          </w:p>
        </w:tc>
        <w:tc>
          <w:tcPr>
            <w:tcW w:w="816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Intangible assets, net</w:t>
            </w:r>
          </w:p>
        </w:tc>
        <w:tc>
          <w:tcPr>
            <w:tcW w:w="200" w:type="dxa"/>
            <w:vAlign w:val="bottom"/>
            <w:shd w:val="clear" w:color="auto" w:fill="CFF0FC"/>
          </w:tcPr>
          <w:p>
            <w:pPr>
              <w:spacing w:after="0"/>
              <w:rPr>
                <w:sz w:val="24"/>
                <w:szCs w:val="24"/>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87,164</w:t>
            </w:r>
          </w:p>
        </w:tc>
        <w:tc>
          <w:tcPr>
            <w:tcW w:w="100" w:type="dxa"/>
            <w:vAlign w:val="bottom"/>
            <w:shd w:val="clear" w:color="auto" w:fill="CFF0FC"/>
          </w:tcPr>
          <w:p>
            <w:pPr>
              <w:spacing w:after="0"/>
              <w:rPr>
                <w:sz w:val="24"/>
                <w:szCs w:val="24"/>
                <w:color w:val="auto"/>
              </w:rPr>
            </w:pPr>
          </w:p>
        </w:tc>
        <w:tc>
          <w:tcPr>
            <w:tcW w:w="220" w:type="dxa"/>
            <w:vAlign w:val="bottom"/>
            <w:shd w:val="clear" w:color="auto" w:fill="CFF0FC"/>
          </w:tcPr>
          <w:p>
            <w:pPr>
              <w:spacing w:after="0"/>
              <w:rPr>
                <w:sz w:val="24"/>
                <w:szCs w:val="24"/>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168,641</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1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Goodwill</w:t>
            </w: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676,789</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741,610</w:t>
            </w:r>
          </w:p>
        </w:tc>
        <w:tc>
          <w:tcPr>
            <w:tcW w:w="0" w:type="dxa"/>
            <w:vAlign w:val="bottom"/>
          </w:tcPr>
          <w:p>
            <w:pPr>
              <w:spacing w:after="0"/>
              <w:rPr>
                <w:sz w:val="1"/>
                <w:szCs w:val="1"/>
                <w:color w:val="auto"/>
              </w:rPr>
            </w:pPr>
          </w:p>
        </w:tc>
      </w:tr>
      <w:tr>
        <w:trPr>
          <w:trHeight w:val="277"/>
        </w:trPr>
        <w:tc>
          <w:tcPr>
            <w:tcW w:w="20" w:type="dxa"/>
            <w:vAlign w:val="bottom"/>
            <w:shd w:val="clear" w:color="auto" w:fill="CFF0FC"/>
          </w:tcPr>
          <w:p>
            <w:pPr>
              <w:spacing w:after="0"/>
              <w:rPr>
                <w:sz w:val="24"/>
                <w:szCs w:val="24"/>
                <w:color w:val="auto"/>
              </w:rPr>
            </w:pPr>
          </w:p>
        </w:tc>
        <w:tc>
          <w:tcPr>
            <w:tcW w:w="816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Other non-current assets</w:t>
            </w:r>
          </w:p>
        </w:tc>
        <w:tc>
          <w:tcPr>
            <w:tcW w:w="200" w:type="dxa"/>
            <w:vAlign w:val="bottom"/>
            <w:tcBorders>
              <w:bottom w:val="single" w:sz="8" w:color="auto"/>
            </w:tcBorders>
            <w:shd w:val="clear" w:color="auto" w:fill="CFF0FC"/>
          </w:tcPr>
          <w:p>
            <w:pPr>
              <w:spacing w:after="0"/>
              <w:rPr>
                <w:sz w:val="24"/>
                <w:szCs w:val="24"/>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31,724</w:t>
            </w:r>
          </w:p>
        </w:tc>
        <w:tc>
          <w:tcPr>
            <w:tcW w:w="100" w:type="dxa"/>
            <w:vAlign w:val="bottom"/>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spacing w:after="0"/>
              <w:rPr>
                <w:sz w:val="24"/>
                <w:szCs w:val="24"/>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22,366</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1,672,409</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1,645,662</w:t>
            </w:r>
          </w:p>
        </w:tc>
        <w:tc>
          <w:tcPr>
            <w:tcW w:w="0" w:type="dxa"/>
            <w:vAlign w:val="bottom"/>
          </w:tcPr>
          <w:p>
            <w:pPr>
              <w:spacing w:after="0"/>
              <w:rPr>
                <w:sz w:val="1"/>
                <w:szCs w:val="1"/>
                <w:color w:val="auto"/>
              </w:rPr>
            </w:pPr>
          </w:p>
        </w:tc>
      </w:tr>
      <w:tr>
        <w:trPr>
          <w:trHeight w:val="20"/>
        </w:trPr>
        <w:tc>
          <w:tcPr>
            <w:tcW w:w="20" w:type="dxa"/>
            <w:vAlign w:val="bottom"/>
            <w:tcBorders>
              <w:bottom w:val="single" w:sz="8" w:color="CFF0FC"/>
            </w:tcBorders>
          </w:tcPr>
          <w:p>
            <w:pPr>
              <w:spacing w:after="0" w:line="20" w:lineRule="exact"/>
              <w:rPr>
                <w:sz w:val="1"/>
                <w:szCs w:val="1"/>
                <w:color w:val="auto"/>
              </w:rPr>
            </w:pPr>
          </w:p>
        </w:tc>
        <w:tc>
          <w:tcPr>
            <w:tcW w:w="2280" w:type="dxa"/>
            <w:vAlign w:val="bottom"/>
            <w:tcBorders>
              <w:bottom w:val="single" w:sz="8" w:color="CFF0FC"/>
            </w:tcBorders>
          </w:tcPr>
          <w:p>
            <w:pPr>
              <w:spacing w:after="0" w:line="20" w:lineRule="exact"/>
              <w:rPr>
                <w:sz w:val="1"/>
                <w:szCs w:val="1"/>
                <w:color w:val="auto"/>
              </w:rPr>
            </w:pPr>
          </w:p>
        </w:tc>
        <w:tc>
          <w:tcPr>
            <w:tcW w:w="5880" w:type="dxa"/>
            <w:vAlign w:val="bottom"/>
            <w:tcBorders>
              <w:bottom w:val="single" w:sz="8" w:color="CFF0FC"/>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FF0FC"/>
          </w:tcPr>
          <w:p>
            <w:pPr>
              <w:spacing w:after="0"/>
              <w:rPr>
                <w:sz w:val="21"/>
                <w:szCs w:val="21"/>
                <w:color w:val="auto"/>
              </w:rPr>
            </w:pPr>
          </w:p>
        </w:tc>
        <w:tc>
          <w:tcPr>
            <w:tcW w:w="81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0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6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1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Current liabilities:</w:t>
            </w:r>
          </w:p>
        </w:tc>
        <w:tc>
          <w:tcPr>
            <w:tcW w:w="2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20" w:type="dxa"/>
            <w:vAlign w:val="bottom"/>
            <w:shd w:val="clear" w:color="auto" w:fill="CFF0FC"/>
          </w:tcPr>
          <w:p>
            <w:pPr>
              <w:spacing w:after="0"/>
              <w:rPr>
                <w:sz w:val="24"/>
                <w:szCs w:val="24"/>
                <w:color w:val="auto"/>
              </w:rPr>
            </w:pPr>
          </w:p>
        </w:tc>
        <w:tc>
          <w:tcPr>
            <w:tcW w:w="8160" w:type="dxa"/>
            <w:vAlign w:val="bottom"/>
            <w:gridSpan w:val="2"/>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Accounts payable</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132,591</w:t>
            </w:r>
          </w:p>
        </w:tc>
        <w:tc>
          <w:tcPr>
            <w:tcW w:w="100" w:type="dxa"/>
            <w:vAlign w:val="bottom"/>
            <w:shd w:val="clear" w:color="auto" w:fill="CFF0FC"/>
          </w:tcPr>
          <w:p>
            <w:pPr>
              <w:spacing w:after="0"/>
              <w:rPr>
                <w:sz w:val="24"/>
                <w:szCs w:val="24"/>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101,813</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1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Deferred revenue</w:t>
            </w: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28,863</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26,650</w:t>
            </w:r>
          </w:p>
        </w:tc>
        <w:tc>
          <w:tcPr>
            <w:tcW w:w="0" w:type="dxa"/>
            <w:vAlign w:val="bottom"/>
          </w:tcPr>
          <w:p>
            <w:pPr>
              <w:spacing w:after="0"/>
              <w:rPr>
                <w:sz w:val="1"/>
                <w:szCs w:val="1"/>
                <w:color w:val="auto"/>
              </w:rPr>
            </w:pPr>
          </w:p>
        </w:tc>
      </w:tr>
      <w:tr>
        <w:trPr>
          <w:trHeight w:val="277"/>
        </w:trPr>
        <w:tc>
          <w:tcPr>
            <w:tcW w:w="20" w:type="dxa"/>
            <w:vAlign w:val="bottom"/>
            <w:shd w:val="clear" w:color="auto" w:fill="CFF0FC"/>
          </w:tcPr>
          <w:p>
            <w:pPr>
              <w:spacing w:after="0"/>
              <w:rPr>
                <w:sz w:val="24"/>
                <w:szCs w:val="24"/>
                <w:color w:val="auto"/>
              </w:rPr>
            </w:pPr>
          </w:p>
        </w:tc>
        <w:tc>
          <w:tcPr>
            <w:tcW w:w="8160" w:type="dxa"/>
            <w:vAlign w:val="bottom"/>
            <w:gridSpan w:val="2"/>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Accrued liabilities</w:t>
            </w:r>
          </w:p>
        </w:tc>
        <w:tc>
          <w:tcPr>
            <w:tcW w:w="200" w:type="dxa"/>
            <w:vAlign w:val="bottom"/>
            <w:shd w:val="clear" w:color="auto" w:fill="CFF0FC"/>
          </w:tcPr>
          <w:p>
            <w:pPr>
              <w:spacing w:after="0"/>
              <w:rPr>
                <w:sz w:val="24"/>
                <w:szCs w:val="24"/>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80,736</w:t>
            </w:r>
          </w:p>
        </w:tc>
        <w:tc>
          <w:tcPr>
            <w:tcW w:w="100" w:type="dxa"/>
            <w:vAlign w:val="bottom"/>
            <w:shd w:val="clear" w:color="auto" w:fill="CFF0FC"/>
          </w:tcPr>
          <w:p>
            <w:pPr>
              <w:spacing w:after="0"/>
              <w:rPr>
                <w:sz w:val="24"/>
                <w:szCs w:val="24"/>
                <w:color w:val="auto"/>
              </w:rPr>
            </w:pPr>
          </w:p>
        </w:tc>
        <w:tc>
          <w:tcPr>
            <w:tcW w:w="220" w:type="dxa"/>
            <w:vAlign w:val="bottom"/>
            <w:shd w:val="clear" w:color="auto" w:fill="CFF0FC"/>
          </w:tcPr>
          <w:p>
            <w:pPr>
              <w:spacing w:after="0"/>
              <w:rPr>
                <w:sz w:val="24"/>
                <w:szCs w:val="24"/>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69,851</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1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Tax receivable agreement liability, current portion</w:t>
            </w: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5,257</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5,257</w:t>
            </w:r>
          </w:p>
        </w:tc>
        <w:tc>
          <w:tcPr>
            <w:tcW w:w="0" w:type="dxa"/>
            <w:vAlign w:val="bottom"/>
          </w:tcPr>
          <w:p>
            <w:pPr>
              <w:spacing w:after="0"/>
              <w:rPr>
                <w:sz w:val="1"/>
                <w:szCs w:val="1"/>
                <w:color w:val="auto"/>
              </w:rPr>
            </w:pPr>
          </w:p>
        </w:tc>
      </w:tr>
      <w:tr>
        <w:trPr>
          <w:trHeight w:val="277"/>
        </w:trPr>
        <w:tc>
          <w:tcPr>
            <w:tcW w:w="20" w:type="dxa"/>
            <w:vAlign w:val="bottom"/>
            <w:shd w:val="clear" w:color="auto" w:fill="CFF0FC"/>
          </w:tcPr>
          <w:p>
            <w:pPr>
              <w:spacing w:after="0"/>
              <w:rPr>
                <w:sz w:val="24"/>
                <w:szCs w:val="24"/>
                <w:color w:val="auto"/>
              </w:rPr>
            </w:pPr>
          </w:p>
        </w:tc>
        <w:tc>
          <w:tcPr>
            <w:tcW w:w="8160" w:type="dxa"/>
            <w:vAlign w:val="bottom"/>
            <w:gridSpan w:val="2"/>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Current portion of debt</w:t>
            </w:r>
          </w:p>
        </w:tc>
        <w:tc>
          <w:tcPr>
            <w:tcW w:w="200" w:type="dxa"/>
            <w:vAlign w:val="bottom"/>
            <w:tcBorders>
              <w:bottom w:val="single" w:sz="8" w:color="auto"/>
            </w:tcBorders>
            <w:shd w:val="clear" w:color="auto" w:fill="CFF0FC"/>
          </w:tcPr>
          <w:p>
            <w:pPr>
              <w:spacing w:after="0"/>
              <w:rPr>
                <w:sz w:val="24"/>
                <w:szCs w:val="24"/>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9,506</w:t>
            </w:r>
          </w:p>
        </w:tc>
        <w:tc>
          <w:tcPr>
            <w:tcW w:w="100" w:type="dxa"/>
            <w:vAlign w:val="bottom"/>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spacing w:after="0"/>
              <w:rPr>
                <w:sz w:val="24"/>
                <w:szCs w:val="24"/>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6,888</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256,953</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210,459</w:t>
            </w:r>
          </w:p>
        </w:tc>
        <w:tc>
          <w:tcPr>
            <w:tcW w:w="0" w:type="dxa"/>
            <w:vAlign w:val="bottom"/>
          </w:tcPr>
          <w:p>
            <w:pPr>
              <w:spacing w:after="0"/>
              <w:rPr>
                <w:sz w:val="1"/>
                <w:szCs w:val="1"/>
                <w:color w:val="auto"/>
              </w:rPr>
            </w:pPr>
          </w:p>
        </w:tc>
      </w:tr>
      <w:tr>
        <w:trPr>
          <w:trHeight w:val="277"/>
        </w:trPr>
        <w:tc>
          <w:tcPr>
            <w:tcW w:w="20" w:type="dxa"/>
            <w:vAlign w:val="bottom"/>
            <w:shd w:val="clear" w:color="auto" w:fill="CFF0FC"/>
          </w:tcPr>
          <w:p>
            <w:pPr>
              <w:spacing w:after="0"/>
              <w:rPr>
                <w:sz w:val="24"/>
                <w:szCs w:val="24"/>
                <w:color w:val="auto"/>
              </w:rPr>
            </w:pPr>
          </w:p>
        </w:tc>
        <w:tc>
          <w:tcPr>
            <w:tcW w:w="816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Debt, net of current portion</w:t>
            </w:r>
          </w:p>
        </w:tc>
        <w:tc>
          <w:tcPr>
            <w:tcW w:w="200" w:type="dxa"/>
            <w:vAlign w:val="bottom"/>
            <w:shd w:val="clear" w:color="auto" w:fill="CFF0FC"/>
          </w:tcPr>
          <w:p>
            <w:pPr>
              <w:spacing w:after="0"/>
              <w:rPr>
                <w:sz w:val="24"/>
                <w:szCs w:val="24"/>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1,023,056</w:t>
            </w:r>
          </w:p>
        </w:tc>
        <w:tc>
          <w:tcPr>
            <w:tcW w:w="100" w:type="dxa"/>
            <w:vAlign w:val="bottom"/>
            <w:shd w:val="clear" w:color="auto" w:fill="CFF0FC"/>
          </w:tcPr>
          <w:p>
            <w:pPr>
              <w:spacing w:after="0"/>
              <w:rPr>
                <w:sz w:val="24"/>
                <w:szCs w:val="24"/>
                <w:color w:val="auto"/>
              </w:rPr>
            </w:pPr>
          </w:p>
        </w:tc>
        <w:tc>
          <w:tcPr>
            <w:tcW w:w="220" w:type="dxa"/>
            <w:vAlign w:val="bottom"/>
            <w:shd w:val="clear" w:color="auto" w:fill="CFF0FC"/>
          </w:tcPr>
          <w:p>
            <w:pPr>
              <w:spacing w:after="0"/>
              <w:rPr>
                <w:sz w:val="24"/>
                <w:szCs w:val="24"/>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1,021,157</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1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Operating lease liabilities, net of current portion</w:t>
            </w: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45,807</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31,338</w:t>
            </w:r>
          </w:p>
        </w:tc>
        <w:tc>
          <w:tcPr>
            <w:tcW w:w="0" w:type="dxa"/>
            <w:vAlign w:val="bottom"/>
          </w:tcPr>
          <w:p>
            <w:pPr>
              <w:spacing w:after="0"/>
              <w:rPr>
                <w:sz w:val="1"/>
                <w:szCs w:val="1"/>
                <w:color w:val="auto"/>
              </w:rPr>
            </w:pPr>
          </w:p>
        </w:tc>
      </w:tr>
      <w:tr>
        <w:trPr>
          <w:trHeight w:val="277"/>
        </w:trPr>
        <w:tc>
          <w:tcPr>
            <w:tcW w:w="20" w:type="dxa"/>
            <w:vAlign w:val="bottom"/>
            <w:shd w:val="clear" w:color="auto" w:fill="CFF0FC"/>
          </w:tcPr>
          <w:p>
            <w:pPr>
              <w:spacing w:after="0"/>
              <w:rPr>
                <w:sz w:val="24"/>
                <w:szCs w:val="24"/>
                <w:color w:val="auto"/>
              </w:rPr>
            </w:pPr>
          </w:p>
        </w:tc>
        <w:tc>
          <w:tcPr>
            <w:tcW w:w="816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Tax receivable agreement liability, net of current portion</w:t>
            </w:r>
          </w:p>
        </w:tc>
        <w:tc>
          <w:tcPr>
            <w:tcW w:w="200" w:type="dxa"/>
            <w:vAlign w:val="bottom"/>
            <w:shd w:val="clear" w:color="auto" w:fill="CFF0FC"/>
          </w:tcPr>
          <w:p>
            <w:pPr>
              <w:spacing w:after="0"/>
              <w:rPr>
                <w:sz w:val="24"/>
                <w:szCs w:val="24"/>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33,418</w:t>
            </w:r>
          </w:p>
        </w:tc>
        <w:tc>
          <w:tcPr>
            <w:tcW w:w="100" w:type="dxa"/>
            <w:vAlign w:val="bottom"/>
            <w:shd w:val="clear" w:color="auto" w:fill="CFF0FC"/>
          </w:tcPr>
          <w:p>
            <w:pPr>
              <w:spacing w:after="0"/>
              <w:rPr>
                <w:sz w:val="24"/>
                <w:szCs w:val="24"/>
                <w:color w:val="auto"/>
              </w:rPr>
            </w:pPr>
          </w:p>
        </w:tc>
        <w:tc>
          <w:tcPr>
            <w:tcW w:w="220" w:type="dxa"/>
            <w:vAlign w:val="bottom"/>
            <w:shd w:val="clear" w:color="auto" w:fill="CFF0FC"/>
          </w:tcPr>
          <w:p>
            <w:pPr>
              <w:spacing w:after="0"/>
              <w:rPr>
                <w:sz w:val="24"/>
                <w:szCs w:val="24"/>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38,418</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1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Asset retirement obligations</w:t>
            </w: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19,096</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17,789</w:t>
            </w:r>
          </w:p>
        </w:tc>
        <w:tc>
          <w:tcPr>
            <w:tcW w:w="0" w:type="dxa"/>
            <w:vAlign w:val="bottom"/>
          </w:tcPr>
          <w:p>
            <w:pPr>
              <w:spacing w:after="0"/>
              <w:rPr>
                <w:sz w:val="1"/>
                <w:szCs w:val="1"/>
                <w:color w:val="auto"/>
              </w:rPr>
            </w:pPr>
          </w:p>
        </w:tc>
      </w:tr>
      <w:tr>
        <w:trPr>
          <w:trHeight w:val="277"/>
        </w:trPr>
        <w:tc>
          <w:tcPr>
            <w:tcW w:w="20" w:type="dxa"/>
            <w:vAlign w:val="bottom"/>
            <w:shd w:val="clear" w:color="auto" w:fill="CFF0FC"/>
          </w:tcPr>
          <w:p>
            <w:pPr>
              <w:spacing w:after="0"/>
              <w:rPr>
                <w:sz w:val="24"/>
                <w:szCs w:val="24"/>
                <w:color w:val="auto"/>
              </w:rPr>
            </w:pPr>
          </w:p>
        </w:tc>
        <w:tc>
          <w:tcPr>
            <w:tcW w:w="816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Deferred tax liabilities, net</w:t>
            </w:r>
          </w:p>
        </w:tc>
        <w:tc>
          <w:tcPr>
            <w:tcW w:w="200" w:type="dxa"/>
            <w:vAlign w:val="bottom"/>
            <w:shd w:val="clear" w:color="auto" w:fill="CFF0FC"/>
          </w:tcPr>
          <w:p>
            <w:pPr>
              <w:spacing w:after="0"/>
              <w:rPr>
                <w:sz w:val="24"/>
                <w:szCs w:val="24"/>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10,319</w:t>
            </w:r>
          </w:p>
        </w:tc>
        <w:tc>
          <w:tcPr>
            <w:tcW w:w="100" w:type="dxa"/>
            <w:vAlign w:val="bottom"/>
            <w:shd w:val="clear" w:color="auto" w:fill="CFF0FC"/>
          </w:tcPr>
          <w:p>
            <w:pPr>
              <w:spacing w:after="0"/>
              <w:rPr>
                <w:sz w:val="24"/>
                <w:szCs w:val="24"/>
                <w:color w:val="auto"/>
              </w:rPr>
            </w:pPr>
          </w:p>
        </w:tc>
        <w:tc>
          <w:tcPr>
            <w:tcW w:w="220" w:type="dxa"/>
            <w:vAlign w:val="bottom"/>
            <w:shd w:val="clear" w:color="auto" w:fill="CFF0FC"/>
          </w:tcPr>
          <w:p>
            <w:pPr>
              <w:spacing w:after="0"/>
              <w:rPr>
                <w:sz w:val="24"/>
                <w:szCs w:val="24"/>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16,341</w:t>
            </w:r>
          </w:p>
        </w:tc>
        <w:tc>
          <w:tcPr>
            <w:tcW w:w="0" w:type="dxa"/>
            <w:vAlign w:val="bottom"/>
          </w:tcPr>
          <w:p>
            <w:pPr>
              <w:spacing w:after="0"/>
              <w:rPr>
                <w:sz w:val="1"/>
                <w:szCs w:val="1"/>
                <w:color w:val="auto"/>
              </w:rPr>
            </w:pPr>
          </w:p>
        </w:tc>
      </w:tr>
      <w:tr>
        <w:trPr>
          <w:trHeight w:val="263"/>
        </w:trPr>
        <w:tc>
          <w:tcPr>
            <w:tcW w:w="20" w:type="dxa"/>
            <w:vAlign w:val="bottom"/>
            <w:tcBorders>
              <w:bottom w:val="single" w:sz="8" w:color="CFF0FC"/>
            </w:tcBorders>
          </w:tcPr>
          <w:p>
            <w:pPr>
              <w:spacing w:after="0"/>
              <w:rPr>
                <w:sz w:val="22"/>
                <w:szCs w:val="22"/>
                <w:color w:val="auto"/>
              </w:rPr>
            </w:pPr>
          </w:p>
        </w:tc>
        <w:tc>
          <w:tcPr>
            <w:tcW w:w="8160" w:type="dxa"/>
            <w:vAlign w:val="bottom"/>
            <w:tcBorders>
              <w:bottom w:val="single" w:sz="8" w:color="CFF0FC"/>
            </w:tcBorders>
            <w:gridSpan w:val="2"/>
          </w:tcPr>
          <w:p>
            <w:pPr>
              <w:ind w:left="16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18,943</w:t>
            </w:r>
          </w:p>
        </w:tc>
        <w:tc>
          <w:tcPr>
            <w:tcW w:w="10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17,200</w:t>
            </w:r>
          </w:p>
        </w:tc>
        <w:tc>
          <w:tcPr>
            <w:tcW w:w="0" w:type="dxa"/>
            <w:vAlign w:val="bottom"/>
          </w:tcPr>
          <w:p>
            <w:pPr>
              <w:spacing w:after="0"/>
              <w:rPr>
                <w:sz w:val="1"/>
                <w:szCs w:val="1"/>
                <w:color w:val="auto"/>
              </w:rPr>
            </w:pPr>
          </w:p>
        </w:tc>
      </w:tr>
      <w:tr>
        <w:trPr>
          <w:trHeight w:val="270"/>
        </w:trPr>
        <w:tc>
          <w:tcPr>
            <w:tcW w:w="20" w:type="dxa"/>
            <w:vAlign w:val="bottom"/>
            <w:shd w:val="clear" w:color="auto" w:fill="CFF0FC"/>
          </w:tcPr>
          <w:p>
            <w:pPr>
              <w:spacing w:after="0"/>
              <w:rPr>
                <w:sz w:val="23"/>
                <w:szCs w:val="23"/>
                <w:color w:val="auto"/>
              </w:rPr>
            </w:pPr>
          </w:p>
        </w:tc>
        <w:tc>
          <w:tcPr>
            <w:tcW w:w="81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200" w:type="dxa"/>
            <w:vAlign w:val="bottom"/>
            <w:shd w:val="clear" w:color="auto" w:fill="CFF0FC"/>
          </w:tcPr>
          <w:p>
            <w:pPr>
              <w:spacing w:after="0"/>
              <w:rPr>
                <w:sz w:val="23"/>
                <w:szCs w:val="23"/>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1,407,592</w:t>
            </w:r>
          </w:p>
        </w:tc>
        <w:tc>
          <w:tcPr>
            <w:tcW w:w="100" w:type="dxa"/>
            <w:vAlign w:val="bottom"/>
            <w:shd w:val="clear" w:color="auto" w:fill="CFF0FC"/>
          </w:tcPr>
          <w:p>
            <w:pPr>
              <w:spacing w:after="0"/>
              <w:rPr>
                <w:sz w:val="23"/>
                <w:szCs w:val="23"/>
                <w:color w:val="auto"/>
              </w:rPr>
            </w:pPr>
          </w:p>
        </w:tc>
        <w:tc>
          <w:tcPr>
            <w:tcW w:w="220" w:type="dxa"/>
            <w:vAlign w:val="bottom"/>
            <w:shd w:val="clear" w:color="auto" w:fill="CFF0FC"/>
          </w:tcPr>
          <w:p>
            <w:pPr>
              <w:spacing w:after="0"/>
              <w:rPr>
                <w:sz w:val="23"/>
                <w:szCs w:val="23"/>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1,352,702</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2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20" w:type="dxa"/>
            <w:vAlign w:val="bottom"/>
            <w:shd w:val="clear" w:color="auto" w:fill="CFF0FC"/>
          </w:tcPr>
          <w:p>
            <w:pPr>
              <w:spacing w:after="0"/>
              <w:rPr>
                <w:sz w:val="24"/>
                <w:szCs w:val="24"/>
                <w:color w:val="auto"/>
              </w:rPr>
            </w:pPr>
          </w:p>
        </w:tc>
        <w:tc>
          <w:tcPr>
            <w:tcW w:w="81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200" w:type="dxa"/>
            <w:vAlign w:val="bottom"/>
            <w:shd w:val="clear" w:color="auto" w:fill="CFF0FC"/>
          </w:tcPr>
          <w:p>
            <w:pPr>
              <w:spacing w:after="0"/>
              <w:rPr>
                <w:sz w:val="24"/>
                <w:szCs w:val="24"/>
                <w:color w:val="auto"/>
              </w:rPr>
            </w:pPr>
          </w:p>
        </w:tc>
        <w:tc>
          <w:tcPr>
            <w:tcW w:w="1280" w:type="dxa"/>
            <w:vAlign w:val="bottom"/>
            <w:shd w:val="clear" w:color="auto" w:fill="CFF0FC"/>
          </w:tcPr>
          <w:p>
            <w:pPr>
              <w:spacing w:after="0"/>
              <w:rPr>
                <w:sz w:val="24"/>
                <w:szCs w:val="24"/>
                <w:color w:val="auto"/>
              </w:rPr>
            </w:pPr>
          </w:p>
        </w:tc>
        <w:tc>
          <w:tcPr>
            <w:tcW w:w="100" w:type="dxa"/>
            <w:vAlign w:val="bottom"/>
            <w:shd w:val="clear" w:color="auto" w:fill="CFF0FC"/>
          </w:tcPr>
          <w:p>
            <w:pPr>
              <w:spacing w:after="0"/>
              <w:rPr>
                <w:sz w:val="24"/>
                <w:szCs w:val="24"/>
                <w:color w:val="auto"/>
              </w:rPr>
            </w:pPr>
          </w:p>
        </w:tc>
        <w:tc>
          <w:tcPr>
            <w:tcW w:w="220" w:type="dxa"/>
            <w:vAlign w:val="bottom"/>
            <w:shd w:val="clear" w:color="auto" w:fill="CFF0FC"/>
          </w:tcPr>
          <w:p>
            <w:pPr>
              <w:spacing w:after="0"/>
              <w:rPr>
                <w:sz w:val="24"/>
                <w:szCs w:val="24"/>
                <w:color w:val="auto"/>
              </w:rPr>
            </w:pPr>
          </w:p>
        </w:tc>
        <w:tc>
          <w:tcPr>
            <w:tcW w:w="126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1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Preferred stock, $0.0001 par value</w:t>
            </w:r>
          </w:p>
        </w:tc>
        <w:tc>
          <w:tcPr>
            <w:tcW w:w="200" w:type="dxa"/>
            <w:vAlign w:val="bottom"/>
          </w:tcPr>
          <w:p>
            <w:pPr>
              <w:spacing w:after="0"/>
              <w:rPr>
                <w:sz w:val="22"/>
                <w:szCs w:val="22"/>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7"/>
        </w:trPr>
        <w:tc>
          <w:tcPr>
            <w:tcW w:w="20" w:type="dxa"/>
            <w:vAlign w:val="bottom"/>
            <w:shd w:val="clear" w:color="auto" w:fill="CFF0FC"/>
          </w:tcPr>
          <w:p>
            <w:pPr>
              <w:spacing w:after="0"/>
              <w:rPr>
                <w:sz w:val="24"/>
                <w:szCs w:val="24"/>
                <w:color w:val="auto"/>
              </w:rPr>
            </w:pPr>
          </w:p>
        </w:tc>
        <w:tc>
          <w:tcPr>
            <w:tcW w:w="816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Class A common stock, $0.0001 par value</w:t>
            </w:r>
          </w:p>
        </w:tc>
        <w:tc>
          <w:tcPr>
            <w:tcW w:w="200" w:type="dxa"/>
            <w:vAlign w:val="bottom"/>
            <w:shd w:val="clear" w:color="auto" w:fill="CFF0FC"/>
          </w:tcPr>
          <w:p>
            <w:pPr>
              <w:spacing w:after="0"/>
              <w:rPr>
                <w:sz w:val="24"/>
                <w:szCs w:val="24"/>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FF0FC"/>
          </w:tcPr>
          <w:p>
            <w:pPr>
              <w:spacing w:after="0"/>
              <w:rPr>
                <w:sz w:val="24"/>
                <w:szCs w:val="24"/>
                <w:color w:val="auto"/>
              </w:rPr>
            </w:pPr>
          </w:p>
        </w:tc>
        <w:tc>
          <w:tcPr>
            <w:tcW w:w="220" w:type="dxa"/>
            <w:vAlign w:val="bottom"/>
            <w:shd w:val="clear" w:color="auto" w:fill="CFF0FC"/>
          </w:tcPr>
          <w:p>
            <w:pPr>
              <w:spacing w:after="0"/>
              <w:rPr>
                <w:sz w:val="24"/>
                <w:szCs w:val="24"/>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1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542,140</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547,274</w:t>
            </w:r>
          </w:p>
        </w:tc>
        <w:tc>
          <w:tcPr>
            <w:tcW w:w="0" w:type="dxa"/>
            <w:vAlign w:val="bottom"/>
          </w:tcPr>
          <w:p>
            <w:pPr>
              <w:spacing w:after="0"/>
              <w:rPr>
                <w:sz w:val="1"/>
                <w:szCs w:val="1"/>
                <w:color w:val="auto"/>
              </w:rPr>
            </w:pPr>
          </w:p>
        </w:tc>
      </w:tr>
      <w:tr>
        <w:trPr>
          <w:trHeight w:val="277"/>
        </w:trPr>
        <w:tc>
          <w:tcPr>
            <w:tcW w:w="20" w:type="dxa"/>
            <w:vAlign w:val="bottom"/>
            <w:shd w:val="clear" w:color="auto" w:fill="CFF0FC"/>
          </w:tcPr>
          <w:p>
            <w:pPr>
              <w:spacing w:after="0"/>
              <w:rPr>
                <w:sz w:val="24"/>
                <w:szCs w:val="24"/>
                <w:color w:val="auto"/>
              </w:rPr>
            </w:pPr>
          </w:p>
        </w:tc>
        <w:tc>
          <w:tcPr>
            <w:tcW w:w="816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Accumulated deficit</w:t>
            </w:r>
          </w:p>
        </w:tc>
        <w:tc>
          <w:tcPr>
            <w:tcW w:w="200" w:type="dxa"/>
            <w:vAlign w:val="bottom"/>
            <w:shd w:val="clear" w:color="auto" w:fill="CFF0FC"/>
          </w:tcPr>
          <w:p>
            <w:pPr>
              <w:spacing w:after="0"/>
              <w:rPr>
                <w:sz w:val="24"/>
                <w:szCs w:val="24"/>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(267,736)</w:t>
            </w:r>
          </w:p>
        </w:tc>
        <w:tc>
          <w:tcPr>
            <w:tcW w:w="100" w:type="dxa"/>
            <w:vAlign w:val="bottom"/>
            <w:shd w:val="clear" w:color="auto" w:fill="CFF0FC"/>
          </w:tcPr>
          <w:p>
            <w:pPr>
              <w:spacing w:after="0"/>
              <w:rPr>
                <w:sz w:val="24"/>
                <w:szCs w:val="24"/>
                <w:color w:val="auto"/>
              </w:rPr>
            </w:pPr>
          </w:p>
        </w:tc>
        <w:tc>
          <w:tcPr>
            <w:tcW w:w="220" w:type="dxa"/>
            <w:vAlign w:val="bottom"/>
            <w:shd w:val="clear" w:color="auto" w:fill="CFF0FC"/>
          </w:tcPr>
          <w:p>
            <w:pPr>
              <w:spacing w:after="0"/>
              <w:rPr>
                <w:sz w:val="24"/>
                <w:szCs w:val="24"/>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(243,759)</w:t>
            </w:r>
          </w:p>
        </w:tc>
        <w:tc>
          <w:tcPr>
            <w:tcW w:w="0" w:type="dxa"/>
            <w:vAlign w:val="bottom"/>
          </w:tcPr>
          <w:p>
            <w:pPr>
              <w:spacing w:after="0"/>
              <w:rPr>
                <w:sz w:val="1"/>
                <w:szCs w:val="1"/>
                <w:color w:val="auto"/>
              </w:rPr>
            </w:pPr>
          </w:p>
        </w:tc>
      </w:tr>
      <w:tr>
        <w:trPr>
          <w:trHeight w:val="264"/>
        </w:trPr>
        <w:tc>
          <w:tcPr>
            <w:tcW w:w="20" w:type="dxa"/>
            <w:vAlign w:val="bottom"/>
            <w:tcBorders>
              <w:bottom w:val="single" w:sz="8" w:color="CFF0FC"/>
            </w:tcBorders>
          </w:tcPr>
          <w:p>
            <w:pPr>
              <w:spacing w:after="0"/>
              <w:rPr>
                <w:sz w:val="22"/>
                <w:szCs w:val="22"/>
                <w:color w:val="auto"/>
              </w:rPr>
            </w:pPr>
          </w:p>
        </w:tc>
        <w:tc>
          <w:tcPr>
            <w:tcW w:w="8160" w:type="dxa"/>
            <w:vAlign w:val="bottom"/>
            <w:tcBorders>
              <w:bottom w:val="single" w:sz="8" w:color="CFF0FC"/>
            </w:tcBorders>
            <w:gridSpan w:val="2"/>
          </w:tcPr>
          <w:p>
            <w:pPr>
              <w:ind w:left="16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(9,602)</w:t>
            </w:r>
          </w:p>
        </w:tc>
        <w:tc>
          <w:tcPr>
            <w:tcW w:w="10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(10,570)</w:t>
            </w:r>
          </w:p>
        </w:tc>
        <w:tc>
          <w:tcPr>
            <w:tcW w:w="0" w:type="dxa"/>
            <w:vAlign w:val="bottom"/>
          </w:tcPr>
          <w:p>
            <w:pPr>
              <w:spacing w:after="0"/>
              <w:rPr>
                <w:sz w:val="1"/>
                <w:szCs w:val="1"/>
                <w:color w:val="auto"/>
              </w:rPr>
            </w:pPr>
          </w:p>
        </w:tc>
      </w:tr>
      <w:tr>
        <w:trPr>
          <w:trHeight w:val="270"/>
        </w:trPr>
        <w:tc>
          <w:tcPr>
            <w:tcW w:w="20" w:type="dxa"/>
            <w:vAlign w:val="bottom"/>
            <w:shd w:val="clear" w:color="auto" w:fill="CFF0FC"/>
          </w:tcPr>
          <w:p>
            <w:pPr>
              <w:spacing w:after="0"/>
              <w:rPr>
                <w:sz w:val="23"/>
                <w:szCs w:val="23"/>
                <w:color w:val="auto"/>
              </w:rPr>
            </w:pPr>
          </w:p>
        </w:tc>
        <w:tc>
          <w:tcPr>
            <w:tcW w:w="81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00" w:type="dxa"/>
            <w:vAlign w:val="bottom"/>
            <w:tcBorders>
              <w:bottom w:val="single" w:sz="8" w:color="auto"/>
            </w:tcBorders>
            <w:shd w:val="clear" w:color="auto" w:fill="CFF0FC"/>
          </w:tcPr>
          <w:p>
            <w:pPr>
              <w:spacing w:after="0"/>
              <w:rPr>
                <w:sz w:val="23"/>
                <w:szCs w:val="23"/>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264,817</w:t>
            </w:r>
          </w:p>
        </w:tc>
        <w:tc>
          <w:tcPr>
            <w:tcW w:w="100" w:type="dxa"/>
            <w:vAlign w:val="bottom"/>
            <w:shd w:val="clear" w:color="auto" w:fill="CFF0FC"/>
          </w:tcPr>
          <w:p>
            <w:pPr>
              <w:spacing w:after="0"/>
              <w:rPr>
                <w:sz w:val="23"/>
                <w:szCs w:val="23"/>
                <w:color w:val="auto"/>
              </w:rPr>
            </w:pPr>
          </w:p>
        </w:tc>
        <w:tc>
          <w:tcPr>
            <w:tcW w:w="220" w:type="dxa"/>
            <w:vAlign w:val="bottom"/>
            <w:tcBorders>
              <w:bottom w:val="single" w:sz="8" w:color="auto"/>
            </w:tcBorders>
            <w:shd w:val="clear" w:color="auto" w:fill="CFF0FC"/>
          </w:tcPr>
          <w:p>
            <w:pPr>
              <w:spacing w:after="0"/>
              <w:rPr>
                <w:sz w:val="23"/>
                <w:szCs w:val="23"/>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292,960</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1,672,409</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1,645,662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58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760" w:right="339" w:bottom="103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ectPr>
          <w:pgSz w:w="11900" w:h="16838" w:orient="portrait"/>
          <w:cols w:equalWidth="0" w:num="1">
            <w:col w:w="11240"/>
          </w:cols>
          <w:pgMar w:left="320" w:top="760" w:right="339" w:bottom="1037" w:gutter="0" w:footer="0" w:header="0"/>
          <w:type w:val="continuous"/>
        </w:sectPr>
      </w:pPr>
    </w:p>
    <w:bookmarkStart w:id="12" w:name="page13"/>
    <w:bookmarkEnd w:id="12"/>
    <w:tbl>
      <w:tblPr>
        <w:tblLayout w:type="fixed"/>
        <w:tblInd w:w="0" w:type="dxa"/>
        <w:tblCellMar>
          <w:top w:w="0" w:type="dxa"/>
          <w:left w:w="0" w:type="dxa"/>
          <w:bottom w:w="0" w:type="dxa"/>
          <w:right w:w="0" w:type="dxa"/>
        </w:tblCellMar>
      </w:tblPr>
      <w:tr>
        <w:trPr>
          <w:trHeight w:val="282"/>
        </w:trPr>
        <w:tc>
          <w:tcPr>
            <w:tcW w:w="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Exhibit 99.1</w:t>
            </w:r>
          </w:p>
        </w:tc>
        <w:tc>
          <w:tcPr>
            <w:tcW w:w="0" w:type="dxa"/>
            <w:vAlign w:val="bottom"/>
          </w:tcPr>
          <w:p>
            <w:pPr>
              <w:spacing w:after="0"/>
              <w:rPr>
                <w:sz w:val="1"/>
                <w:szCs w:val="1"/>
                <w:color w:val="auto"/>
              </w:rPr>
            </w:pPr>
          </w:p>
        </w:tc>
      </w:tr>
      <w:tr>
        <w:trPr>
          <w:trHeight w:val="947"/>
        </w:trPr>
        <w:tc>
          <w:tcPr>
            <w:tcW w:w="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5880" w:type="dxa"/>
            <w:vAlign w:val="bottom"/>
            <w:gridSpan w:val="7"/>
          </w:tcPr>
          <w:p>
            <w:pPr>
              <w:jc w:val="center"/>
              <w:ind w:left="661"/>
              <w:spacing w:after="0"/>
              <w:rPr>
                <w:sz w:val="20"/>
                <w:szCs w:val="20"/>
                <w:color w:val="auto"/>
              </w:rPr>
            </w:pPr>
            <w:r>
              <w:rPr>
                <w:rFonts w:ascii="Times New Roman" w:cs="Times New Roman" w:eastAsia="Times New Roman" w:hAnsi="Times New Roman"/>
                <w:sz w:val="20"/>
                <w:szCs w:val="20"/>
                <w:b w:val="1"/>
                <w:bCs w:val="1"/>
                <w:color w:val="auto"/>
                <w:w w:val="98"/>
              </w:rPr>
              <w:t>VERRA MOBILITY CORPORATION</w:t>
            </w: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6300" w:type="dxa"/>
            <w:vAlign w:val="bottom"/>
            <w:gridSpan w:val="8"/>
          </w:tcPr>
          <w:p>
            <w:pPr>
              <w:jc w:val="center"/>
              <w:ind w:left="241"/>
              <w:spacing w:after="0"/>
              <w:rPr>
                <w:sz w:val="20"/>
                <w:szCs w:val="20"/>
                <w:color w:val="auto"/>
              </w:rPr>
            </w:pPr>
            <w:r>
              <w:rPr>
                <w:rFonts w:ascii="Times New Roman" w:cs="Times New Roman" w:eastAsia="Times New Roman" w:hAnsi="Times New Roman"/>
                <w:sz w:val="20"/>
                <w:szCs w:val="20"/>
                <w:b w:val="1"/>
                <w:bCs w:val="1"/>
                <w:color w:val="auto"/>
                <w:w w:val="97"/>
              </w:rPr>
              <w:t>CONDENSED CONSOLIDATED STATEMENTS OF OPERATIONS</w:t>
            </w: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4900" w:type="dxa"/>
            <w:vAlign w:val="bottom"/>
            <w:gridSpan w:val="5"/>
          </w:tcPr>
          <w:p>
            <w:pPr>
              <w:jc w:val="center"/>
              <w:ind w:left="1661"/>
              <w:spacing w:after="0"/>
              <w:rPr>
                <w:sz w:val="20"/>
                <w:szCs w:val="20"/>
                <w:color w:val="auto"/>
              </w:rPr>
            </w:pPr>
            <w:r>
              <w:rPr>
                <w:rFonts w:ascii="Times New Roman" w:cs="Times New Roman" w:eastAsia="Times New Roman" w:hAnsi="Times New Roman"/>
                <w:sz w:val="20"/>
                <w:szCs w:val="20"/>
                <w:b w:val="1"/>
                <w:bCs w:val="1"/>
                <w:color w:val="auto"/>
                <w:w w:val="99"/>
              </w:rPr>
              <w:t>AND COMPREHENSIVE INCOME</w:t>
            </w: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280" w:type="dxa"/>
            <w:vAlign w:val="bottom"/>
          </w:tcPr>
          <w:p>
            <w:pPr>
              <w:spacing w:after="0"/>
              <w:rPr>
                <w:sz w:val="22"/>
                <w:szCs w:val="22"/>
                <w:color w:val="auto"/>
              </w:rPr>
            </w:pPr>
          </w:p>
        </w:tc>
        <w:tc>
          <w:tcPr>
            <w:tcW w:w="2740" w:type="dxa"/>
            <w:vAlign w:val="bottom"/>
          </w:tcPr>
          <w:p>
            <w:pPr>
              <w:spacing w:after="0"/>
              <w:rPr>
                <w:sz w:val="22"/>
                <w:szCs w:val="22"/>
                <w:color w:val="auto"/>
              </w:rPr>
            </w:pPr>
          </w:p>
        </w:tc>
        <w:tc>
          <w:tcPr>
            <w:tcW w:w="1560" w:type="dxa"/>
            <w:vAlign w:val="bottom"/>
            <w:gridSpan w:val="3"/>
          </w:tcPr>
          <w:p>
            <w:pPr>
              <w:jc w:val="center"/>
              <w:ind w:right="400"/>
              <w:spacing w:after="0"/>
              <w:rPr>
                <w:sz w:val="20"/>
                <w:szCs w:val="20"/>
                <w:color w:val="auto"/>
              </w:rPr>
            </w:pPr>
            <w:r>
              <w:rPr>
                <w:rFonts w:ascii="Times New Roman" w:cs="Times New Roman" w:eastAsia="Times New Roman" w:hAnsi="Times New Roman"/>
                <w:sz w:val="20"/>
                <w:szCs w:val="20"/>
                <w:color w:val="auto"/>
                <w:w w:val="99"/>
              </w:rPr>
              <w:t>(Unaudited)</w:t>
            </w:r>
          </w:p>
        </w:tc>
        <w:tc>
          <w:tcPr>
            <w:tcW w:w="6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03"/>
        </w:trPr>
        <w:tc>
          <w:tcPr>
            <w:tcW w:w="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8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420" w:type="dxa"/>
            <w:vAlign w:val="bottom"/>
          </w:tcPr>
          <w:p>
            <w:pPr>
              <w:spacing w:after="0"/>
              <w:rPr>
                <w:sz w:val="24"/>
                <w:szCs w:val="24"/>
                <w:color w:val="auto"/>
              </w:rPr>
            </w:pPr>
          </w:p>
        </w:tc>
        <w:tc>
          <w:tcPr>
            <w:tcW w:w="2640" w:type="dxa"/>
            <w:vAlign w:val="bottom"/>
            <w:gridSpan w:val="4"/>
          </w:tcPr>
          <w:p>
            <w:pPr>
              <w:jc w:val="right"/>
              <w:ind w:right="37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7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0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260" w:type="dxa"/>
            <w:vAlign w:val="bottom"/>
          </w:tcPr>
          <w:p>
            <w:pPr>
              <w:spacing w:after="0"/>
              <w:rPr>
                <w:sz w:val="14"/>
                <w:szCs w:val="14"/>
                <w:color w:val="auto"/>
              </w:rPr>
            </w:pPr>
          </w:p>
        </w:tc>
        <w:tc>
          <w:tcPr>
            <w:tcW w:w="122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8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w w:val="92"/>
              </w:rPr>
              <w:t>2025</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6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jc w:val="right"/>
              <w:ind w:right="510"/>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34"/>
        </w:trPr>
        <w:tc>
          <w:tcPr>
            <w:tcW w:w="20" w:type="dxa"/>
            <w:vAlign w:val="bottom"/>
            <w:tcBorders>
              <w:bottom w:val="single" w:sz="8" w:color="CFF0FC"/>
            </w:tcBorders>
          </w:tcPr>
          <w:p>
            <w:pPr>
              <w:spacing w:after="0"/>
              <w:rPr>
                <w:sz w:val="2"/>
                <w:szCs w:val="2"/>
                <w:color w:val="auto"/>
              </w:rPr>
            </w:pPr>
          </w:p>
        </w:tc>
        <w:tc>
          <w:tcPr>
            <w:tcW w:w="2280" w:type="dxa"/>
            <w:vAlign w:val="bottom"/>
            <w:tcBorders>
              <w:top w:val="single" w:sz="8" w:color="auto"/>
              <w:bottom w:val="single" w:sz="8" w:color="CFF0FC"/>
            </w:tcBorders>
          </w:tcPr>
          <w:p>
            <w:pPr>
              <w:spacing w:after="0"/>
              <w:rPr>
                <w:sz w:val="2"/>
                <w:szCs w:val="2"/>
                <w:color w:val="auto"/>
              </w:rPr>
            </w:pPr>
          </w:p>
        </w:tc>
        <w:tc>
          <w:tcPr>
            <w:tcW w:w="2740" w:type="dxa"/>
            <w:vAlign w:val="bottom"/>
            <w:tcBorders>
              <w:bottom w:val="single" w:sz="8" w:color="CFF0FC"/>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20" w:type="dxa"/>
            <w:vAlign w:val="bottom"/>
            <w:shd w:val="clear" w:color="auto" w:fill="CFF0FC"/>
          </w:tcPr>
          <w:p>
            <w:pPr>
              <w:spacing w:after="0"/>
              <w:rPr>
                <w:sz w:val="22"/>
                <w:szCs w:val="22"/>
                <w:color w:val="auto"/>
              </w:rPr>
            </w:pPr>
          </w:p>
        </w:tc>
        <w:tc>
          <w:tcPr>
            <w:tcW w:w="50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Service revenue</w:t>
            </w:r>
          </w:p>
        </w:tc>
        <w:tc>
          <w:tcPr>
            <w:tcW w:w="260" w:type="dxa"/>
            <w:vAlign w:val="bottom"/>
            <w:shd w:val="clear" w:color="auto" w:fill="CFF0FC"/>
          </w:tcPr>
          <w:p>
            <w:pPr>
              <w:jc w:val="right"/>
              <w:ind w:right="49"/>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239,905</w:t>
            </w:r>
          </w:p>
        </w:tc>
        <w:tc>
          <w:tcPr>
            <w:tcW w:w="80" w:type="dxa"/>
            <w:vAlign w:val="bottom"/>
            <w:shd w:val="clear" w:color="auto" w:fill="CFF0FC"/>
          </w:tcPr>
          <w:p>
            <w:pPr>
              <w:spacing w:after="0"/>
              <w:rPr>
                <w:sz w:val="22"/>
                <w:szCs w:val="22"/>
                <w:color w:val="auto"/>
              </w:rPr>
            </w:pPr>
          </w:p>
        </w:tc>
        <w:tc>
          <w:tcPr>
            <w:tcW w:w="600" w:type="dxa"/>
            <w:vAlign w:val="bottom"/>
            <w:shd w:val="clear" w:color="auto" w:fill="CFF0FC"/>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243,219</w:t>
            </w:r>
          </w:p>
        </w:tc>
        <w:tc>
          <w:tcPr>
            <w:tcW w:w="100" w:type="dxa"/>
            <w:vAlign w:val="bottom"/>
            <w:shd w:val="clear" w:color="auto" w:fill="CFF0FC"/>
          </w:tcPr>
          <w:p>
            <w:pPr>
              <w:spacing w:after="0"/>
              <w:rPr>
                <w:sz w:val="22"/>
                <w:szCs w:val="22"/>
                <w:color w:val="auto"/>
              </w:rPr>
            </w:pPr>
          </w:p>
        </w:tc>
        <w:tc>
          <w:tcPr>
            <w:tcW w:w="42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700,007</w:t>
            </w:r>
          </w:p>
        </w:tc>
        <w:tc>
          <w:tcPr>
            <w:tcW w:w="100" w:type="dxa"/>
            <w:vAlign w:val="bottom"/>
            <w:shd w:val="clear" w:color="auto" w:fill="CFF0FC"/>
          </w:tcPr>
          <w:p>
            <w:pPr>
              <w:spacing w:after="0"/>
              <w:rPr>
                <w:sz w:val="22"/>
                <w:szCs w:val="22"/>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678,598</w:t>
            </w:r>
          </w:p>
        </w:tc>
        <w:tc>
          <w:tcPr>
            <w:tcW w:w="0" w:type="dxa"/>
            <w:vAlign w:val="bottom"/>
          </w:tcPr>
          <w:p>
            <w:pPr>
              <w:spacing w:after="0"/>
              <w:rPr>
                <w:sz w:val="1"/>
                <w:szCs w:val="1"/>
                <w:color w:val="auto"/>
              </w:rPr>
            </w:pPr>
          </w:p>
        </w:tc>
      </w:tr>
      <w:tr>
        <w:trPr>
          <w:trHeight w:val="264"/>
        </w:trPr>
        <w:tc>
          <w:tcPr>
            <w:tcW w:w="20" w:type="dxa"/>
            <w:vAlign w:val="bottom"/>
            <w:tcBorders>
              <w:bottom w:val="single" w:sz="8" w:color="CFF0FC"/>
            </w:tcBorders>
          </w:tcPr>
          <w:p>
            <w:pPr>
              <w:spacing w:after="0"/>
              <w:rPr>
                <w:sz w:val="22"/>
                <w:szCs w:val="22"/>
                <w:color w:val="auto"/>
              </w:rPr>
            </w:pPr>
          </w:p>
        </w:tc>
        <w:tc>
          <w:tcPr>
            <w:tcW w:w="5020" w:type="dxa"/>
            <w:vAlign w:val="bottom"/>
            <w:tcBorders>
              <w:bottom w:val="single" w:sz="8" w:color="CFF0FC"/>
            </w:tcBorders>
            <w:gridSpan w:val="2"/>
          </w:tcPr>
          <w:p>
            <w:pPr>
              <w:spacing w:after="0"/>
              <w:rPr>
                <w:sz w:val="20"/>
                <w:szCs w:val="20"/>
                <w:color w:val="auto"/>
              </w:rPr>
            </w:pPr>
            <w:r>
              <w:rPr>
                <w:rFonts w:ascii="Times New Roman" w:cs="Times New Roman" w:eastAsia="Times New Roman" w:hAnsi="Times New Roman"/>
                <w:sz w:val="18"/>
                <w:szCs w:val="18"/>
                <w:color w:val="auto"/>
              </w:rPr>
              <w:t>Product sales</w:t>
            </w:r>
          </w:p>
        </w:tc>
        <w:tc>
          <w:tcPr>
            <w:tcW w:w="2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18,970</w:t>
            </w:r>
          </w:p>
        </w:tc>
        <w:tc>
          <w:tcPr>
            <w:tcW w:w="80" w:type="dxa"/>
            <w:vAlign w:val="bottom"/>
            <w:tcBorders>
              <w:bottom w:val="single" w:sz="8" w:color="CFF0FC"/>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18,719</w:t>
            </w:r>
          </w:p>
        </w:tc>
        <w:tc>
          <w:tcPr>
            <w:tcW w:w="100" w:type="dxa"/>
            <w:vAlign w:val="bottom"/>
            <w:tcBorders>
              <w:bottom w:val="single" w:sz="8" w:color="CFF0FC"/>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46,027</w:t>
            </w:r>
          </w:p>
        </w:tc>
        <w:tc>
          <w:tcPr>
            <w:tcW w:w="100" w:type="dxa"/>
            <w:vAlign w:val="bottom"/>
            <w:tcBorders>
              <w:bottom w:val="single" w:sz="8" w:color="CFF0FC"/>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42,619</w:t>
            </w:r>
          </w:p>
        </w:tc>
        <w:tc>
          <w:tcPr>
            <w:tcW w:w="0" w:type="dxa"/>
            <w:vAlign w:val="bottom"/>
          </w:tcPr>
          <w:p>
            <w:pPr>
              <w:spacing w:after="0"/>
              <w:rPr>
                <w:sz w:val="1"/>
                <w:szCs w:val="1"/>
                <w:color w:val="auto"/>
              </w:rPr>
            </w:pPr>
          </w:p>
        </w:tc>
      </w:tr>
      <w:tr>
        <w:trPr>
          <w:trHeight w:val="270"/>
        </w:trPr>
        <w:tc>
          <w:tcPr>
            <w:tcW w:w="20" w:type="dxa"/>
            <w:vAlign w:val="bottom"/>
            <w:shd w:val="clear" w:color="auto" w:fill="CFF0FC"/>
          </w:tcPr>
          <w:p>
            <w:pPr>
              <w:spacing w:after="0"/>
              <w:rPr>
                <w:sz w:val="23"/>
                <w:szCs w:val="23"/>
                <w:color w:val="auto"/>
              </w:rPr>
            </w:pPr>
          </w:p>
        </w:tc>
        <w:tc>
          <w:tcPr>
            <w:tcW w:w="502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260" w:type="dxa"/>
            <w:vAlign w:val="bottom"/>
            <w:shd w:val="clear" w:color="auto" w:fill="CFF0FC"/>
          </w:tcPr>
          <w:p>
            <w:pPr>
              <w:spacing w:after="0"/>
              <w:rPr>
                <w:sz w:val="23"/>
                <w:szCs w:val="23"/>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258,875</w:t>
            </w:r>
          </w:p>
        </w:tc>
        <w:tc>
          <w:tcPr>
            <w:tcW w:w="80" w:type="dxa"/>
            <w:vAlign w:val="bottom"/>
            <w:shd w:val="clear" w:color="auto" w:fill="CFF0FC"/>
          </w:tcPr>
          <w:p>
            <w:pPr>
              <w:spacing w:after="0"/>
              <w:rPr>
                <w:sz w:val="23"/>
                <w:szCs w:val="23"/>
                <w:color w:val="auto"/>
              </w:rPr>
            </w:pPr>
          </w:p>
        </w:tc>
        <w:tc>
          <w:tcPr>
            <w:tcW w:w="600" w:type="dxa"/>
            <w:vAlign w:val="bottom"/>
            <w:shd w:val="clear" w:color="auto" w:fill="CFF0FC"/>
          </w:tcPr>
          <w:p>
            <w:pPr>
              <w:spacing w:after="0"/>
              <w:rPr>
                <w:sz w:val="23"/>
                <w:szCs w:val="23"/>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261,938</w:t>
            </w:r>
          </w:p>
        </w:tc>
        <w:tc>
          <w:tcPr>
            <w:tcW w:w="100" w:type="dxa"/>
            <w:vAlign w:val="bottom"/>
            <w:shd w:val="clear" w:color="auto" w:fill="CFF0FC"/>
          </w:tcPr>
          <w:p>
            <w:pPr>
              <w:spacing w:after="0"/>
              <w:rPr>
                <w:sz w:val="23"/>
                <w:szCs w:val="23"/>
                <w:color w:val="auto"/>
              </w:rPr>
            </w:pPr>
          </w:p>
        </w:tc>
        <w:tc>
          <w:tcPr>
            <w:tcW w:w="420" w:type="dxa"/>
            <w:vAlign w:val="bottom"/>
            <w:shd w:val="clear" w:color="auto" w:fill="CFF0FC"/>
          </w:tcPr>
          <w:p>
            <w:pPr>
              <w:spacing w:after="0"/>
              <w:rPr>
                <w:sz w:val="23"/>
                <w:szCs w:val="23"/>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746,034</w:t>
            </w:r>
          </w:p>
        </w:tc>
        <w:tc>
          <w:tcPr>
            <w:tcW w:w="100" w:type="dxa"/>
            <w:vAlign w:val="bottom"/>
            <w:shd w:val="clear" w:color="auto" w:fill="CFF0FC"/>
          </w:tcPr>
          <w:p>
            <w:pPr>
              <w:spacing w:after="0"/>
              <w:rPr>
                <w:sz w:val="23"/>
                <w:szCs w:val="23"/>
                <w:color w:val="auto"/>
              </w:rPr>
            </w:pPr>
          </w:p>
        </w:tc>
        <w:tc>
          <w:tcPr>
            <w:tcW w:w="260" w:type="dxa"/>
            <w:vAlign w:val="bottom"/>
            <w:shd w:val="clear" w:color="auto" w:fill="CFF0FC"/>
          </w:tcPr>
          <w:p>
            <w:pPr>
              <w:spacing w:after="0"/>
              <w:rPr>
                <w:sz w:val="23"/>
                <w:szCs w:val="23"/>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721,217</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service revenue, excluding depreciation and amortization</w:t>
            </w:r>
          </w:p>
        </w:tc>
        <w:tc>
          <w:tcPr>
            <w:tcW w:w="2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14,888</w:t>
            </w:r>
          </w:p>
        </w:tc>
        <w:tc>
          <w:tcPr>
            <w:tcW w:w="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9,246</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36,489</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18,658</w:t>
            </w:r>
          </w:p>
        </w:tc>
        <w:tc>
          <w:tcPr>
            <w:tcW w:w="0" w:type="dxa"/>
            <w:vAlign w:val="bottom"/>
          </w:tcPr>
          <w:p>
            <w:pPr>
              <w:spacing w:after="0"/>
              <w:rPr>
                <w:sz w:val="1"/>
                <w:szCs w:val="1"/>
                <w:color w:val="auto"/>
              </w:rPr>
            </w:pPr>
          </w:p>
        </w:tc>
      </w:tr>
      <w:tr>
        <w:trPr>
          <w:trHeight w:val="277"/>
        </w:trPr>
        <w:tc>
          <w:tcPr>
            <w:tcW w:w="20" w:type="dxa"/>
            <w:vAlign w:val="bottom"/>
            <w:shd w:val="clear" w:color="auto" w:fill="CFF0FC"/>
          </w:tcPr>
          <w:p>
            <w:pPr>
              <w:spacing w:after="0"/>
              <w:rPr>
                <w:sz w:val="24"/>
                <w:szCs w:val="24"/>
                <w:color w:val="auto"/>
              </w:rPr>
            </w:pPr>
          </w:p>
        </w:tc>
        <w:tc>
          <w:tcPr>
            <w:tcW w:w="50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product sales</w:t>
            </w:r>
          </w:p>
        </w:tc>
        <w:tc>
          <w:tcPr>
            <w:tcW w:w="260" w:type="dxa"/>
            <w:vAlign w:val="bottom"/>
            <w:shd w:val="clear" w:color="auto" w:fill="CFF0FC"/>
          </w:tcPr>
          <w:p>
            <w:pPr>
              <w:spacing w:after="0"/>
              <w:rPr>
                <w:sz w:val="24"/>
                <w:szCs w:val="24"/>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17,638</w:t>
            </w:r>
          </w:p>
        </w:tc>
        <w:tc>
          <w:tcPr>
            <w:tcW w:w="80" w:type="dxa"/>
            <w:vAlign w:val="bottom"/>
            <w:shd w:val="clear" w:color="auto" w:fill="CFF0FC"/>
          </w:tcPr>
          <w:p>
            <w:pPr>
              <w:spacing w:after="0"/>
              <w:rPr>
                <w:sz w:val="24"/>
                <w:szCs w:val="24"/>
                <w:color w:val="auto"/>
              </w:rPr>
            </w:pPr>
          </w:p>
        </w:tc>
        <w:tc>
          <w:tcPr>
            <w:tcW w:w="600" w:type="dxa"/>
            <w:vAlign w:val="bottom"/>
            <w:shd w:val="clear" w:color="auto" w:fill="CFF0FC"/>
          </w:tcPr>
          <w:p>
            <w:pPr>
              <w:spacing w:after="0"/>
              <w:rPr>
                <w:sz w:val="24"/>
                <w:szCs w:val="24"/>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12,826</w:t>
            </w:r>
          </w:p>
        </w:tc>
        <w:tc>
          <w:tcPr>
            <w:tcW w:w="100" w:type="dxa"/>
            <w:vAlign w:val="bottom"/>
            <w:shd w:val="clear" w:color="auto" w:fill="CFF0FC"/>
          </w:tcPr>
          <w:p>
            <w:pPr>
              <w:spacing w:after="0"/>
              <w:rPr>
                <w:sz w:val="24"/>
                <w:szCs w:val="24"/>
                <w:color w:val="auto"/>
              </w:rPr>
            </w:pPr>
          </w:p>
        </w:tc>
        <w:tc>
          <w:tcPr>
            <w:tcW w:w="420" w:type="dxa"/>
            <w:vAlign w:val="bottom"/>
            <w:shd w:val="clear" w:color="auto" w:fill="CFF0FC"/>
          </w:tcPr>
          <w:p>
            <w:pPr>
              <w:spacing w:after="0"/>
              <w:rPr>
                <w:sz w:val="24"/>
                <w:szCs w:val="24"/>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39,963</w:t>
            </w:r>
          </w:p>
        </w:tc>
        <w:tc>
          <w:tcPr>
            <w:tcW w:w="100" w:type="dxa"/>
            <w:vAlign w:val="bottom"/>
            <w:shd w:val="clear" w:color="auto" w:fill="CFF0FC"/>
          </w:tcPr>
          <w:p>
            <w:pPr>
              <w:spacing w:after="0"/>
              <w:rPr>
                <w:sz w:val="24"/>
                <w:szCs w:val="24"/>
                <w:color w:val="auto"/>
              </w:rPr>
            </w:pPr>
          </w:p>
        </w:tc>
        <w:tc>
          <w:tcPr>
            <w:tcW w:w="260" w:type="dxa"/>
            <w:vAlign w:val="bottom"/>
            <w:shd w:val="clear" w:color="auto" w:fill="CFF0FC"/>
          </w:tcPr>
          <w:p>
            <w:pPr>
              <w:spacing w:after="0"/>
              <w:rPr>
                <w:sz w:val="24"/>
                <w:szCs w:val="24"/>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29,804</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90,404</w:t>
            </w:r>
          </w:p>
        </w:tc>
        <w:tc>
          <w:tcPr>
            <w:tcW w:w="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88,036</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266,924</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243,092</w:t>
            </w:r>
          </w:p>
        </w:tc>
        <w:tc>
          <w:tcPr>
            <w:tcW w:w="0" w:type="dxa"/>
            <w:vAlign w:val="bottom"/>
          </w:tcPr>
          <w:p>
            <w:pPr>
              <w:spacing w:after="0"/>
              <w:rPr>
                <w:sz w:val="1"/>
                <w:szCs w:val="1"/>
                <w:color w:val="auto"/>
              </w:rPr>
            </w:pPr>
          </w:p>
        </w:tc>
      </w:tr>
      <w:tr>
        <w:trPr>
          <w:trHeight w:val="277"/>
        </w:trPr>
        <w:tc>
          <w:tcPr>
            <w:tcW w:w="20" w:type="dxa"/>
            <w:vAlign w:val="bottom"/>
            <w:shd w:val="clear" w:color="auto" w:fill="CFF0FC"/>
          </w:tcPr>
          <w:p>
            <w:pPr>
              <w:spacing w:after="0"/>
              <w:rPr>
                <w:sz w:val="24"/>
                <w:szCs w:val="24"/>
                <w:color w:val="auto"/>
              </w:rPr>
            </w:pPr>
          </w:p>
        </w:tc>
        <w:tc>
          <w:tcPr>
            <w:tcW w:w="50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60" w:type="dxa"/>
            <w:vAlign w:val="bottom"/>
            <w:shd w:val="clear" w:color="auto" w:fill="CFF0FC"/>
          </w:tcPr>
          <w:p>
            <w:pPr>
              <w:spacing w:after="0"/>
              <w:rPr>
                <w:sz w:val="24"/>
                <w:szCs w:val="24"/>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43,438</w:t>
            </w:r>
          </w:p>
        </w:tc>
        <w:tc>
          <w:tcPr>
            <w:tcW w:w="80" w:type="dxa"/>
            <w:vAlign w:val="bottom"/>
            <w:shd w:val="clear" w:color="auto" w:fill="CFF0FC"/>
          </w:tcPr>
          <w:p>
            <w:pPr>
              <w:spacing w:after="0"/>
              <w:rPr>
                <w:sz w:val="24"/>
                <w:szCs w:val="24"/>
                <w:color w:val="auto"/>
              </w:rPr>
            </w:pPr>
          </w:p>
        </w:tc>
        <w:tc>
          <w:tcPr>
            <w:tcW w:w="600" w:type="dxa"/>
            <w:vAlign w:val="bottom"/>
            <w:shd w:val="clear" w:color="auto" w:fill="CFF0FC"/>
          </w:tcPr>
          <w:p>
            <w:pPr>
              <w:spacing w:after="0"/>
              <w:rPr>
                <w:sz w:val="24"/>
                <w:szCs w:val="24"/>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47,757</w:t>
            </w:r>
          </w:p>
        </w:tc>
        <w:tc>
          <w:tcPr>
            <w:tcW w:w="100" w:type="dxa"/>
            <w:vAlign w:val="bottom"/>
            <w:shd w:val="clear" w:color="auto" w:fill="CFF0FC"/>
          </w:tcPr>
          <w:p>
            <w:pPr>
              <w:spacing w:after="0"/>
              <w:rPr>
                <w:sz w:val="24"/>
                <w:szCs w:val="24"/>
                <w:color w:val="auto"/>
              </w:rPr>
            </w:pPr>
          </w:p>
        </w:tc>
        <w:tc>
          <w:tcPr>
            <w:tcW w:w="420" w:type="dxa"/>
            <w:vAlign w:val="bottom"/>
            <w:shd w:val="clear" w:color="auto" w:fill="CFF0FC"/>
          </w:tcPr>
          <w:p>
            <w:pPr>
              <w:spacing w:after="0"/>
              <w:rPr>
                <w:sz w:val="24"/>
                <w:szCs w:val="24"/>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128,281</w:t>
            </w:r>
          </w:p>
        </w:tc>
        <w:tc>
          <w:tcPr>
            <w:tcW w:w="100" w:type="dxa"/>
            <w:vAlign w:val="bottom"/>
            <w:shd w:val="clear" w:color="auto" w:fill="CFF0FC"/>
          </w:tcPr>
          <w:p>
            <w:pPr>
              <w:spacing w:after="0"/>
              <w:rPr>
                <w:sz w:val="24"/>
                <w:szCs w:val="24"/>
                <w:color w:val="auto"/>
              </w:rPr>
            </w:pPr>
          </w:p>
        </w:tc>
        <w:tc>
          <w:tcPr>
            <w:tcW w:w="260" w:type="dxa"/>
            <w:vAlign w:val="bottom"/>
            <w:shd w:val="clear" w:color="auto" w:fill="CFF0FC"/>
          </w:tcPr>
          <w:p>
            <w:pPr>
              <w:spacing w:after="0"/>
              <w:rPr>
                <w:sz w:val="24"/>
                <w:szCs w:val="24"/>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147,724</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Depreciation, amortization and (gain) loss on disposal of assets, net</w:t>
            </w:r>
          </w:p>
        </w:tc>
        <w:tc>
          <w:tcPr>
            <w:tcW w:w="2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26,947</w:t>
            </w:r>
          </w:p>
        </w:tc>
        <w:tc>
          <w:tcPr>
            <w:tcW w:w="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29,264</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85,405</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86,551</w:t>
            </w:r>
          </w:p>
        </w:tc>
        <w:tc>
          <w:tcPr>
            <w:tcW w:w="0" w:type="dxa"/>
            <w:vAlign w:val="bottom"/>
          </w:tcPr>
          <w:p>
            <w:pPr>
              <w:spacing w:after="0"/>
              <w:rPr>
                <w:sz w:val="1"/>
                <w:szCs w:val="1"/>
                <w:color w:val="auto"/>
              </w:rPr>
            </w:pPr>
          </w:p>
        </w:tc>
      </w:tr>
      <w:tr>
        <w:trPr>
          <w:trHeight w:val="277"/>
        </w:trPr>
        <w:tc>
          <w:tcPr>
            <w:tcW w:w="20" w:type="dxa"/>
            <w:vAlign w:val="bottom"/>
            <w:shd w:val="clear" w:color="auto" w:fill="CFF0FC"/>
          </w:tcPr>
          <w:p>
            <w:pPr>
              <w:spacing w:after="0"/>
              <w:rPr>
                <w:sz w:val="24"/>
                <w:szCs w:val="24"/>
                <w:color w:val="auto"/>
              </w:rPr>
            </w:pPr>
          </w:p>
        </w:tc>
        <w:tc>
          <w:tcPr>
            <w:tcW w:w="50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Goodwill impairment</w:t>
            </w:r>
          </w:p>
        </w:tc>
        <w:tc>
          <w:tcPr>
            <w:tcW w:w="260" w:type="dxa"/>
            <w:vAlign w:val="bottom"/>
            <w:shd w:val="clear" w:color="auto" w:fill="CFF0FC"/>
          </w:tcPr>
          <w:p>
            <w:pPr>
              <w:spacing w:after="0"/>
              <w:rPr>
                <w:sz w:val="24"/>
                <w:szCs w:val="24"/>
                <w:color w:val="auto"/>
              </w:rPr>
            </w:pPr>
          </w:p>
        </w:tc>
        <w:tc>
          <w:tcPr>
            <w:tcW w:w="13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spacing w:after="0"/>
              <w:rPr>
                <w:sz w:val="24"/>
                <w:szCs w:val="24"/>
                <w:color w:val="auto"/>
              </w:rPr>
            </w:pPr>
          </w:p>
        </w:tc>
        <w:tc>
          <w:tcPr>
            <w:tcW w:w="9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FF0FC"/>
          </w:tcPr>
          <w:p>
            <w:pPr>
              <w:spacing w:after="0"/>
              <w:rPr>
                <w:sz w:val="24"/>
                <w:szCs w:val="24"/>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64,037</w:t>
            </w:r>
          </w:p>
        </w:tc>
        <w:tc>
          <w:tcPr>
            <w:tcW w:w="100" w:type="dxa"/>
            <w:vAlign w:val="bottom"/>
            <w:shd w:val="clear" w:color="auto" w:fill="CFF0FC"/>
          </w:tcPr>
          <w:p>
            <w:pPr>
              <w:spacing w:after="0"/>
              <w:rPr>
                <w:sz w:val="24"/>
                <w:szCs w:val="24"/>
                <w:color w:val="auto"/>
              </w:rPr>
            </w:pPr>
          </w:p>
        </w:tc>
        <w:tc>
          <w:tcPr>
            <w:tcW w:w="260" w:type="dxa"/>
            <w:vAlign w:val="bottom"/>
            <w:shd w:val="clear" w:color="auto" w:fill="CFF0FC"/>
          </w:tcPr>
          <w:p>
            <w:pPr>
              <w:spacing w:after="0"/>
              <w:rPr>
                <w:sz w:val="24"/>
                <w:szCs w:val="24"/>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5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Impairment of intangible assets</w:t>
            </w:r>
          </w:p>
        </w:tc>
        <w:tc>
          <w:tcPr>
            <w:tcW w:w="260" w:type="dxa"/>
            <w:vAlign w:val="bottom"/>
          </w:tcPr>
          <w:p>
            <w:pPr>
              <w:spacing w:after="0"/>
              <w:rPr>
                <w:sz w:val="22"/>
                <w:szCs w:val="22"/>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22"/>
                <w:szCs w:val="22"/>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40,354</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20" w:type="dxa"/>
            <w:vAlign w:val="bottom"/>
            <w:tcBorders>
              <w:top w:val="single" w:sz="8" w:color="CFF0FC"/>
            </w:tcBorders>
            <w:shd w:val="clear" w:color="auto" w:fill="CFF0FC"/>
          </w:tcPr>
          <w:p>
            <w:pPr>
              <w:spacing w:after="0"/>
              <w:rPr>
                <w:sz w:val="23"/>
                <w:szCs w:val="23"/>
                <w:color w:val="auto"/>
              </w:rPr>
            </w:pPr>
          </w:p>
        </w:tc>
        <w:tc>
          <w:tcPr>
            <w:tcW w:w="5020" w:type="dxa"/>
            <w:vAlign w:val="bottom"/>
            <w:tcBorders>
              <w:top w:val="single" w:sz="8" w:color="CFF0FC"/>
            </w:tcBorders>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Total costs and expenses</w:t>
            </w:r>
          </w:p>
        </w:tc>
        <w:tc>
          <w:tcPr>
            <w:tcW w:w="260" w:type="dxa"/>
            <w:vAlign w:val="bottom"/>
            <w:tcBorders>
              <w:top w:val="single" w:sz="8" w:color="auto"/>
              <w:bottom w:val="single" w:sz="8" w:color="auto"/>
            </w:tcBorders>
            <w:shd w:val="clear" w:color="auto" w:fill="CFF0FC"/>
          </w:tcPr>
          <w:p>
            <w:pPr>
              <w:spacing w:after="0"/>
              <w:rPr>
                <w:sz w:val="23"/>
                <w:szCs w:val="23"/>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193,315</w:t>
            </w:r>
          </w:p>
        </w:tc>
        <w:tc>
          <w:tcPr>
            <w:tcW w:w="80" w:type="dxa"/>
            <w:vAlign w:val="bottom"/>
            <w:tcBorders>
              <w:top w:val="single" w:sz="8" w:color="CFF0FC"/>
            </w:tcBorders>
            <w:shd w:val="clear" w:color="auto" w:fill="CFF0FC"/>
          </w:tcPr>
          <w:p>
            <w:pPr>
              <w:spacing w:after="0"/>
              <w:rPr>
                <w:sz w:val="23"/>
                <w:szCs w:val="23"/>
                <w:color w:val="auto"/>
              </w:rPr>
            </w:pPr>
          </w:p>
        </w:tc>
        <w:tc>
          <w:tcPr>
            <w:tcW w:w="600" w:type="dxa"/>
            <w:vAlign w:val="bottom"/>
            <w:tcBorders>
              <w:top w:val="single" w:sz="8" w:color="auto"/>
              <w:bottom w:val="single" w:sz="8" w:color="auto"/>
            </w:tcBorders>
            <w:shd w:val="clear" w:color="auto" w:fill="CFF0FC"/>
          </w:tcPr>
          <w:p>
            <w:pPr>
              <w:spacing w:after="0"/>
              <w:rPr>
                <w:sz w:val="23"/>
                <w:szCs w:val="23"/>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187,129</w:t>
            </w:r>
          </w:p>
        </w:tc>
        <w:tc>
          <w:tcPr>
            <w:tcW w:w="100" w:type="dxa"/>
            <w:vAlign w:val="bottom"/>
            <w:tcBorders>
              <w:top w:val="single" w:sz="8" w:color="CFF0FC"/>
            </w:tcBorders>
            <w:shd w:val="clear" w:color="auto" w:fill="CFF0FC"/>
          </w:tcPr>
          <w:p>
            <w:pPr>
              <w:spacing w:after="0"/>
              <w:rPr>
                <w:sz w:val="23"/>
                <w:szCs w:val="23"/>
                <w:color w:val="auto"/>
              </w:rPr>
            </w:pPr>
          </w:p>
        </w:tc>
        <w:tc>
          <w:tcPr>
            <w:tcW w:w="420" w:type="dxa"/>
            <w:vAlign w:val="bottom"/>
            <w:tcBorders>
              <w:top w:val="single" w:sz="8" w:color="auto"/>
              <w:bottom w:val="single" w:sz="8" w:color="auto"/>
            </w:tcBorders>
            <w:shd w:val="clear" w:color="auto" w:fill="CFF0FC"/>
          </w:tcPr>
          <w:p>
            <w:pPr>
              <w:spacing w:after="0"/>
              <w:rPr>
                <w:sz w:val="23"/>
                <w:szCs w:val="23"/>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661,453</w:t>
            </w:r>
          </w:p>
        </w:tc>
        <w:tc>
          <w:tcPr>
            <w:tcW w:w="100" w:type="dxa"/>
            <w:vAlign w:val="bottom"/>
            <w:tcBorders>
              <w:top w:val="single" w:sz="8" w:color="CFF0FC"/>
            </w:tcBorders>
            <w:shd w:val="clear" w:color="auto" w:fill="CFF0FC"/>
          </w:tcPr>
          <w:p>
            <w:pPr>
              <w:spacing w:after="0"/>
              <w:rPr>
                <w:sz w:val="23"/>
                <w:szCs w:val="23"/>
                <w:color w:val="auto"/>
              </w:rPr>
            </w:pPr>
          </w:p>
        </w:tc>
        <w:tc>
          <w:tcPr>
            <w:tcW w:w="260" w:type="dxa"/>
            <w:vAlign w:val="bottom"/>
            <w:tcBorders>
              <w:top w:val="single" w:sz="8" w:color="auto"/>
              <w:bottom w:val="single" w:sz="8" w:color="auto"/>
            </w:tcBorders>
            <w:shd w:val="clear" w:color="auto" w:fill="CFF0FC"/>
          </w:tcPr>
          <w:p>
            <w:pPr>
              <w:spacing w:after="0"/>
              <w:rPr>
                <w:sz w:val="23"/>
                <w:szCs w:val="23"/>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525,829</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02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2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65,560</w:t>
            </w:r>
          </w:p>
        </w:tc>
        <w:tc>
          <w:tcPr>
            <w:tcW w:w="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74,809</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84,581</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195,388</w:t>
            </w:r>
          </w:p>
        </w:tc>
        <w:tc>
          <w:tcPr>
            <w:tcW w:w="0" w:type="dxa"/>
            <w:vAlign w:val="bottom"/>
          </w:tcPr>
          <w:p>
            <w:pPr>
              <w:spacing w:after="0"/>
              <w:rPr>
                <w:sz w:val="1"/>
                <w:szCs w:val="1"/>
                <w:color w:val="auto"/>
              </w:rPr>
            </w:pPr>
          </w:p>
        </w:tc>
      </w:tr>
      <w:tr>
        <w:trPr>
          <w:trHeight w:val="277"/>
        </w:trPr>
        <w:tc>
          <w:tcPr>
            <w:tcW w:w="20" w:type="dxa"/>
            <w:vAlign w:val="bottom"/>
            <w:shd w:val="clear" w:color="auto" w:fill="CFF0FC"/>
          </w:tcPr>
          <w:p>
            <w:pPr>
              <w:spacing w:after="0"/>
              <w:rPr>
                <w:sz w:val="24"/>
                <w:szCs w:val="24"/>
                <w:color w:val="auto"/>
              </w:rPr>
            </w:pPr>
          </w:p>
        </w:tc>
        <w:tc>
          <w:tcPr>
            <w:tcW w:w="50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260" w:type="dxa"/>
            <w:vAlign w:val="bottom"/>
            <w:shd w:val="clear" w:color="auto" w:fill="CFF0FC"/>
          </w:tcPr>
          <w:p>
            <w:pPr>
              <w:spacing w:after="0"/>
              <w:rPr>
                <w:sz w:val="24"/>
                <w:szCs w:val="24"/>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15,027</w:t>
            </w:r>
          </w:p>
        </w:tc>
        <w:tc>
          <w:tcPr>
            <w:tcW w:w="80" w:type="dxa"/>
            <w:vAlign w:val="bottom"/>
            <w:shd w:val="clear" w:color="auto" w:fill="CFF0FC"/>
          </w:tcPr>
          <w:p>
            <w:pPr>
              <w:spacing w:after="0"/>
              <w:rPr>
                <w:sz w:val="24"/>
                <w:szCs w:val="24"/>
                <w:color w:val="auto"/>
              </w:rPr>
            </w:pPr>
          </w:p>
        </w:tc>
        <w:tc>
          <w:tcPr>
            <w:tcW w:w="600" w:type="dxa"/>
            <w:vAlign w:val="bottom"/>
            <w:shd w:val="clear" w:color="auto" w:fill="CFF0FC"/>
          </w:tcPr>
          <w:p>
            <w:pPr>
              <w:spacing w:after="0"/>
              <w:rPr>
                <w:sz w:val="24"/>
                <w:szCs w:val="24"/>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16,421</w:t>
            </w:r>
          </w:p>
        </w:tc>
        <w:tc>
          <w:tcPr>
            <w:tcW w:w="100" w:type="dxa"/>
            <w:vAlign w:val="bottom"/>
            <w:shd w:val="clear" w:color="auto" w:fill="CFF0FC"/>
          </w:tcPr>
          <w:p>
            <w:pPr>
              <w:spacing w:after="0"/>
              <w:rPr>
                <w:sz w:val="24"/>
                <w:szCs w:val="24"/>
                <w:color w:val="auto"/>
              </w:rPr>
            </w:pPr>
          </w:p>
        </w:tc>
        <w:tc>
          <w:tcPr>
            <w:tcW w:w="420" w:type="dxa"/>
            <w:vAlign w:val="bottom"/>
            <w:shd w:val="clear" w:color="auto" w:fill="CFF0FC"/>
          </w:tcPr>
          <w:p>
            <w:pPr>
              <w:spacing w:after="0"/>
              <w:rPr>
                <w:sz w:val="24"/>
                <w:szCs w:val="24"/>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45,920</w:t>
            </w:r>
          </w:p>
        </w:tc>
        <w:tc>
          <w:tcPr>
            <w:tcW w:w="100" w:type="dxa"/>
            <w:vAlign w:val="bottom"/>
            <w:shd w:val="clear" w:color="auto" w:fill="CFF0FC"/>
          </w:tcPr>
          <w:p>
            <w:pPr>
              <w:spacing w:after="0"/>
              <w:rPr>
                <w:sz w:val="24"/>
                <w:szCs w:val="24"/>
                <w:color w:val="auto"/>
              </w:rPr>
            </w:pPr>
          </w:p>
        </w:tc>
        <w:tc>
          <w:tcPr>
            <w:tcW w:w="260" w:type="dxa"/>
            <w:vAlign w:val="bottom"/>
            <w:shd w:val="clear" w:color="auto" w:fill="CFF0FC"/>
          </w:tcPr>
          <w:p>
            <w:pPr>
              <w:spacing w:after="0"/>
              <w:rPr>
                <w:sz w:val="24"/>
                <w:szCs w:val="24"/>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49,629</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260" w:type="dxa"/>
            <w:vAlign w:val="bottom"/>
          </w:tcPr>
          <w:p>
            <w:pPr>
              <w:spacing w:after="0"/>
              <w:rPr>
                <w:sz w:val="22"/>
                <w:szCs w:val="22"/>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77"/>
        </w:trPr>
        <w:tc>
          <w:tcPr>
            <w:tcW w:w="20" w:type="dxa"/>
            <w:vAlign w:val="bottom"/>
            <w:shd w:val="clear" w:color="auto" w:fill="CFF0FC"/>
          </w:tcPr>
          <w:p>
            <w:pPr>
              <w:spacing w:after="0"/>
              <w:rPr>
                <w:sz w:val="24"/>
                <w:szCs w:val="24"/>
                <w:color w:val="auto"/>
              </w:rPr>
            </w:pPr>
          </w:p>
        </w:tc>
        <w:tc>
          <w:tcPr>
            <w:tcW w:w="50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260" w:type="dxa"/>
            <w:vAlign w:val="bottom"/>
            <w:tcBorders>
              <w:bottom w:val="single" w:sz="8" w:color="auto"/>
            </w:tcBorders>
            <w:shd w:val="clear" w:color="auto" w:fill="CFF0FC"/>
          </w:tcPr>
          <w:p>
            <w:pPr>
              <w:spacing w:after="0"/>
              <w:rPr>
                <w:sz w:val="24"/>
                <w:szCs w:val="24"/>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(4,744)</w:t>
            </w:r>
          </w:p>
        </w:tc>
        <w:tc>
          <w:tcPr>
            <w:tcW w:w="80" w:type="dxa"/>
            <w:vAlign w:val="bottom"/>
            <w:shd w:val="clear" w:color="auto" w:fill="CFF0FC"/>
          </w:tcPr>
          <w:p>
            <w:pPr>
              <w:spacing w:after="0"/>
              <w:rPr>
                <w:sz w:val="24"/>
                <w:szCs w:val="24"/>
                <w:color w:val="auto"/>
              </w:rPr>
            </w:pPr>
          </w:p>
        </w:tc>
        <w:tc>
          <w:tcPr>
            <w:tcW w:w="600" w:type="dxa"/>
            <w:vAlign w:val="bottom"/>
            <w:tcBorders>
              <w:bottom w:val="single" w:sz="8" w:color="auto"/>
            </w:tcBorders>
            <w:shd w:val="clear" w:color="auto" w:fill="CFF0FC"/>
          </w:tcPr>
          <w:p>
            <w:pPr>
              <w:spacing w:after="0"/>
              <w:rPr>
                <w:sz w:val="24"/>
                <w:szCs w:val="24"/>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(6,298)</w:t>
            </w:r>
          </w:p>
        </w:tc>
        <w:tc>
          <w:tcPr>
            <w:tcW w:w="100" w:type="dxa"/>
            <w:vAlign w:val="bottom"/>
            <w:shd w:val="clear" w:color="auto" w:fill="CFF0FC"/>
          </w:tcPr>
          <w:p>
            <w:pPr>
              <w:spacing w:after="0"/>
              <w:rPr>
                <w:sz w:val="24"/>
                <w:szCs w:val="24"/>
                <w:color w:val="auto"/>
              </w:rPr>
            </w:pPr>
          </w:p>
        </w:tc>
        <w:tc>
          <w:tcPr>
            <w:tcW w:w="420" w:type="dxa"/>
            <w:vAlign w:val="bottom"/>
            <w:tcBorders>
              <w:bottom w:val="single" w:sz="8" w:color="auto"/>
            </w:tcBorders>
            <w:shd w:val="clear" w:color="auto" w:fill="CFF0FC"/>
          </w:tcPr>
          <w:p>
            <w:pPr>
              <w:spacing w:after="0"/>
              <w:rPr>
                <w:sz w:val="24"/>
                <w:szCs w:val="24"/>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(14,878)</w:t>
            </w:r>
          </w:p>
        </w:tc>
        <w:tc>
          <w:tcPr>
            <w:tcW w:w="100" w:type="dxa"/>
            <w:vAlign w:val="bottom"/>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spacing w:after="0"/>
              <w:rPr>
                <w:sz w:val="24"/>
                <w:szCs w:val="24"/>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(16,410)</w:t>
            </w:r>
          </w:p>
        </w:tc>
        <w:tc>
          <w:tcPr>
            <w:tcW w:w="0" w:type="dxa"/>
            <w:vAlign w:val="bottom"/>
          </w:tcPr>
          <w:p>
            <w:pPr>
              <w:spacing w:after="0"/>
              <w:rPr>
                <w:sz w:val="1"/>
                <w:szCs w:val="1"/>
                <w:color w:val="auto"/>
              </w:rPr>
            </w:pPr>
          </w:p>
        </w:tc>
      </w:tr>
      <w:tr>
        <w:trPr>
          <w:trHeight w:val="257"/>
        </w:trPr>
        <w:tc>
          <w:tcPr>
            <w:tcW w:w="20" w:type="dxa"/>
            <w:vAlign w:val="bottom"/>
            <w:tcBorders>
              <w:bottom w:val="single" w:sz="8" w:color="CFF0FC"/>
            </w:tcBorders>
          </w:tcPr>
          <w:p>
            <w:pPr>
              <w:spacing w:after="0"/>
              <w:rPr>
                <w:sz w:val="22"/>
                <w:szCs w:val="22"/>
                <w:color w:val="auto"/>
              </w:rPr>
            </w:pPr>
          </w:p>
        </w:tc>
        <w:tc>
          <w:tcPr>
            <w:tcW w:w="5020" w:type="dxa"/>
            <w:vAlign w:val="bottom"/>
            <w:tcBorders>
              <w:bottom w:val="single" w:sz="8" w:color="CFF0FC"/>
            </w:tcBorders>
            <w:gridSpan w:val="2"/>
          </w:tcPr>
          <w:p>
            <w:pPr>
              <w:ind w:left="140"/>
              <w:spacing w:after="0"/>
              <w:rPr>
                <w:sz w:val="20"/>
                <w:szCs w:val="20"/>
                <w:color w:val="auto"/>
              </w:rPr>
            </w:pPr>
            <w:r>
              <w:rPr>
                <w:rFonts w:ascii="Times New Roman" w:cs="Times New Roman" w:eastAsia="Times New Roman" w:hAnsi="Times New Roman"/>
                <w:sz w:val="18"/>
                <w:szCs w:val="18"/>
                <w:color w:val="auto"/>
              </w:rPr>
              <w:t>Total other expenses</w:t>
            </w:r>
          </w:p>
        </w:tc>
        <w:tc>
          <w:tcPr>
            <w:tcW w:w="2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10,283</w:t>
            </w:r>
          </w:p>
        </w:tc>
        <w:tc>
          <w:tcPr>
            <w:tcW w:w="80" w:type="dxa"/>
            <w:vAlign w:val="bottom"/>
            <w:tcBorders>
              <w:bottom w:val="single" w:sz="8" w:color="CFF0FC"/>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10,144</w:t>
            </w:r>
          </w:p>
        </w:tc>
        <w:tc>
          <w:tcPr>
            <w:tcW w:w="100" w:type="dxa"/>
            <w:vAlign w:val="bottom"/>
            <w:tcBorders>
              <w:bottom w:val="single" w:sz="8" w:color="CFF0FC"/>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31,042</w:t>
            </w:r>
          </w:p>
        </w:tc>
        <w:tc>
          <w:tcPr>
            <w:tcW w:w="100" w:type="dxa"/>
            <w:vAlign w:val="bottom"/>
            <w:tcBorders>
              <w:bottom w:val="single" w:sz="8" w:color="CFF0FC"/>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33,288</w:t>
            </w:r>
          </w:p>
        </w:tc>
        <w:tc>
          <w:tcPr>
            <w:tcW w:w="0" w:type="dxa"/>
            <w:vAlign w:val="bottom"/>
          </w:tcPr>
          <w:p>
            <w:pPr>
              <w:spacing w:after="0"/>
              <w:rPr>
                <w:sz w:val="1"/>
                <w:szCs w:val="1"/>
                <w:color w:val="auto"/>
              </w:rPr>
            </w:pPr>
          </w:p>
        </w:tc>
      </w:tr>
      <w:tr>
        <w:trPr>
          <w:trHeight w:val="270"/>
        </w:trPr>
        <w:tc>
          <w:tcPr>
            <w:tcW w:w="20" w:type="dxa"/>
            <w:vAlign w:val="bottom"/>
            <w:shd w:val="clear" w:color="auto" w:fill="CFF0FC"/>
          </w:tcPr>
          <w:p>
            <w:pPr>
              <w:spacing w:after="0"/>
              <w:rPr>
                <w:sz w:val="23"/>
                <w:szCs w:val="23"/>
                <w:color w:val="auto"/>
              </w:rPr>
            </w:pPr>
          </w:p>
        </w:tc>
        <w:tc>
          <w:tcPr>
            <w:tcW w:w="50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60" w:type="dxa"/>
            <w:vAlign w:val="bottom"/>
            <w:shd w:val="clear" w:color="auto" w:fill="CFF0FC"/>
          </w:tcPr>
          <w:p>
            <w:pPr>
              <w:spacing w:after="0"/>
              <w:rPr>
                <w:sz w:val="23"/>
                <w:szCs w:val="23"/>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55,277</w:t>
            </w:r>
          </w:p>
        </w:tc>
        <w:tc>
          <w:tcPr>
            <w:tcW w:w="80" w:type="dxa"/>
            <w:vAlign w:val="bottom"/>
            <w:shd w:val="clear" w:color="auto" w:fill="CFF0FC"/>
          </w:tcPr>
          <w:p>
            <w:pPr>
              <w:spacing w:after="0"/>
              <w:rPr>
                <w:sz w:val="23"/>
                <w:szCs w:val="23"/>
                <w:color w:val="auto"/>
              </w:rPr>
            </w:pPr>
          </w:p>
        </w:tc>
        <w:tc>
          <w:tcPr>
            <w:tcW w:w="600" w:type="dxa"/>
            <w:vAlign w:val="bottom"/>
            <w:shd w:val="clear" w:color="auto" w:fill="CFF0FC"/>
          </w:tcPr>
          <w:p>
            <w:pPr>
              <w:spacing w:after="0"/>
              <w:rPr>
                <w:sz w:val="23"/>
                <w:szCs w:val="23"/>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64,665</w:t>
            </w:r>
          </w:p>
        </w:tc>
        <w:tc>
          <w:tcPr>
            <w:tcW w:w="100" w:type="dxa"/>
            <w:vAlign w:val="bottom"/>
            <w:shd w:val="clear" w:color="auto" w:fill="CFF0FC"/>
          </w:tcPr>
          <w:p>
            <w:pPr>
              <w:spacing w:after="0"/>
              <w:rPr>
                <w:sz w:val="23"/>
                <w:szCs w:val="23"/>
                <w:color w:val="auto"/>
              </w:rPr>
            </w:pPr>
          </w:p>
        </w:tc>
        <w:tc>
          <w:tcPr>
            <w:tcW w:w="420" w:type="dxa"/>
            <w:vAlign w:val="bottom"/>
            <w:shd w:val="clear" w:color="auto" w:fill="CFF0FC"/>
          </w:tcPr>
          <w:p>
            <w:pPr>
              <w:spacing w:after="0"/>
              <w:rPr>
                <w:sz w:val="23"/>
                <w:szCs w:val="23"/>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53,539</w:t>
            </w:r>
          </w:p>
        </w:tc>
        <w:tc>
          <w:tcPr>
            <w:tcW w:w="100" w:type="dxa"/>
            <w:vAlign w:val="bottom"/>
            <w:shd w:val="clear" w:color="auto" w:fill="CFF0FC"/>
          </w:tcPr>
          <w:p>
            <w:pPr>
              <w:spacing w:after="0"/>
              <w:rPr>
                <w:sz w:val="23"/>
                <w:szCs w:val="23"/>
                <w:color w:val="auto"/>
              </w:rPr>
            </w:pPr>
          </w:p>
        </w:tc>
        <w:tc>
          <w:tcPr>
            <w:tcW w:w="260" w:type="dxa"/>
            <w:vAlign w:val="bottom"/>
            <w:shd w:val="clear" w:color="auto" w:fill="CFF0FC"/>
          </w:tcPr>
          <w:p>
            <w:pPr>
              <w:spacing w:after="0"/>
              <w:rPr>
                <w:sz w:val="23"/>
                <w:szCs w:val="23"/>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162,100</w:t>
            </w:r>
          </w:p>
        </w:tc>
        <w:tc>
          <w:tcPr>
            <w:tcW w:w="0" w:type="dxa"/>
            <w:vAlign w:val="bottom"/>
          </w:tcPr>
          <w:p>
            <w:pPr>
              <w:spacing w:after="0"/>
              <w:rPr>
                <w:sz w:val="1"/>
                <w:szCs w:val="1"/>
                <w:color w:val="auto"/>
              </w:rPr>
            </w:pPr>
          </w:p>
        </w:tc>
      </w:tr>
      <w:tr>
        <w:trPr>
          <w:trHeight w:val="264"/>
        </w:trPr>
        <w:tc>
          <w:tcPr>
            <w:tcW w:w="20" w:type="dxa"/>
            <w:vAlign w:val="bottom"/>
            <w:tcBorders>
              <w:bottom w:val="single" w:sz="8" w:color="CFF0FC"/>
            </w:tcBorders>
          </w:tcPr>
          <w:p>
            <w:pPr>
              <w:spacing w:after="0"/>
              <w:rPr>
                <w:sz w:val="22"/>
                <w:szCs w:val="22"/>
                <w:color w:val="auto"/>
              </w:rPr>
            </w:pPr>
          </w:p>
        </w:tc>
        <w:tc>
          <w:tcPr>
            <w:tcW w:w="5020" w:type="dxa"/>
            <w:vAlign w:val="bottom"/>
            <w:tcBorders>
              <w:bottom w:val="single" w:sz="8" w:color="CFF0FC"/>
            </w:tcBorders>
            <w:gridSpan w:val="2"/>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2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14,889</w:t>
            </w:r>
          </w:p>
        </w:tc>
        <w:tc>
          <w:tcPr>
            <w:tcW w:w="80" w:type="dxa"/>
            <w:vAlign w:val="bottom"/>
            <w:tcBorders>
              <w:bottom w:val="single" w:sz="8" w:color="CFF0FC"/>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17,826</w:t>
            </w:r>
          </w:p>
        </w:tc>
        <w:tc>
          <w:tcPr>
            <w:tcW w:w="100" w:type="dxa"/>
            <w:vAlign w:val="bottom"/>
            <w:tcBorders>
              <w:bottom w:val="single" w:sz="8" w:color="CFF0FC"/>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34,585</w:t>
            </w:r>
          </w:p>
        </w:tc>
        <w:tc>
          <w:tcPr>
            <w:tcW w:w="100" w:type="dxa"/>
            <w:vAlign w:val="bottom"/>
            <w:tcBorders>
              <w:bottom w:val="single" w:sz="8" w:color="CFF0FC"/>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44,347</w:t>
            </w:r>
          </w:p>
        </w:tc>
        <w:tc>
          <w:tcPr>
            <w:tcW w:w="0" w:type="dxa"/>
            <w:vAlign w:val="bottom"/>
          </w:tcPr>
          <w:p>
            <w:pPr>
              <w:spacing w:after="0"/>
              <w:rPr>
                <w:sz w:val="1"/>
                <w:szCs w:val="1"/>
                <w:color w:val="auto"/>
              </w:rPr>
            </w:pPr>
          </w:p>
        </w:tc>
      </w:tr>
      <w:tr>
        <w:trPr>
          <w:trHeight w:val="288"/>
        </w:trPr>
        <w:tc>
          <w:tcPr>
            <w:tcW w:w="20" w:type="dxa"/>
            <w:vAlign w:val="bottom"/>
            <w:tcBorders>
              <w:bottom w:val="single" w:sz="8" w:color="CFF0FC"/>
            </w:tcBorders>
            <w:shd w:val="clear" w:color="auto" w:fill="CFF0FC"/>
          </w:tcPr>
          <w:p>
            <w:pPr>
              <w:spacing w:after="0"/>
              <w:rPr>
                <w:sz w:val="24"/>
                <w:szCs w:val="24"/>
                <w:color w:val="auto"/>
              </w:rPr>
            </w:pPr>
          </w:p>
        </w:tc>
        <w:tc>
          <w:tcPr>
            <w:tcW w:w="5020" w:type="dxa"/>
            <w:vAlign w:val="bottom"/>
            <w:tcBorders>
              <w:bottom w:val="single" w:sz="8" w:color="CFF0FC"/>
            </w:tcBorders>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60" w:type="dxa"/>
            <w:vAlign w:val="bottom"/>
            <w:tcBorders>
              <w:bottom w:val="single" w:sz="8" w:color="auto"/>
            </w:tcBorders>
            <w:shd w:val="clear" w:color="auto" w:fill="CFF0FC"/>
          </w:tcPr>
          <w:p>
            <w:pPr>
              <w:jc w:val="right"/>
              <w:ind w:right="49"/>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40,388</w:t>
            </w:r>
          </w:p>
        </w:tc>
        <w:tc>
          <w:tcPr>
            <w:tcW w:w="80" w:type="dxa"/>
            <w:vAlign w:val="bottom"/>
            <w:tcBorders>
              <w:bottom w:val="single" w:sz="8" w:color="CFF0FC"/>
            </w:tcBorders>
            <w:shd w:val="clear" w:color="auto" w:fill="CFF0FC"/>
          </w:tcPr>
          <w:p>
            <w:pPr>
              <w:spacing w:after="0"/>
              <w:rPr>
                <w:sz w:val="24"/>
                <w:szCs w:val="24"/>
                <w:color w:val="auto"/>
              </w:rPr>
            </w:pPr>
          </w:p>
        </w:tc>
        <w:tc>
          <w:tcPr>
            <w:tcW w:w="600" w:type="dxa"/>
            <w:vAlign w:val="bottom"/>
            <w:tcBorders>
              <w:bottom w:val="single" w:sz="8" w:color="auto"/>
            </w:tcBorders>
            <w:shd w:val="clear" w:color="auto" w:fill="CFF0FC"/>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46,839</w:t>
            </w:r>
          </w:p>
        </w:tc>
        <w:tc>
          <w:tcPr>
            <w:tcW w:w="100" w:type="dxa"/>
            <w:vAlign w:val="bottom"/>
            <w:tcBorders>
              <w:bottom w:val="single" w:sz="8" w:color="CFF0FC"/>
            </w:tcBorders>
            <w:shd w:val="clear" w:color="auto" w:fill="CFF0FC"/>
          </w:tcPr>
          <w:p>
            <w:pPr>
              <w:spacing w:after="0"/>
              <w:rPr>
                <w:sz w:val="24"/>
                <w:szCs w:val="24"/>
                <w:color w:val="auto"/>
              </w:rPr>
            </w:pPr>
          </w:p>
        </w:tc>
        <w:tc>
          <w:tcPr>
            <w:tcW w:w="420" w:type="dxa"/>
            <w:vAlign w:val="bottom"/>
            <w:tcBorders>
              <w:bottom w:val="single" w:sz="8" w:color="auto"/>
            </w:tcBorders>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18,954</w:t>
            </w:r>
          </w:p>
        </w:tc>
        <w:tc>
          <w:tcPr>
            <w:tcW w:w="10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117,753</w:t>
            </w:r>
          </w:p>
        </w:tc>
        <w:tc>
          <w:tcPr>
            <w:tcW w:w="0" w:type="dxa"/>
            <w:vAlign w:val="bottom"/>
          </w:tcPr>
          <w:p>
            <w:pPr>
              <w:spacing w:after="0"/>
              <w:rPr>
                <w:sz w:val="1"/>
                <w:szCs w:val="1"/>
                <w:color w:val="auto"/>
              </w:rPr>
            </w:pPr>
          </w:p>
        </w:tc>
      </w:tr>
      <w:tr>
        <w:trPr>
          <w:trHeight w:val="20"/>
        </w:trPr>
        <w:tc>
          <w:tcPr>
            <w:tcW w:w="20" w:type="dxa"/>
            <w:vAlign w:val="bottom"/>
            <w:tcBorders>
              <w:top w:val="single" w:sz="8" w:color="CFF0FC"/>
            </w:tcBorders>
          </w:tcPr>
          <w:p>
            <w:pPr>
              <w:spacing w:after="0" w:line="20" w:lineRule="exact"/>
              <w:rPr>
                <w:sz w:val="1"/>
                <w:szCs w:val="1"/>
                <w:color w:val="auto"/>
              </w:rPr>
            </w:pPr>
          </w:p>
        </w:tc>
        <w:tc>
          <w:tcPr>
            <w:tcW w:w="5020" w:type="dxa"/>
            <w:vAlign w:val="bottom"/>
            <w:tcBorders>
              <w:top w:val="single" w:sz="8" w:color="CFF0FC"/>
              <w:bottom w:val="single" w:sz="8" w:color="CFF0FC"/>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60" w:type="dxa"/>
            <w:vAlign w:val="bottom"/>
            <w:tcBorders>
              <w:top w:val="single" w:sz="8" w:color="CFF0FC"/>
              <w:bottom w:val="single" w:sz="8" w:color="auto"/>
            </w:tcBorders>
          </w:tcPr>
          <w:p>
            <w:pPr>
              <w:spacing w:after="0" w:line="20" w:lineRule="exact"/>
              <w:rPr>
                <w:sz w:val="1"/>
                <w:szCs w:val="1"/>
                <w:color w:val="auto"/>
              </w:rPr>
            </w:pPr>
          </w:p>
        </w:tc>
        <w:tc>
          <w:tcPr>
            <w:tcW w:w="122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600" w:type="dxa"/>
            <w:vAlign w:val="bottom"/>
            <w:tcBorders>
              <w:top w:val="single" w:sz="8" w:color="CFF0FC"/>
              <w:bottom w:val="single" w:sz="8" w:color="auto"/>
            </w:tcBorders>
          </w:tcPr>
          <w:p>
            <w:pPr>
              <w:spacing w:after="0" w:line="20" w:lineRule="exact"/>
              <w:rPr>
                <w:sz w:val="1"/>
                <w:szCs w:val="1"/>
                <w:color w:val="auto"/>
              </w:rPr>
            </w:pPr>
          </w:p>
        </w:tc>
        <w:tc>
          <w:tcPr>
            <w:tcW w:w="88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CFF0FC"/>
              <w:bottom w:val="single" w:sz="8" w:color="auto"/>
            </w:tcBorders>
          </w:tcPr>
          <w:p>
            <w:pPr>
              <w:spacing w:after="0" w:line="20" w:lineRule="exact"/>
              <w:rPr>
                <w:sz w:val="1"/>
                <w:szCs w:val="1"/>
                <w:color w:val="auto"/>
              </w:rPr>
            </w:pPr>
          </w:p>
        </w:tc>
        <w:tc>
          <w:tcPr>
            <w:tcW w:w="106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bottom w:val="single" w:sz="8" w:color="auto"/>
            </w:tcBorders>
          </w:tcPr>
          <w:p>
            <w:pPr>
              <w:spacing w:after="0" w:line="20" w:lineRule="exact"/>
              <w:rPr>
                <w:sz w:val="1"/>
                <w:szCs w:val="1"/>
                <w:color w:val="auto"/>
              </w:rPr>
            </w:pPr>
          </w:p>
        </w:tc>
        <w:tc>
          <w:tcPr>
            <w:tcW w:w="122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502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20" w:type="dxa"/>
            <w:vAlign w:val="bottom"/>
            <w:shd w:val="clear" w:color="auto" w:fill="CFF0FC"/>
          </w:tcPr>
          <w:p>
            <w:pPr>
              <w:spacing w:after="0"/>
              <w:rPr>
                <w:sz w:val="24"/>
                <w:szCs w:val="24"/>
                <w:color w:val="auto"/>
              </w:rPr>
            </w:pPr>
          </w:p>
        </w:tc>
        <w:tc>
          <w:tcPr>
            <w:tcW w:w="50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 in foreign currency translation adjustment</w:t>
            </w:r>
          </w:p>
        </w:tc>
        <w:tc>
          <w:tcPr>
            <w:tcW w:w="260" w:type="dxa"/>
            <w:vAlign w:val="bottom"/>
            <w:tcBorders>
              <w:bottom w:val="single" w:sz="8" w:color="auto"/>
            </w:tcBorders>
            <w:shd w:val="clear" w:color="auto" w:fill="CFF0FC"/>
          </w:tcPr>
          <w:p>
            <w:pPr>
              <w:spacing w:after="0"/>
              <w:rPr>
                <w:sz w:val="24"/>
                <w:szCs w:val="24"/>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80" w:type="dxa"/>
            <w:vAlign w:val="bottom"/>
            <w:shd w:val="clear" w:color="auto" w:fill="CFF0FC"/>
          </w:tcPr>
          <w:p>
            <w:pPr>
              <w:spacing w:after="0"/>
              <w:rPr>
                <w:sz w:val="24"/>
                <w:szCs w:val="24"/>
                <w:color w:val="auto"/>
              </w:rPr>
            </w:pPr>
          </w:p>
        </w:tc>
        <w:tc>
          <w:tcPr>
            <w:tcW w:w="600" w:type="dxa"/>
            <w:vAlign w:val="bottom"/>
            <w:tcBorders>
              <w:bottom w:val="single" w:sz="8" w:color="auto"/>
            </w:tcBorders>
            <w:shd w:val="clear" w:color="auto" w:fill="CFF0FC"/>
          </w:tcPr>
          <w:p>
            <w:pPr>
              <w:spacing w:after="0"/>
              <w:rPr>
                <w:sz w:val="24"/>
                <w:szCs w:val="24"/>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(790)</w:t>
            </w:r>
          </w:p>
        </w:tc>
        <w:tc>
          <w:tcPr>
            <w:tcW w:w="100" w:type="dxa"/>
            <w:vAlign w:val="bottom"/>
            <w:shd w:val="clear" w:color="auto" w:fill="CFF0FC"/>
          </w:tcPr>
          <w:p>
            <w:pPr>
              <w:spacing w:after="0"/>
              <w:rPr>
                <w:sz w:val="24"/>
                <w:szCs w:val="24"/>
                <w:color w:val="auto"/>
              </w:rPr>
            </w:pPr>
          </w:p>
        </w:tc>
        <w:tc>
          <w:tcPr>
            <w:tcW w:w="420" w:type="dxa"/>
            <w:vAlign w:val="bottom"/>
            <w:tcBorders>
              <w:bottom w:val="single" w:sz="8" w:color="auto"/>
            </w:tcBorders>
            <w:shd w:val="clear" w:color="auto" w:fill="CFF0FC"/>
          </w:tcPr>
          <w:p>
            <w:pPr>
              <w:spacing w:after="0"/>
              <w:rPr>
                <w:sz w:val="24"/>
                <w:szCs w:val="24"/>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968</w:t>
            </w:r>
          </w:p>
        </w:tc>
        <w:tc>
          <w:tcPr>
            <w:tcW w:w="100" w:type="dxa"/>
            <w:vAlign w:val="bottom"/>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spacing w:after="0"/>
              <w:rPr>
                <w:sz w:val="24"/>
                <w:szCs w:val="24"/>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7,723</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02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Total comprehensive income</w:t>
            </w:r>
          </w:p>
        </w:tc>
        <w:tc>
          <w:tcPr>
            <w:tcW w:w="26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40,532</w:t>
            </w:r>
          </w:p>
        </w:tc>
        <w:tc>
          <w:tcPr>
            <w:tcW w:w="80" w:type="dxa"/>
            <w:vAlign w:val="bottom"/>
          </w:tcPr>
          <w:p>
            <w:pPr>
              <w:spacing w:after="0"/>
              <w:rPr>
                <w:sz w:val="22"/>
                <w:szCs w:val="22"/>
                <w:color w:val="auto"/>
              </w:rPr>
            </w:pPr>
          </w:p>
        </w:tc>
        <w:tc>
          <w:tcPr>
            <w:tcW w:w="6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46,049</w:t>
            </w:r>
          </w:p>
        </w:tc>
        <w:tc>
          <w:tcPr>
            <w:tcW w:w="100" w:type="dxa"/>
            <w:vAlign w:val="bottom"/>
          </w:tcPr>
          <w:p>
            <w:pPr>
              <w:spacing w:after="0"/>
              <w:rPr>
                <w:sz w:val="22"/>
                <w:szCs w:val="22"/>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19,922</w:t>
            </w:r>
          </w:p>
        </w:tc>
        <w:tc>
          <w:tcPr>
            <w:tcW w:w="100" w:type="dxa"/>
            <w:vAlign w:val="bottom"/>
          </w:tcPr>
          <w:p>
            <w:pPr>
              <w:spacing w:after="0"/>
              <w:rPr>
                <w:sz w:val="22"/>
                <w:szCs w:val="22"/>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125,476</w:t>
            </w:r>
          </w:p>
        </w:tc>
        <w:tc>
          <w:tcPr>
            <w:tcW w:w="0" w:type="dxa"/>
            <w:vAlign w:val="bottom"/>
          </w:tcPr>
          <w:p>
            <w:pPr>
              <w:spacing w:after="0"/>
              <w:rPr>
                <w:sz w:val="1"/>
                <w:szCs w:val="1"/>
                <w:color w:val="auto"/>
              </w:rPr>
            </w:pPr>
          </w:p>
        </w:tc>
      </w:tr>
      <w:tr>
        <w:trPr>
          <w:trHeight w:val="20"/>
        </w:trPr>
        <w:tc>
          <w:tcPr>
            <w:tcW w:w="20" w:type="dxa"/>
            <w:vAlign w:val="bottom"/>
            <w:tcBorders>
              <w:bottom w:val="single" w:sz="8" w:color="CFF0FC"/>
            </w:tcBorders>
          </w:tcPr>
          <w:p>
            <w:pPr>
              <w:spacing w:after="0" w:line="20" w:lineRule="exact"/>
              <w:rPr>
                <w:sz w:val="1"/>
                <w:szCs w:val="1"/>
                <w:color w:val="auto"/>
              </w:rPr>
            </w:pPr>
          </w:p>
        </w:tc>
        <w:tc>
          <w:tcPr>
            <w:tcW w:w="2280" w:type="dxa"/>
            <w:vAlign w:val="bottom"/>
            <w:tcBorders>
              <w:bottom w:val="single" w:sz="8" w:color="CFF0FC"/>
            </w:tcBorders>
          </w:tcPr>
          <w:p>
            <w:pPr>
              <w:spacing w:after="0" w:line="20" w:lineRule="exact"/>
              <w:rPr>
                <w:sz w:val="1"/>
                <w:szCs w:val="1"/>
                <w:color w:val="auto"/>
              </w:rPr>
            </w:pPr>
          </w:p>
        </w:tc>
        <w:tc>
          <w:tcPr>
            <w:tcW w:w="2740" w:type="dxa"/>
            <w:vAlign w:val="bottom"/>
            <w:tcBorders>
              <w:bottom w:val="single" w:sz="8" w:color="CFF0FC"/>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FF0FC"/>
          </w:tcPr>
          <w:p>
            <w:pPr>
              <w:spacing w:after="0"/>
              <w:rPr>
                <w:sz w:val="21"/>
                <w:szCs w:val="21"/>
                <w:color w:val="auto"/>
              </w:rPr>
            </w:pPr>
          </w:p>
        </w:tc>
        <w:tc>
          <w:tcPr>
            <w:tcW w:w="50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income per share:</w:t>
            </w:r>
          </w:p>
        </w:tc>
        <w:tc>
          <w:tcPr>
            <w:tcW w:w="26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tcPr>
          <w:p>
            <w:pPr>
              <w:jc w:val="right"/>
              <w:ind w:right="49"/>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0.27</w:t>
            </w:r>
          </w:p>
        </w:tc>
        <w:tc>
          <w:tcPr>
            <w:tcW w:w="80" w:type="dxa"/>
            <w:vAlign w:val="bottom"/>
          </w:tcPr>
          <w:p>
            <w:pPr>
              <w:spacing w:after="0"/>
              <w:rPr>
                <w:sz w:val="22"/>
                <w:szCs w:val="22"/>
                <w:color w:val="auto"/>
              </w:rPr>
            </w:pPr>
          </w:p>
        </w:tc>
        <w:tc>
          <w:tcPr>
            <w:tcW w:w="6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0.29</w:t>
            </w:r>
          </w:p>
        </w:tc>
        <w:tc>
          <w:tcPr>
            <w:tcW w:w="100" w:type="dxa"/>
            <w:vAlign w:val="bottom"/>
          </w:tcPr>
          <w:p>
            <w:pPr>
              <w:spacing w:after="0"/>
              <w:rPr>
                <w:sz w:val="22"/>
                <w:szCs w:val="22"/>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100" w:type="dxa"/>
            <w:vAlign w:val="bottom"/>
          </w:tcPr>
          <w:p>
            <w:pPr>
              <w:spacing w:after="0"/>
              <w:rPr>
                <w:sz w:val="22"/>
                <w:szCs w:val="22"/>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0.74</w:t>
            </w:r>
          </w:p>
        </w:tc>
        <w:tc>
          <w:tcPr>
            <w:tcW w:w="0" w:type="dxa"/>
            <w:vAlign w:val="bottom"/>
          </w:tcPr>
          <w:p>
            <w:pPr>
              <w:spacing w:after="0"/>
              <w:rPr>
                <w:sz w:val="1"/>
                <w:szCs w:val="1"/>
                <w:color w:val="auto"/>
              </w:rPr>
            </w:pPr>
          </w:p>
        </w:tc>
      </w:tr>
      <w:tr>
        <w:trPr>
          <w:trHeight w:val="277"/>
        </w:trPr>
        <w:tc>
          <w:tcPr>
            <w:tcW w:w="20" w:type="dxa"/>
            <w:vAlign w:val="bottom"/>
            <w:shd w:val="clear" w:color="auto" w:fill="CFF0FC"/>
          </w:tcPr>
          <w:p>
            <w:pPr>
              <w:spacing w:after="0"/>
              <w:rPr>
                <w:sz w:val="24"/>
                <w:szCs w:val="24"/>
                <w:color w:val="auto"/>
              </w:rPr>
            </w:pPr>
          </w:p>
        </w:tc>
        <w:tc>
          <w:tcPr>
            <w:tcW w:w="50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Diluted</w:t>
            </w:r>
          </w:p>
        </w:tc>
        <w:tc>
          <w:tcPr>
            <w:tcW w:w="260" w:type="dxa"/>
            <w:vAlign w:val="bottom"/>
            <w:shd w:val="clear" w:color="auto" w:fill="CFF0FC"/>
          </w:tcPr>
          <w:p>
            <w:pPr>
              <w:jc w:val="right"/>
              <w:ind w:right="49"/>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0.27</w:t>
            </w:r>
          </w:p>
        </w:tc>
        <w:tc>
          <w:tcPr>
            <w:tcW w:w="80" w:type="dxa"/>
            <w:vAlign w:val="bottom"/>
            <w:shd w:val="clear" w:color="auto" w:fill="CFF0FC"/>
          </w:tcPr>
          <w:p>
            <w:pPr>
              <w:spacing w:after="0"/>
              <w:rPr>
                <w:sz w:val="24"/>
                <w:szCs w:val="24"/>
                <w:color w:val="auto"/>
              </w:rPr>
            </w:pPr>
          </w:p>
        </w:tc>
        <w:tc>
          <w:tcPr>
            <w:tcW w:w="600" w:type="dxa"/>
            <w:vAlign w:val="bottom"/>
            <w:shd w:val="clear" w:color="auto" w:fill="CFF0FC"/>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0.29</w:t>
            </w:r>
          </w:p>
        </w:tc>
        <w:tc>
          <w:tcPr>
            <w:tcW w:w="100" w:type="dxa"/>
            <w:vAlign w:val="bottom"/>
            <w:shd w:val="clear" w:color="auto" w:fill="CFF0FC"/>
          </w:tcPr>
          <w:p>
            <w:pPr>
              <w:spacing w:after="0"/>
              <w:rPr>
                <w:sz w:val="24"/>
                <w:szCs w:val="24"/>
                <w:color w:val="auto"/>
              </w:rPr>
            </w:pPr>
          </w:p>
        </w:tc>
        <w:tc>
          <w:tcPr>
            <w:tcW w:w="42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100" w:type="dxa"/>
            <w:vAlign w:val="bottom"/>
            <w:shd w:val="clear" w:color="auto" w:fill="CFF0FC"/>
          </w:tcPr>
          <w:p>
            <w:pPr>
              <w:spacing w:after="0"/>
              <w:rPr>
                <w:sz w:val="24"/>
                <w:szCs w:val="24"/>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0.73</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Weighted average shares outstanding:</w:t>
            </w:r>
          </w:p>
        </w:tc>
        <w:tc>
          <w:tcPr>
            <w:tcW w:w="2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20" w:type="dxa"/>
            <w:vAlign w:val="bottom"/>
            <w:shd w:val="clear" w:color="auto" w:fill="CFF0FC"/>
          </w:tcPr>
          <w:p>
            <w:pPr>
              <w:spacing w:after="0"/>
              <w:rPr>
                <w:sz w:val="24"/>
                <w:szCs w:val="24"/>
                <w:color w:val="auto"/>
              </w:rPr>
            </w:pPr>
          </w:p>
        </w:tc>
        <w:tc>
          <w:tcPr>
            <w:tcW w:w="50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shd w:val="clear" w:color="auto" w:fill="CFF0FC"/>
          </w:tcPr>
          <w:p>
            <w:pPr>
              <w:spacing w:after="0"/>
              <w:rPr>
                <w:sz w:val="24"/>
                <w:szCs w:val="24"/>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151,996</w:t>
            </w:r>
          </w:p>
        </w:tc>
        <w:tc>
          <w:tcPr>
            <w:tcW w:w="80" w:type="dxa"/>
            <w:vAlign w:val="bottom"/>
            <w:shd w:val="clear" w:color="auto" w:fill="CFF0FC"/>
          </w:tcPr>
          <w:p>
            <w:pPr>
              <w:spacing w:after="0"/>
              <w:rPr>
                <w:sz w:val="24"/>
                <w:szCs w:val="24"/>
                <w:color w:val="auto"/>
              </w:rPr>
            </w:pPr>
          </w:p>
        </w:tc>
        <w:tc>
          <w:tcPr>
            <w:tcW w:w="600" w:type="dxa"/>
            <w:vAlign w:val="bottom"/>
            <w:shd w:val="clear" w:color="auto" w:fill="CFF0FC"/>
          </w:tcPr>
          <w:p>
            <w:pPr>
              <w:spacing w:after="0"/>
              <w:rPr>
                <w:sz w:val="24"/>
                <w:szCs w:val="24"/>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159,552</w:t>
            </w:r>
          </w:p>
        </w:tc>
        <w:tc>
          <w:tcPr>
            <w:tcW w:w="100" w:type="dxa"/>
            <w:vAlign w:val="bottom"/>
            <w:shd w:val="clear" w:color="auto" w:fill="CFF0FC"/>
          </w:tcPr>
          <w:p>
            <w:pPr>
              <w:spacing w:after="0"/>
              <w:rPr>
                <w:sz w:val="24"/>
                <w:szCs w:val="24"/>
                <w:color w:val="auto"/>
              </w:rPr>
            </w:pPr>
          </w:p>
        </w:tc>
        <w:tc>
          <w:tcPr>
            <w:tcW w:w="420" w:type="dxa"/>
            <w:vAlign w:val="bottom"/>
            <w:shd w:val="clear" w:color="auto" w:fill="CFF0FC"/>
          </w:tcPr>
          <w:p>
            <w:pPr>
              <w:spacing w:after="0"/>
              <w:rPr>
                <w:sz w:val="24"/>
                <w:szCs w:val="24"/>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151,930</w:t>
            </w:r>
          </w:p>
        </w:tc>
        <w:tc>
          <w:tcPr>
            <w:tcW w:w="100" w:type="dxa"/>
            <w:vAlign w:val="bottom"/>
            <w:shd w:val="clear" w:color="auto" w:fill="CFF0FC"/>
          </w:tcPr>
          <w:p>
            <w:pPr>
              <w:spacing w:after="0"/>
              <w:rPr>
                <w:sz w:val="24"/>
                <w:szCs w:val="24"/>
                <w:color w:val="auto"/>
              </w:rPr>
            </w:pPr>
          </w:p>
        </w:tc>
        <w:tc>
          <w:tcPr>
            <w:tcW w:w="260" w:type="dxa"/>
            <w:vAlign w:val="bottom"/>
            <w:shd w:val="clear" w:color="auto" w:fill="CFF0FC"/>
          </w:tcPr>
          <w:p>
            <w:pPr>
              <w:spacing w:after="0"/>
              <w:rPr>
                <w:sz w:val="24"/>
                <w:szCs w:val="24"/>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159,525</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Diluted</w:t>
            </w:r>
          </w:p>
        </w:tc>
        <w:tc>
          <w:tcPr>
            <w:tcW w:w="2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152,120</w:t>
            </w:r>
          </w:p>
        </w:tc>
        <w:tc>
          <w:tcPr>
            <w:tcW w:w="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161,861</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152,988</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161,824</w:t>
            </w:r>
          </w:p>
        </w:tc>
        <w:tc>
          <w:tcPr>
            <w:tcW w:w="0" w:type="dxa"/>
            <w:vAlign w:val="bottom"/>
          </w:tcPr>
          <w:p>
            <w:pPr>
              <w:spacing w:after="0"/>
              <w:rPr>
                <w:sz w:val="1"/>
                <w:szCs w:val="1"/>
                <w:color w:val="auto"/>
              </w:rPr>
            </w:pPr>
          </w:p>
        </w:tc>
      </w:tr>
      <w:tr>
        <w:trPr>
          <w:trHeight w:val="1093"/>
        </w:trPr>
        <w:tc>
          <w:tcPr>
            <w:tcW w:w="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jc w:val="center"/>
              <w:ind w:right="471"/>
              <w:spacing w:after="0"/>
              <w:rPr>
                <w:sz w:val="20"/>
                <w:szCs w:val="20"/>
                <w:color w:val="auto"/>
              </w:rPr>
            </w:pPr>
            <w:r>
              <w:rPr>
                <w:rFonts w:ascii="Times New Roman" w:cs="Times New Roman" w:eastAsia="Times New Roman" w:hAnsi="Times New Roman"/>
                <w:sz w:val="18"/>
                <w:szCs w:val="18"/>
                <w:color w:val="auto"/>
                <w:w w:val="99"/>
              </w:rPr>
              <w:t>10</w:t>
            </w: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60" w:right="339" w:bottom="1440" w:gutter="0" w:footer="0" w:header="0"/>
        </w:sectPr>
      </w:pPr>
    </w:p>
    <w:bookmarkStart w:id="13" w:name="page14"/>
    <w:bookmarkEnd w:id="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Exhibit 99.1</w:t>
            </w:r>
          </w:p>
        </w:tc>
      </w:tr>
      <w:tr>
        <w:trPr>
          <w:trHeight w:val="947"/>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180" w:type="dxa"/>
            <w:vAlign w:val="bottom"/>
          </w:tcPr>
          <w:p>
            <w:pPr>
              <w:jc w:val="center"/>
              <w:ind w:left="1961"/>
              <w:spacing w:after="0"/>
              <w:rPr>
                <w:sz w:val="20"/>
                <w:szCs w:val="20"/>
                <w:color w:val="auto"/>
              </w:rPr>
            </w:pPr>
            <w:r>
              <w:rPr>
                <w:rFonts w:ascii="Times New Roman" w:cs="Times New Roman" w:eastAsia="Times New Roman" w:hAnsi="Times New Roman"/>
                <w:sz w:val="20"/>
                <w:szCs w:val="20"/>
                <w:b w:val="1"/>
                <w:bCs w:val="1"/>
                <w:color w:val="auto"/>
                <w:w w:val="98"/>
              </w:rPr>
              <w:t>VERRA MOBILITY CORPORATION</w:t>
            </w:r>
          </w:p>
        </w:tc>
        <w:tc>
          <w:tcPr>
            <w:tcW w:w="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47"/>
        </w:trPr>
        <w:tc>
          <w:tcPr>
            <w:tcW w:w="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600" w:type="dxa"/>
            <w:vAlign w:val="bottom"/>
            <w:gridSpan w:val="2"/>
          </w:tcPr>
          <w:p>
            <w:pPr>
              <w:jc w:val="center"/>
              <w:ind w:left="1561"/>
              <w:spacing w:after="0"/>
              <w:rPr>
                <w:sz w:val="20"/>
                <w:szCs w:val="20"/>
                <w:color w:val="auto"/>
              </w:rPr>
            </w:pPr>
            <w:r>
              <w:rPr>
                <w:rFonts w:ascii="Times New Roman" w:cs="Times New Roman" w:eastAsia="Times New Roman" w:hAnsi="Times New Roman"/>
                <w:sz w:val="20"/>
                <w:szCs w:val="20"/>
                <w:b w:val="1"/>
                <w:bCs w:val="1"/>
                <w:color w:val="auto"/>
                <w:w w:val="98"/>
              </w:rPr>
              <w:t>CONDENSED CONSOLIDATED STATEMENTS OF CASH FLOWS</w:t>
            </w:r>
          </w:p>
        </w:tc>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58"/>
        </w:trPr>
        <w:tc>
          <w:tcPr>
            <w:tcW w:w="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7180" w:type="dxa"/>
            <w:vAlign w:val="bottom"/>
          </w:tcPr>
          <w:p>
            <w:pPr>
              <w:jc w:val="center"/>
              <w:ind w:left="1961"/>
              <w:spacing w:after="0"/>
              <w:rPr>
                <w:sz w:val="20"/>
                <w:szCs w:val="20"/>
                <w:color w:val="auto"/>
              </w:rPr>
            </w:pPr>
            <w:r>
              <w:rPr>
                <w:rFonts w:ascii="Times New Roman" w:cs="Times New Roman" w:eastAsia="Times New Roman" w:hAnsi="Times New Roman"/>
                <w:sz w:val="20"/>
                <w:szCs w:val="20"/>
                <w:color w:val="auto"/>
                <w:w w:val="99"/>
              </w:rPr>
              <w:t>(Unaudited)</w:t>
            </w:r>
          </w:p>
        </w:tc>
        <w:tc>
          <w:tcPr>
            <w:tcW w:w="4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376"/>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40" w:type="dxa"/>
            <w:vAlign w:val="bottom"/>
            <w:gridSpan w:val="4"/>
          </w:tcPr>
          <w:p>
            <w:pPr>
              <w:jc w:val="right"/>
              <w:ind w:right="33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r>
      <w:tr>
        <w:trPr>
          <w:trHeight w:val="23"/>
        </w:trPr>
        <w:tc>
          <w:tcPr>
            <w:tcW w:w="20" w:type="dxa"/>
            <w:vAlign w:val="bottom"/>
          </w:tcPr>
          <w:p>
            <w:pPr>
              <w:spacing w:after="0"/>
              <w:rPr>
                <w:sz w:val="2"/>
                <w:szCs w:val="2"/>
                <w:color w:val="auto"/>
              </w:rPr>
            </w:pPr>
          </w:p>
        </w:tc>
        <w:tc>
          <w:tcPr>
            <w:tcW w:w="980" w:type="dxa"/>
            <w:vAlign w:val="bottom"/>
          </w:tcPr>
          <w:p>
            <w:pPr>
              <w:spacing w:after="0"/>
              <w:rPr>
                <w:sz w:val="2"/>
                <w:szCs w:val="2"/>
                <w:color w:val="auto"/>
              </w:rPr>
            </w:pPr>
          </w:p>
        </w:tc>
        <w:tc>
          <w:tcPr>
            <w:tcW w:w="71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69"/>
        </w:trPr>
        <w:tc>
          <w:tcPr>
            <w:tcW w:w="20" w:type="dxa"/>
            <w:vAlign w:val="bottom"/>
          </w:tcPr>
          <w:p>
            <w:pPr>
              <w:spacing w:after="0"/>
              <w:rPr>
                <w:sz w:val="14"/>
                <w:szCs w:val="14"/>
                <w:color w:val="auto"/>
              </w:rPr>
            </w:pPr>
          </w:p>
        </w:tc>
        <w:tc>
          <w:tcPr>
            <w:tcW w:w="81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thousands)</w:t>
            </w:r>
          </w:p>
        </w:tc>
        <w:tc>
          <w:tcPr>
            <w:tcW w:w="420" w:type="dxa"/>
            <w:vAlign w:val="bottom"/>
          </w:tcPr>
          <w:p>
            <w:pPr>
              <w:spacing w:after="0"/>
              <w:rPr>
                <w:sz w:val="14"/>
                <w:szCs w:val="14"/>
                <w:color w:val="auto"/>
              </w:rPr>
            </w:pPr>
          </w:p>
        </w:tc>
        <w:tc>
          <w:tcPr>
            <w:tcW w:w="108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jc w:val="right"/>
              <w:ind w:right="510"/>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4"/>
        </w:trPr>
        <w:tc>
          <w:tcPr>
            <w:tcW w:w="20" w:type="dxa"/>
            <w:vAlign w:val="bottom"/>
            <w:tcBorders>
              <w:bottom w:val="single" w:sz="8" w:color="CFF0FC"/>
            </w:tcBorders>
          </w:tcPr>
          <w:p>
            <w:pPr>
              <w:spacing w:after="0"/>
              <w:rPr>
                <w:sz w:val="2"/>
                <w:szCs w:val="2"/>
                <w:color w:val="auto"/>
              </w:rPr>
            </w:pPr>
          </w:p>
        </w:tc>
        <w:tc>
          <w:tcPr>
            <w:tcW w:w="980" w:type="dxa"/>
            <w:vAlign w:val="bottom"/>
            <w:tcBorders>
              <w:top w:val="single" w:sz="8" w:color="auto"/>
              <w:bottom w:val="single" w:sz="8" w:color="CFF0FC"/>
            </w:tcBorders>
          </w:tcPr>
          <w:p>
            <w:pPr>
              <w:spacing w:after="0"/>
              <w:rPr>
                <w:sz w:val="2"/>
                <w:szCs w:val="2"/>
                <w:color w:val="auto"/>
              </w:rPr>
            </w:pPr>
          </w:p>
        </w:tc>
        <w:tc>
          <w:tcPr>
            <w:tcW w:w="7180" w:type="dxa"/>
            <w:vAlign w:val="bottom"/>
            <w:tcBorders>
              <w:bottom w:val="single" w:sz="8" w:color="CFF0FC"/>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0"/>
        </w:trPr>
        <w:tc>
          <w:tcPr>
            <w:tcW w:w="20" w:type="dxa"/>
            <w:vAlign w:val="bottom"/>
            <w:shd w:val="clear" w:color="auto" w:fill="CFF0FC"/>
          </w:tcPr>
          <w:p>
            <w:pPr>
              <w:spacing w:after="0"/>
              <w:rPr>
                <w:sz w:val="21"/>
                <w:szCs w:val="21"/>
                <w:color w:val="auto"/>
              </w:rPr>
            </w:pPr>
          </w:p>
        </w:tc>
        <w:tc>
          <w:tcPr>
            <w:tcW w:w="81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42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r>
      <w:tr>
        <w:trPr>
          <w:trHeight w:val="263"/>
        </w:trPr>
        <w:tc>
          <w:tcPr>
            <w:tcW w:w="20" w:type="dxa"/>
            <w:vAlign w:val="bottom"/>
          </w:tcPr>
          <w:p>
            <w:pPr>
              <w:spacing w:after="0"/>
              <w:rPr>
                <w:sz w:val="22"/>
                <w:szCs w:val="22"/>
                <w:color w:val="auto"/>
              </w:rPr>
            </w:pPr>
          </w:p>
        </w:tc>
        <w:tc>
          <w:tcPr>
            <w:tcW w:w="8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w:t>
            </w: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40,388</w:t>
            </w:r>
          </w:p>
        </w:tc>
        <w:tc>
          <w:tcPr>
            <w:tcW w:w="8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46,839</w:t>
            </w:r>
          </w:p>
        </w:tc>
      </w:tr>
      <w:tr>
        <w:trPr>
          <w:trHeight w:val="277"/>
        </w:trPr>
        <w:tc>
          <w:tcPr>
            <w:tcW w:w="20" w:type="dxa"/>
            <w:vAlign w:val="bottom"/>
            <w:shd w:val="clear" w:color="auto" w:fill="CFF0FC"/>
          </w:tcPr>
          <w:p>
            <w:pPr>
              <w:spacing w:after="0"/>
              <w:rPr>
                <w:sz w:val="24"/>
                <w:szCs w:val="24"/>
                <w:color w:val="auto"/>
              </w:rPr>
            </w:pPr>
          </w:p>
        </w:tc>
        <w:tc>
          <w:tcPr>
            <w:tcW w:w="81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420" w:type="dxa"/>
            <w:vAlign w:val="bottom"/>
            <w:shd w:val="clear" w:color="auto" w:fill="CFF0FC"/>
          </w:tcPr>
          <w:p>
            <w:pPr>
              <w:spacing w:after="0"/>
              <w:rPr>
                <w:sz w:val="24"/>
                <w:szCs w:val="24"/>
                <w:color w:val="auto"/>
              </w:rPr>
            </w:pPr>
          </w:p>
        </w:tc>
        <w:tc>
          <w:tcPr>
            <w:tcW w:w="1080" w:type="dxa"/>
            <w:vAlign w:val="bottom"/>
            <w:shd w:val="clear" w:color="auto" w:fill="CFF0FC"/>
          </w:tcPr>
          <w:p>
            <w:pPr>
              <w:spacing w:after="0"/>
              <w:rPr>
                <w:sz w:val="24"/>
                <w:szCs w:val="24"/>
                <w:color w:val="auto"/>
              </w:rPr>
            </w:pPr>
          </w:p>
        </w:tc>
        <w:tc>
          <w:tcPr>
            <w:tcW w:w="80" w:type="dxa"/>
            <w:vAlign w:val="bottom"/>
            <w:shd w:val="clear" w:color="auto" w:fill="CFF0FC"/>
          </w:tcPr>
          <w:p>
            <w:pPr>
              <w:spacing w:after="0"/>
              <w:rPr>
                <w:sz w:val="24"/>
                <w:szCs w:val="24"/>
                <w:color w:val="auto"/>
              </w:rPr>
            </w:pPr>
          </w:p>
        </w:tc>
        <w:tc>
          <w:tcPr>
            <w:tcW w:w="260" w:type="dxa"/>
            <w:vAlign w:val="bottom"/>
            <w:shd w:val="clear" w:color="auto" w:fill="CFF0FC"/>
          </w:tcPr>
          <w:p>
            <w:pPr>
              <w:spacing w:after="0"/>
              <w:rPr>
                <w:sz w:val="24"/>
                <w:szCs w:val="24"/>
                <w:color w:val="auto"/>
              </w:rPr>
            </w:pPr>
          </w:p>
        </w:tc>
        <w:tc>
          <w:tcPr>
            <w:tcW w:w="1220" w:type="dxa"/>
            <w:vAlign w:val="bottom"/>
            <w:shd w:val="clear" w:color="auto" w:fill="CFF0FC"/>
          </w:tcPr>
          <w:p>
            <w:pPr>
              <w:spacing w:after="0"/>
              <w:rPr>
                <w:sz w:val="24"/>
                <w:szCs w:val="24"/>
                <w:color w:val="auto"/>
              </w:rPr>
            </w:pPr>
          </w:p>
        </w:tc>
      </w:tr>
      <w:tr>
        <w:trPr>
          <w:trHeight w:val="263"/>
        </w:trPr>
        <w:tc>
          <w:tcPr>
            <w:tcW w:w="20" w:type="dxa"/>
            <w:vAlign w:val="bottom"/>
          </w:tcPr>
          <w:p>
            <w:pPr>
              <w:spacing w:after="0"/>
              <w:rPr>
                <w:sz w:val="22"/>
                <w:szCs w:val="22"/>
                <w:color w:val="auto"/>
              </w:rPr>
            </w:pPr>
          </w:p>
        </w:tc>
        <w:tc>
          <w:tcPr>
            <w:tcW w:w="81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26,223</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28,534</w:t>
            </w:r>
          </w:p>
        </w:tc>
      </w:tr>
      <w:tr>
        <w:trPr>
          <w:trHeight w:val="277"/>
        </w:trPr>
        <w:tc>
          <w:tcPr>
            <w:tcW w:w="20" w:type="dxa"/>
            <w:vAlign w:val="bottom"/>
            <w:shd w:val="clear" w:color="auto" w:fill="CFF0FC"/>
          </w:tcPr>
          <w:p>
            <w:pPr>
              <w:spacing w:after="0"/>
              <w:rPr>
                <w:sz w:val="24"/>
                <w:szCs w:val="24"/>
                <w:color w:val="auto"/>
              </w:rPr>
            </w:pPr>
          </w:p>
        </w:tc>
        <w:tc>
          <w:tcPr>
            <w:tcW w:w="8160" w:type="dxa"/>
            <w:vAlign w:val="bottom"/>
            <w:gridSpan w:val="2"/>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Amortization of deferred financing costs and discounts</w:t>
            </w:r>
          </w:p>
        </w:tc>
        <w:tc>
          <w:tcPr>
            <w:tcW w:w="420" w:type="dxa"/>
            <w:vAlign w:val="bottom"/>
            <w:shd w:val="clear" w:color="auto" w:fill="CFF0FC"/>
          </w:tcPr>
          <w:p>
            <w:pPr>
              <w:spacing w:after="0"/>
              <w:rPr>
                <w:sz w:val="24"/>
                <w:szCs w:val="24"/>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80" w:type="dxa"/>
            <w:vAlign w:val="bottom"/>
            <w:shd w:val="clear" w:color="auto" w:fill="CFF0FC"/>
          </w:tcPr>
          <w:p>
            <w:pPr>
              <w:spacing w:after="0"/>
              <w:rPr>
                <w:sz w:val="24"/>
                <w:szCs w:val="24"/>
                <w:color w:val="auto"/>
              </w:rPr>
            </w:pPr>
          </w:p>
        </w:tc>
        <w:tc>
          <w:tcPr>
            <w:tcW w:w="260" w:type="dxa"/>
            <w:vAlign w:val="bottom"/>
            <w:shd w:val="clear" w:color="auto" w:fill="CFF0FC"/>
          </w:tcPr>
          <w:p>
            <w:pPr>
              <w:spacing w:after="0"/>
              <w:rPr>
                <w:sz w:val="24"/>
                <w:szCs w:val="24"/>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953</w:t>
            </w:r>
          </w:p>
        </w:tc>
      </w:tr>
      <w:tr>
        <w:trPr>
          <w:trHeight w:val="263"/>
        </w:trPr>
        <w:tc>
          <w:tcPr>
            <w:tcW w:w="20" w:type="dxa"/>
            <w:vAlign w:val="bottom"/>
          </w:tcPr>
          <w:p>
            <w:pPr>
              <w:spacing w:after="0"/>
              <w:rPr>
                <w:sz w:val="22"/>
                <w:szCs w:val="22"/>
                <w:color w:val="auto"/>
              </w:rPr>
            </w:pPr>
          </w:p>
        </w:tc>
        <w:tc>
          <w:tcPr>
            <w:tcW w:w="81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420" w:type="dxa"/>
            <w:vAlign w:val="bottom"/>
          </w:tcPr>
          <w:p>
            <w:pPr>
              <w:spacing w:after="0"/>
              <w:rPr>
                <w:sz w:val="22"/>
                <w:szCs w:val="22"/>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77"/>
        </w:trPr>
        <w:tc>
          <w:tcPr>
            <w:tcW w:w="20" w:type="dxa"/>
            <w:vAlign w:val="bottom"/>
            <w:shd w:val="clear" w:color="auto" w:fill="CFF0FC"/>
          </w:tcPr>
          <w:p>
            <w:pPr>
              <w:spacing w:after="0"/>
              <w:rPr>
                <w:sz w:val="24"/>
                <w:szCs w:val="24"/>
                <w:color w:val="auto"/>
              </w:rPr>
            </w:pPr>
          </w:p>
        </w:tc>
        <w:tc>
          <w:tcPr>
            <w:tcW w:w="8160" w:type="dxa"/>
            <w:vAlign w:val="bottom"/>
            <w:gridSpan w:val="2"/>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Unrealized loss on remeasurement of share-based proceeds</w:t>
            </w:r>
          </w:p>
        </w:tc>
        <w:tc>
          <w:tcPr>
            <w:tcW w:w="420" w:type="dxa"/>
            <w:vAlign w:val="bottom"/>
            <w:shd w:val="clear" w:color="auto" w:fill="CFF0FC"/>
          </w:tcPr>
          <w:p>
            <w:pPr>
              <w:spacing w:after="0"/>
              <w:rPr>
                <w:sz w:val="24"/>
                <w:szCs w:val="24"/>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819</w:t>
            </w:r>
          </w:p>
        </w:tc>
        <w:tc>
          <w:tcPr>
            <w:tcW w:w="80" w:type="dxa"/>
            <w:vAlign w:val="bottom"/>
            <w:shd w:val="clear" w:color="auto" w:fill="CFF0FC"/>
          </w:tcPr>
          <w:p>
            <w:pPr>
              <w:spacing w:after="0"/>
              <w:rPr>
                <w:sz w:val="24"/>
                <w:szCs w:val="24"/>
                <w:color w:val="auto"/>
              </w:rPr>
            </w:pPr>
          </w:p>
        </w:tc>
        <w:tc>
          <w:tcPr>
            <w:tcW w:w="260" w:type="dxa"/>
            <w:vAlign w:val="bottom"/>
            <w:shd w:val="clear" w:color="auto" w:fill="CFF0FC"/>
          </w:tcPr>
          <w:p>
            <w:pPr>
              <w:spacing w:after="0"/>
              <w:rPr>
                <w:sz w:val="24"/>
                <w:szCs w:val="24"/>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20" w:type="dxa"/>
            <w:vAlign w:val="bottom"/>
          </w:tcPr>
          <w:p>
            <w:pPr>
              <w:spacing w:after="0"/>
              <w:rPr>
                <w:sz w:val="22"/>
                <w:szCs w:val="22"/>
                <w:color w:val="auto"/>
              </w:rPr>
            </w:pPr>
          </w:p>
        </w:tc>
        <w:tc>
          <w:tcPr>
            <w:tcW w:w="81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Credit loss expense</w:t>
            </w:r>
          </w:p>
        </w:tc>
        <w:tc>
          <w:tcPr>
            <w:tcW w:w="4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6,626</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4,521</w:t>
            </w:r>
          </w:p>
        </w:tc>
      </w:tr>
      <w:tr>
        <w:trPr>
          <w:trHeight w:val="277"/>
        </w:trPr>
        <w:tc>
          <w:tcPr>
            <w:tcW w:w="20" w:type="dxa"/>
            <w:vAlign w:val="bottom"/>
            <w:shd w:val="clear" w:color="auto" w:fill="CFF0FC"/>
          </w:tcPr>
          <w:p>
            <w:pPr>
              <w:spacing w:after="0"/>
              <w:rPr>
                <w:sz w:val="24"/>
                <w:szCs w:val="24"/>
                <w:color w:val="auto"/>
              </w:rPr>
            </w:pPr>
          </w:p>
        </w:tc>
        <w:tc>
          <w:tcPr>
            <w:tcW w:w="8160" w:type="dxa"/>
            <w:vAlign w:val="bottom"/>
            <w:gridSpan w:val="2"/>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Deferred income taxes</w:t>
            </w:r>
          </w:p>
        </w:tc>
        <w:tc>
          <w:tcPr>
            <w:tcW w:w="420" w:type="dxa"/>
            <w:vAlign w:val="bottom"/>
            <w:shd w:val="clear" w:color="auto" w:fill="CFF0FC"/>
          </w:tcPr>
          <w:p>
            <w:pPr>
              <w:spacing w:after="0"/>
              <w:rPr>
                <w:sz w:val="24"/>
                <w:szCs w:val="24"/>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5,016</w:t>
            </w:r>
          </w:p>
        </w:tc>
        <w:tc>
          <w:tcPr>
            <w:tcW w:w="80" w:type="dxa"/>
            <w:vAlign w:val="bottom"/>
            <w:shd w:val="clear" w:color="auto" w:fill="CFF0FC"/>
          </w:tcPr>
          <w:p>
            <w:pPr>
              <w:spacing w:after="0"/>
              <w:rPr>
                <w:sz w:val="24"/>
                <w:szCs w:val="24"/>
                <w:color w:val="auto"/>
              </w:rPr>
            </w:pPr>
          </w:p>
        </w:tc>
        <w:tc>
          <w:tcPr>
            <w:tcW w:w="260" w:type="dxa"/>
            <w:vAlign w:val="bottom"/>
            <w:shd w:val="clear" w:color="auto" w:fill="CFF0FC"/>
          </w:tcPr>
          <w:p>
            <w:pPr>
              <w:spacing w:after="0"/>
              <w:rPr>
                <w:sz w:val="24"/>
                <w:szCs w:val="24"/>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9,173</w:t>
            </w:r>
          </w:p>
        </w:tc>
      </w:tr>
      <w:tr>
        <w:trPr>
          <w:trHeight w:val="263"/>
        </w:trPr>
        <w:tc>
          <w:tcPr>
            <w:tcW w:w="20" w:type="dxa"/>
            <w:vAlign w:val="bottom"/>
          </w:tcPr>
          <w:p>
            <w:pPr>
              <w:spacing w:after="0"/>
              <w:rPr>
                <w:sz w:val="22"/>
                <w:szCs w:val="22"/>
                <w:color w:val="auto"/>
              </w:rPr>
            </w:pPr>
          </w:p>
        </w:tc>
        <w:tc>
          <w:tcPr>
            <w:tcW w:w="81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Stock-based compensation</w:t>
            </w:r>
          </w:p>
        </w:tc>
        <w:tc>
          <w:tcPr>
            <w:tcW w:w="4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4,961</w:t>
            </w:r>
          </w:p>
        </w:tc>
      </w:tr>
      <w:tr>
        <w:trPr>
          <w:trHeight w:val="277"/>
        </w:trPr>
        <w:tc>
          <w:tcPr>
            <w:tcW w:w="20" w:type="dxa"/>
            <w:vAlign w:val="bottom"/>
            <w:shd w:val="clear" w:color="auto" w:fill="CFF0FC"/>
          </w:tcPr>
          <w:p>
            <w:pPr>
              <w:spacing w:after="0"/>
              <w:rPr>
                <w:sz w:val="24"/>
                <w:szCs w:val="24"/>
                <w:color w:val="auto"/>
              </w:rPr>
            </w:pPr>
          </w:p>
        </w:tc>
        <w:tc>
          <w:tcPr>
            <w:tcW w:w="8160" w:type="dxa"/>
            <w:vAlign w:val="bottom"/>
            <w:gridSpan w:val="2"/>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Uncertain tax position reserve release</w:t>
            </w:r>
          </w:p>
        </w:tc>
        <w:tc>
          <w:tcPr>
            <w:tcW w:w="420" w:type="dxa"/>
            <w:vAlign w:val="bottom"/>
            <w:shd w:val="clear" w:color="auto" w:fill="CFF0FC"/>
          </w:tcPr>
          <w:p>
            <w:pPr>
              <w:spacing w:after="0"/>
              <w:rPr>
                <w:sz w:val="24"/>
                <w:szCs w:val="24"/>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(4,008)</w:t>
            </w:r>
          </w:p>
        </w:tc>
        <w:tc>
          <w:tcPr>
            <w:tcW w:w="80" w:type="dxa"/>
            <w:vAlign w:val="bottom"/>
            <w:shd w:val="clear" w:color="auto" w:fill="CFF0FC"/>
          </w:tcPr>
          <w:p>
            <w:pPr>
              <w:spacing w:after="0"/>
              <w:rPr>
                <w:sz w:val="24"/>
                <w:szCs w:val="24"/>
                <w:color w:val="auto"/>
              </w:rPr>
            </w:pPr>
          </w:p>
        </w:tc>
        <w:tc>
          <w:tcPr>
            <w:tcW w:w="260" w:type="dxa"/>
            <w:vAlign w:val="bottom"/>
            <w:shd w:val="clear" w:color="auto" w:fill="CFF0FC"/>
          </w:tcPr>
          <w:p>
            <w:pPr>
              <w:spacing w:after="0"/>
              <w:rPr>
                <w:sz w:val="24"/>
                <w:szCs w:val="24"/>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20" w:type="dxa"/>
            <w:vAlign w:val="bottom"/>
          </w:tcPr>
          <w:p>
            <w:pPr>
              <w:spacing w:after="0"/>
              <w:rPr>
                <w:sz w:val="22"/>
                <w:szCs w:val="22"/>
                <w:color w:val="auto"/>
              </w:rPr>
            </w:pPr>
          </w:p>
        </w:tc>
        <w:tc>
          <w:tcPr>
            <w:tcW w:w="81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4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819</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w:t>
            </w:r>
          </w:p>
        </w:tc>
      </w:tr>
      <w:tr>
        <w:trPr>
          <w:trHeight w:val="277"/>
        </w:trPr>
        <w:tc>
          <w:tcPr>
            <w:tcW w:w="20" w:type="dxa"/>
            <w:vAlign w:val="bottom"/>
            <w:shd w:val="clear" w:color="auto" w:fill="CFF0FC"/>
          </w:tcPr>
          <w:p>
            <w:pPr>
              <w:spacing w:after="0"/>
              <w:rPr>
                <w:sz w:val="24"/>
                <w:szCs w:val="24"/>
                <w:color w:val="auto"/>
              </w:rPr>
            </w:pPr>
          </w:p>
        </w:tc>
        <w:tc>
          <w:tcPr>
            <w:tcW w:w="81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420" w:type="dxa"/>
            <w:vAlign w:val="bottom"/>
            <w:shd w:val="clear" w:color="auto" w:fill="CFF0FC"/>
          </w:tcPr>
          <w:p>
            <w:pPr>
              <w:spacing w:after="0"/>
              <w:rPr>
                <w:sz w:val="24"/>
                <w:szCs w:val="24"/>
                <w:color w:val="auto"/>
              </w:rPr>
            </w:pPr>
          </w:p>
        </w:tc>
        <w:tc>
          <w:tcPr>
            <w:tcW w:w="1080" w:type="dxa"/>
            <w:vAlign w:val="bottom"/>
            <w:shd w:val="clear" w:color="auto" w:fill="CFF0FC"/>
          </w:tcPr>
          <w:p>
            <w:pPr>
              <w:spacing w:after="0"/>
              <w:rPr>
                <w:sz w:val="24"/>
                <w:szCs w:val="24"/>
                <w:color w:val="auto"/>
              </w:rPr>
            </w:pPr>
          </w:p>
        </w:tc>
        <w:tc>
          <w:tcPr>
            <w:tcW w:w="80" w:type="dxa"/>
            <w:vAlign w:val="bottom"/>
            <w:shd w:val="clear" w:color="auto" w:fill="CFF0FC"/>
          </w:tcPr>
          <w:p>
            <w:pPr>
              <w:spacing w:after="0"/>
              <w:rPr>
                <w:sz w:val="24"/>
                <w:szCs w:val="24"/>
                <w:color w:val="auto"/>
              </w:rPr>
            </w:pPr>
          </w:p>
        </w:tc>
        <w:tc>
          <w:tcPr>
            <w:tcW w:w="260" w:type="dxa"/>
            <w:vAlign w:val="bottom"/>
            <w:shd w:val="clear" w:color="auto" w:fill="CFF0FC"/>
          </w:tcPr>
          <w:p>
            <w:pPr>
              <w:spacing w:after="0"/>
              <w:rPr>
                <w:sz w:val="24"/>
                <w:szCs w:val="24"/>
                <w:color w:val="auto"/>
              </w:rPr>
            </w:pPr>
          </w:p>
        </w:tc>
        <w:tc>
          <w:tcPr>
            <w:tcW w:w="1220" w:type="dxa"/>
            <w:vAlign w:val="bottom"/>
            <w:shd w:val="clear" w:color="auto" w:fill="CFF0FC"/>
          </w:tcPr>
          <w:p>
            <w:pPr>
              <w:spacing w:after="0"/>
              <w:rPr>
                <w:sz w:val="24"/>
                <w:szCs w:val="24"/>
                <w:color w:val="auto"/>
              </w:rPr>
            </w:pPr>
          </w:p>
        </w:tc>
      </w:tr>
      <w:tr>
        <w:trPr>
          <w:trHeight w:val="263"/>
        </w:trPr>
        <w:tc>
          <w:tcPr>
            <w:tcW w:w="20" w:type="dxa"/>
            <w:vAlign w:val="bottom"/>
          </w:tcPr>
          <w:p>
            <w:pPr>
              <w:spacing w:after="0"/>
              <w:rPr>
                <w:sz w:val="22"/>
                <w:szCs w:val="22"/>
                <w:color w:val="auto"/>
              </w:rPr>
            </w:pPr>
          </w:p>
        </w:tc>
        <w:tc>
          <w:tcPr>
            <w:tcW w:w="81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Accounts receivable</w:t>
            </w:r>
          </w:p>
        </w:tc>
        <w:tc>
          <w:tcPr>
            <w:tcW w:w="4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60,500</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(15,961)</w:t>
            </w:r>
          </w:p>
        </w:tc>
      </w:tr>
      <w:tr>
        <w:trPr>
          <w:trHeight w:val="277"/>
        </w:trPr>
        <w:tc>
          <w:tcPr>
            <w:tcW w:w="20" w:type="dxa"/>
            <w:vAlign w:val="bottom"/>
            <w:shd w:val="clear" w:color="auto" w:fill="CFF0FC"/>
          </w:tcPr>
          <w:p>
            <w:pPr>
              <w:spacing w:after="0"/>
              <w:rPr>
                <w:sz w:val="24"/>
                <w:szCs w:val="24"/>
                <w:color w:val="auto"/>
              </w:rPr>
            </w:pPr>
          </w:p>
        </w:tc>
        <w:tc>
          <w:tcPr>
            <w:tcW w:w="8160" w:type="dxa"/>
            <w:vAlign w:val="bottom"/>
            <w:gridSpan w:val="2"/>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Unbilled receivables</w:t>
            </w:r>
          </w:p>
        </w:tc>
        <w:tc>
          <w:tcPr>
            <w:tcW w:w="420" w:type="dxa"/>
            <w:vAlign w:val="bottom"/>
            <w:shd w:val="clear" w:color="auto" w:fill="CFF0FC"/>
          </w:tcPr>
          <w:p>
            <w:pPr>
              <w:spacing w:after="0"/>
              <w:rPr>
                <w:sz w:val="24"/>
                <w:szCs w:val="24"/>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(11,398)</w:t>
            </w:r>
          </w:p>
        </w:tc>
        <w:tc>
          <w:tcPr>
            <w:tcW w:w="80" w:type="dxa"/>
            <w:vAlign w:val="bottom"/>
            <w:shd w:val="clear" w:color="auto" w:fill="CFF0FC"/>
          </w:tcPr>
          <w:p>
            <w:pPr>
              <w:spacing w:after="0"/>
              <w:rPr>
                <w:sz w:val="24"/>
                <w:szCs w:val="24"/>
                <w:color w:val="auto"/>
              </w:rPr>
            </w:pPr>
          </w:p>
        </w:tc>
        <w:tc>
          <w:tcPr>
            <w:tcW w:w="260" w:type="dxa"/>
            <w:vAlign w:val="bottom"/>
            <w:shd w:val="clear" w:color="auto" w:fill="CFF0FC"/>
          </w:tcPr>
          <w:p>
            <w:pPr>
              <w:spacing w:after="0"/>
              <w:rPr>
                <w:sz w:val="24"/>
                <w:szCs w:val="24"/>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(7,731)</w:t>
            </w:r>
          </w:p>
        </w:tc>
      </w:tr>
      <w:tr>
        <w:trPr>
          <w:trHeight w:val="263"/>
        </w:trPr>
        <w:tc>
          <w:tcPr>
            <w:tcW w:w="20" w:type="dxa"/>
            <w:vAlign w:val="bottom"/>
          </w:tcPr>
          <w:p>
            <w:pPr>
              <w:spacing w:after="0"/>
              <w:rPr>
                <w:sz w:val="22"/>
                <w:szCs w:val="22"/>
                <w:color w:val="auto"/>
              </w:rPr>
            </w:pPr>
          </w:p>
        </w:tc>
        <w:tc>
          <w:tcPr>
            <w:tcW w:w="81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Inventory</w:t>
            </w:r>
          </w:p>
        </w:tc>
        <w:tc>
          <w:tcPr>
            <w:tcW w:w="4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(5,529)</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3,580</w:t>
            </w:r>
          </w:p>
        </w:tc>
      </w:tr>
      <w:tr>
        <w:trPr>
          <w:trHeight w:val="277"/>
        </w:trPr>
        <w:tc>
          <w:tcPr>
            <w:tcW w:w="20" w:type="dxa"/>
            <w:vAlign w:val="bottom"/>
            <w:shd w:val="clear" w:color="auto" w:fill="CFF0FC"/>
          </w:tcPr>
          <w:p>
            <w:pPr>
              <w:spacing w:after="0"/>
              <w:rPr>
                <w:sz w:val="24"/>
                <w:szCs w:val="24"/>
                <w:color w:val="auto"/>
              </w:rPr>
            </w:pPr>
          </w:p>
        </w:tc>
        <w:tc>
          <w:tcPr>
            <w:tcW w:w="8160" w:type="dxa"/>
            <w:vAlign w:val="bottom"/>
            <w:gridSpan w:val="2"/>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420" w:type="dxa"/>
            <w:vAlign w:val="bottom"/>
            <w:shd w:val="clear" w:color="auto" w:fill="CFF0FC"/>
          </w:tcPr>
          <w:p>
            <w:pPr>
              <w:spacing w:after="0"/>
              <w:rPr>
                <w:sz w:val="24"/>
                <w:szCs w:val="24"/>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(2,977)</w:t>
            </w:r>
          </w:p>
        </w:tc>
        <w:tc>
          <w:tcPr>
            <w:tcW w:w="80" w:type="dxa"/>
            <w:vAlign w:val="bottom"/>
            <w:shd w:val="clear" w:color="auto" w:fill="CFF0FC"/>
          </w:tcPr>
          <w:p>
            <w:pPr>
              <w:spacing w:after="0"/>
              <w:rPr>
                <w:sz w:val="24"/>
                <w:szCs w:val="24"/>
                <w:color w:val="auto"/>
              </w:rPr>
            </w:pPr>
          </w:p>
        </w:tc>
        <w:tc>
          <w:tcPr>
            <w:tcW w:w="260" w:type="dxa"/>
            <w:vAlign w:val="bottom"/>
            <w:shd w:val="clear" w:color="auto" w:fill="CFF0FC"/>
          </w:tcPr>
          <w:p>
            <w:pPr>
              <w:spacing w:after="0"/>
              <w:rPr>
                <w:sz w:val="24"/>
                <w:szCs w:val="24"/>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(11,119)</w:t>
            </w:r>
          </w:p>
        </w:tc>
      </w:tr>
      <w:tr>
        <w:trPr>
          <w:trHeight w:val="263"/>
        </w:trPr>
        <w:tc>
          <w:tcPr>
            <w:tcW w:w="20" w:type="dxa"/>
            <w:vAlign w:val="bottom"/>
          </w:tcPr>
          <w:p>
            <w:pPr>
              <w:spacing w:after="0"/>
              <w:rPr>
                <w:sz w:val="22"/>
                <w:szCs w:val="22"/>
                <w:color w:val="auto"/>
              </w:rPr>
            </w:pPr>
          </w:p>
        </w:tc>
        <w:tc>
          <w:tcPr>
            <w:tcW w:w="81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Deferred revenue</w:t>
            </w:r>
          </w:p>
        </w:tc>
        <w:tc>
          <w:tcPr>
            <w:tcW w:w="4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7,137</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w:t>
            </w:r>
          </w:p>
        </w:tc>
      </w:tr>
      <w:tr>
        <w:trPr>
          <w:trHeight w:val="277"/>
        </w:trPr>
        <w:tc>
          <w:tcPr>
            <w:tcW w:w="20" w:type="dxa"/>
            <w:vAlign w:val="bottom"/>
            <w:shd w:val="clear" w:color="auto" w:fill="CFF0FC"/>
          </w:tcPr>
          <w:p>
            <w:pPr>
              <w:spacing w:after="0"/>
              <w:rPr>
                <w:sz w:val="24"/>
                <w:szCs w:val="24"/>
                <w:color w:val="auto"/>
              </w:rPr>
            </w:pPr>
          </w:p>
        </w:tc>
        <w:tc>
          <w:tcPr>
            <w:tcW w:w="8160" w:type="dxa"/>
            <w:vAlign w:val="bottom"/>
            <w:gridSpan w:val="2"/>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Accounts payable and other current liabilities</w:t>
            </w:r>
          </w:p>
        </w:tc>
        <w:tc>
          <w:tcPr>
            <w:tcW w:w="420" w:type="dxa"/>
            <w:vAlign w:val="bottom"/>
            <w:shd w:val="clear" w:color="auto" w:fill="CFF0FC"/>
          </w:tcPr>
          <w:p>
            <w:pPr>
              <w:spacing w:after="0"/>
              <w:rPr>
                <w:sz w:val="24"/>
                <w:szCs w:val="24"/>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(13,973)</w:t>
            </w:r>
          </w:p>
        </w:tc>
        <w:tc>
          <w:tcPr>
            <w:tcW w:w="80" w:type="dxa"/>
            <w:vAlign w:val="bottom"/>
            <w:shd w:val="clear" w:color="auto" w:fill="CFF0FC"/>
          </w:tcPr>
          <w:p>
            <w:pPr>
              <w:spacing w:after="0"/>
              <w:rPr>
                <w:sz w:val="24"/>
                <w:szCs w:val="24"/>
                <w:color w:val="auto"/>
              </w:rPr>
            </w:pPr>
          </w:p>
        </w:tc>
        <w:tc>
          <w:tcPr>
            <w:tcW w:w="260" w:type="dxa"/>
            <w:vAlign w:val="bottom"/>
            <w:shd w:val="clear" w:color="auto" w:fill="CFF0FC"/>
          </w:tcPr>
          <w:p>
            <w:pPr>
              <w:spacing w:after="0"/>
              <w:rPr>
                <w:sz w:val="24"/>
                <w:szCs w:val="24"/>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20,385</w:t>
            </w:r>
          </w:p>
        </w:tc>
      </w:tr>
      <w:tr>
        <w:trPr>
          <w:trHeight w:val="264"/>
        </w:trPr>
        <w:tc>
          <w:tcPr>
            <w:tcW w:w="20" w:type="dxa"/>
            <w:vAlign w:val="bottom"/>
            <w:tcBorders>
              <w:bottom w:val="single" w:sz="8" w:color="CFF0FC"/>
            </w:tcBorders>
          </w:tcPr>
          <w:p>
            <w:pPr>
              <w:spacing w:after="0"/>
              <w:rPr>
                <w:sz w:val="22"/>
                <w:szCs w:val="22"/>
                <w:color w:val="auto"/>
              </w:rPr>
            </w:pPr>
          </w:p>
        </w:tc>
        <w:tc>
          <w:tcPr>
            <w:tcW w:w="8160" w:type="dxa"/>
            <w:vAlign w:val="bottom"/>
            <w:tcBorders>
              <w:bottom w:val="single" w:sz="8" w:color="CFF0FC"/>
            </w:tcBorders>
            <w:gridSpan w:val="2"/>
          </w:tcPr>
          <w:p>
            <w:pPr>
              <w:ind w:left="340"/>
              <w:spacing w:after="0"/>
              <w:rPr>
                <w:sz w:val="20"/>
                <w:szCs w:val="20"/>
                <w:color w:val="auto"/>
              </w:rPr>
            </w:pPr>
            <w:r>
              <w:rPr>
                <w:rFonts w:ascii="Times New Roman" w:cs="Times New Roman" w:eastAsia="Times New Roman" w:hAnsi="Times New Roman"/>
                <w:sz w:val="18"/>
                <w:szCs w:val="18"/>
                <w:color w:val="auto"/>
              </w:rPr>
              <w:t>Other liabilities</w:t>
            </w:r>
          </w:p>
        </w:tc>
        <w:tc>
          <w:tcPr>
            <w:tcW w:w="4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3,618</w:t>
            </w:r>
          </w:p>
        </w:tc>
        <w:tc>
          <w:tcPr>
            <w:tcW w:w="80" w:type="dxa"/>
            <w:vAlign w:val="bottom"/>
            <w:tcBorders>
              <w:bottom w:val="single" w:sz="8" w:color="CFF0FC"/>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(6,869)</w:t>
            </w:r>
          </w:p>
        </w:tc>
      </w:tr>
      <w:tr>
        <w:trPr>
          <w:trHeight w:val="270"/>
        </w:trPr>
        <w:tc>
          <w:tcPr>
            <w:tcW w:w="20" w:type="dxa"/>
            <w:vAlign w:val="bottom"/>
            <w:shd w:val="clear" w:color="auto" w:fill="CFF0FC"/>
          </w:tcPr>
          <w:p>
            <w:pPr>
              <w:spacing w:after="0"/>
              <w:rPr>
                <w:sz w:val="23"/>
                <w:szCs w:val="23"/>
                <w:color w:val="auto"/>
              </w:rPr>
            </w:pPr>
          </w:p>
        </w:tc>
        <w:tc>
          <w:tcPr>
            <w:tcW w:w="81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420" w:type="dxa"/>
            <w:vAlign w:val="bottom"/>
            <w:shd w:val="clear" w:color="auto" w:fill="CFF0FC"/>
          </w:tcPr>
          <w:p>
            <w:pPr>
              <w:spacing w:after="0"/>
              <w:rPr>
                <w:sz w:val="23"/>
                <w:szCs w:val="23"/>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114,529</w:t>
            </w:r>
          </w:p>
        </w:tc>
        <w:tc>
          <w:tcPr>
            <w:tcW w:w="80" w:type="dxa"/>
            <w:vAlign w:val="bottom"/>
            <w:shd w:val="clear" w:color="auto" w:fill="CFF0FC"/>
          </w:tcPr>
          <w:p>
            <w:pPr>
              <w:spacing w:after="0"/>
              <w:rPr>
                <w:sz w:val="23"/>
                <w:szCs w:val="23"/>
                <w:color w:val="auto"/>
              </w:rPr>
            </w:pPr>
          </w:p>
        </w:tc>
        <w:tc>
          <w:tcPr>
            <w:tcW w:w="260" w:type="dxa"/>
            <w:vAlign w:val="bottom"/>
            <w:shd w:val="clear" w:color="auto" w:fill="CFF0FC"/>
          </w:tcPr>
          <w:p>
            <w:pPr>
              <w:spacing w:after="0"/>
              <w:rPr>
                <w:sz w:val="23"/>
                <w:szCs w:val="23"/>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77,715</w:t>
            </w:r>
          </w:p>
        </w:tc>
      </w:tr>
      <w:tr>
        <w:trPr>
          <w:trHeight w:val="263"/>
        </w:trPr>
        <w:tc>
          <w:tcPr>
            <w:tcW w:w="20" w:type="dxa"/>
            <w:vAlign w:val="bottom"/>
          </w:tcPr>
          <w:p>
            <w:pPr>
              <w:spacing w:after="0"/>
              <w:rPr>
                <w:sz w:val="22"/>
                <w:szCs w:val="22"/>
                <w:color w:val="auto"/>
              </w:rPr>
            </w:pPr>
          </w:p>
        </w:tc>
        <w:tc>
          <w:tcPr>
            <w:tcW w:w="8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4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77"/>
        </w:trPr>
        <w:tc>
          <w:tcPr>
            <w:tcW w:w="20" w:type="dxa"/>
            <w:vAlign w:val="bottom"/>
            <w:shd w:val="clear" w:color="auto" w:fill="CFF0FC"/>
          </w:tcPr>
          <w:p>
            <w:pPr>
              <w:spacing w:after="0"/>
              <w:rPr>
                <w:sz w:val="24"/>
                <w:szCs w:val="24"/>
                <w:color w:val="auto"/>
              </w:rPr>
            </w:pPr>
          </w:p>
        </w:tc>
        <w:tc>
          <w:tcPr>
            <w:tcW w:w="8160" w:type="dxa"/>
            <w:vAlign w:val="bottom"/>
            <w:gridSpan w:val="2"/>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Purchases of installation and service parts and property and equipment</w:t>
            </w:r>
          </w:p>
        </w:tc>
        <w:tc>
          <w:tcPr>
            <w:tcW w:w="420" w:type="dxa"/>
            <w:vAlign w:val="bottom"/>
            <w:shd w:val="clear" w:color="auto" w:fill="CFF0FC"/>
          </w:tcPr>
          <w:p>
            <w:pPr>
              <w:spacing w:after="0"/>
              <w:rPr>
                <w:sz w:val="24"/>
                <w:szCs w:val="24"/>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(25,117)</w:t>
            </w:r>
          </w:p>
        </w:tc>
        <w:tc>
          <w:tcPr>
            <w:tcW w:w="80" w:type="dxa"/>
            <w:vAlign w:val="bottom"/>
            <w:shd w:val="clear" w:color="auto" w:fill="CFF0FC"/>
          </w:tcPr>
          <w:p>
            <w:pPr>
              <w:spacing w:after="0"/>
              <w:rPr>
                <w:sz w:val="24"/>
                <w:szCs w:val="24"/>
                <w:color w:val="auto"/>
              </w:rPr>
            </w:pPr>
          </w:p>
        </w:tc>
        <w:tc>
          <w:tcPr>
            <w:tcW w:w="260" w:type="dxa"/>
            <w:vAlign w:val="bottom"/>
            <w:shd w:val="clear" w:color="auto" w:fill="CFF0FC"/>
          </w:tcPr>
          <w:p>
            <w:pPr>
              <w:spacing w:after="0"/>
              <w:rPr>
                <w:sz w:val="24"/>
                <w:szCs w:val="24"/>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(28,750)</w:t>
            </w:r>
          </w:p>
        </w:tc>
      </w:tr>
      <w:tr>
        <w:trPr>
          <w:trHeight w:val="264"/>
        </w:trPr>
        <w:tc>
          <w:tcPr>
            <w:tcW w:w="20" w:type="dxa"/>
            <w:vAlign w:val="bottom"/>
            <w:tcBorders>
              <w:bottom w:val="single" w:sz="8" w:color="CFF0FC"/>
            </w:tcBorders>
          </w:tcPr>
          <w:p>
            <w:pPr>
              <w:spacing w:after="0"/>
              <w:rPr>
                <w:sz w:val="22"/>
                <w:szCs w:val="22"/>
                <w:color w:val="auto"/>
              </w:rPr>
            </w:pPr>
          </w:p>
        </w:tc>
        <w:tc>
          <w:tcPr>
            <w:tcW w:w="8160" w:type="dxa"/>
            <w:vAlign w:val="bottom"/>
            <w:tcBorders>
              <w:bottom w:val="single" w:sz="8" w:color="CFF0FC"/>
            </w:tcBorders>
            <w:gridSpan w:val="2"/>
          </w:tcPr>
          <w:p>
            <w:pPr>
              <w:ind w:left="340"/>
              <w:spacing w:after="0"/>
              <w:rPr>
                <w:sz w:val="20"/>
                <w:szCs w:val="20"/>
                <w:color w:val="auto"/>
              </w:rPr>
            </w:pPr>
            <w:r>
              <w:rPr>
                <w:rFonts w:ascii="Times New Roman" w:cs="Times New Roman" w:eastAsia="Times New Roman" w:hAnsi="Times New Roman"/>
                <w:sz w:val="18"/>
                <w:szCs w:val="18"/>
                <w:color w:val="auto"/>
              </w:rPr>
              <w:t>Cash proceeds from the sale of assets</w:t>
            </w:r>
          </w:p>
        </w:tc>
        <w:tc>
          <w:tcPr>
            <w:tcW w:w="4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80" w:type="dxa"/>
            <w:vAlign w:val="bottom"/>
            <w:tcBorders>
              <w:bottom w:val="single" w:sz="8" w:color="CFF0FC"/>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w:t>
            </w:r>
          </w:p>
        </w:tc>
      </w:tr>
      <w:tr>
        <w:trPr>
          <w:trHeight w:val="270"/>
        </w:trPr>
        <w:tc>
          <w:tcPr>
            <w:tcW w:w="20" w:type="dxa"/>
            <w:vAlign w:val="bottom"/>
            <w:shd w:val="clear" w:color="auto" w:fill="CFF0FC"/>
          </w:tcPr>
          <w:p>
            <w:pPr>
              <w:spacing w:after="0"/>
              <w:rPr>
                <w:sz w:val="23"/>
                <w:szCs w:val="23"/>
                <w:color w:val="auto"/>
              </w:rPr>
            </w:pPr>
          </w:p>
        </w:tc>
        <w:tc>
          <w:tcPr>
            <w:tcW w:w="81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420" w:type="dxa"/>
            <w:vAlign w:val="bottom"/>
            <w:shd w:val="clear" w:color="auto" w:fill="CFF0FC"/>
          </w:tcPr>
          <w:p>
            <w:pPr>
              <w:spacing w:after="0"/>
              <w:rPr>
                <w:sz w:val="23"/>
                <w:szCs w:val="23"/>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(24,821)</w:t>
            </w:r>
          </w:p>
        </w:tc>
        <w:tc>
          <w:tcPr>
            <w:tcW w:w="80" w:type="dxa"/>
            <w:vAlign w:val="bottom"/>
            <w:shd w:val="clear" w:color="auto" w:fill="CFF0FC"/>
          </w:tcPr>
          <w:p>
            <w:pPr>
              <w:spacing w:after="0"/>
              <w:rPr>
                <w:sz w:val="23"/>
                <w:szCs w:val="23"/>
                <w:color w:val="auto"/>
              </w:rPr>
            </w:pPr>
          </w:p>
        </w:tc>
        <w:tc>
          <w:tcPr>
            <w:tcW w:w="260" w:type="dxa"/>
            <w:vAlign w:val="bottom"/>
            <w:shd w:val="clear" w:color="auto" w:fill="CFF0FC"/>
          </w:tcPr>
          <w:p>
            <w:pPr>
              <w:spacing w:after="0"/>
              <w:rPr>
                <w:sz w:val="23"/>
                <w:szCs w:val="23"/>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(28,634)</w:t>
            </w:r>
          </w:p>
        </w:tc>
      </w:tr>
      <w:tr>
        <w:trPr>
          <w:trHeight w:val="263"/>
        </w:trPr>
        <w:tc>
          <w:tcPr>
            <w:tcW w:w="20" w:type="dxa"/>
            <w:vAlign w:val="bottom"/>
          </w:tcPr>
          <w:p>
            <w:pPr>
              <w:spacing w:after="0"/>
              <w:rPr>
                <w:sz w:val="22"/>
                <w:szCs w:val="22"/>
                <w:color w:val="auto"/>
              </w:rPr>
            </w:pPr>
          </w:p>
        </w:tc>
        <w:tc>
          <w:tcPr>
            <w:tcW w:w="8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4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77"/>
        </w:trPr>
        <w:tc>
          <w:tcPr>
            <w:tcW w:w="20" w:type="dxa"/>
            <w:vAlign w:val="bottom"/>
            <w:shd w:val="clear" w:color="auto" w:fill="CFF0FC"/>
          </w:tcPr>
          <w:p>
            <w:pPr>
              <w:spacing w:after="0"/>
              <w:rPr>
                <w:sz w:val="24"/>
                <w:szCs w:val="24"/>
                <w:color w:val="auto"/>
              </w:rPr>
            </w:pPr>
          </w:p>
        </w:tc>
        <w:tc>
          <w:tcPr>
            <w:tcW w:w="8160" w:type="dxa"/>
            <w:vAlign w:val="bottom"/>
            <w:gridSpan w:val="2"/>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Borrowings on Amended Revolver</w:t>
            </w:r>
          </w:p>
        </w:tc>
        <w:tc>
          <w:tcPr>
            <w:tcW w:w="420" w:type="dxa"/>
            <w:vAlign w:val="bottom"/>
            <w:shd w:val="clear" w:color="auto" w:fill="CFF0FC"/>
          </w:tcPr>
          <w:p>
            <w:pPr>
              <w:spacing w:after="0"/>
              <w:rPr>
                <w:sz w:val="24"/>
                <w:szCs w:val="24"/>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23,000</w:t>
            </w:r>
          </w:p>
        </w:tc>
        <w:tc>
          <w:tcPr>
            <w:tcW w:w="80" w:type="dxa"/>
            <w:vAlign w:val="bottom"/>
            <w:shd w:val="clear" w:color="auto" w:fill="CFF0FC"/>
          </w:tcPr>
          <w:p>
            <w:pPr>
              <w:spacing w:after="0"/>
              <w:rPr>
                <w:sz w:val="24"/>
                <w:szCs w:val="24"/>
                <w:color w:val="auto"/>
              </w:rPr>
            </w:pPr>
          </w:p>
        </w:tc>
        <w:tc>
          <w:tcPr>
            <w:tcW w:w="260" w:type="dxa"/>
            <w:vAlign w:val="bottom"/>
            <w:shd w:val="clear" w:color="auto" w:fill="CFF0FC"/>
          </w:tcPr>
          <w:p>
            <w:pPr>
              <w:spacing w:after="0"/>
              <w:rPr>
                <w:sz w:val="24"/>
                <w:szCs w:val="24"/>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20" w:type="dxa"/>
            <w:vAlign w:val="bottom"/>
          </w:tcPr>
          <w:p>
            <w:pPr>
              <w:spacing w:after="0"/>
              <w:rPr>
                <w:sz w:val="22"/>
                <w:szCs w:val="22"/>
                <w:color w:val="auto"/>
              </w:rPr>
            </w:pPr>
          </w:p>
        </w:tc>
        <w:tc>
          <w:tcPr>
            <w:tcW w:w="81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Repayment on Amended Revolver</w:t>
            </w:r>
          </w:p>
        </w:tc>
        <w:tc>
          <w:tcPr>
            <w:tcW w:w="4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(23,000)</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7"/>
        </w:trPr>
        <w:tc>
          <w:tcPr>
            <w:tcW w:w="20" w:type="dxa"/>
            <w:vAlign w:val="bottom"/>
            <w:shd w:val="clear" w:color="auto" w:fill="CFF0FC"/>
          </w:tcPr>
          <w:p>
            <w:pPr>
              <w:spacing w:after="0"/>
              <w:rPr>
                <w:sz w:val="24"/>
                <w:szCs w:val="24"/>
                <w:color w:val="auto"/>
              </w:rPr>
            </w:pPr>
          </w:p>
        </w:tc>
        <w:tc>
          <w:tcPr>
            <w:tcW w:w="8160" w:type="dxa"/>
            <w:vAlign w:val="bottom"/>
            <w:gridSpan w:val="2"/>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Repayment of term loan debt</w:t>
            </w:r>
          </w:p>
        </w:tc>
        <w:tc>
          <w:tcPr>
            <w:tcW w:w="420" w:type="dxa"/>
            <w:vAlign w:val="bottom"/>
            <w:shd w:val="clear" w:color="auto" w:fill="CFF0FC"/>
          </w:tcPr>
          <w:p>
            <w:pPr>
              <w:spacing w:after="0"/>
              <w:rPr>
                <w:sz w:val="24"/>
                <w:szCs w:val="24"/>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(1,722)</w:t>
            </w:r>
          </w:p>
        </w:tc>
        <w:tc>
          <w:tcPr>
            <w:tcW w:w="80" w:type="dxa"/>
            <w:vAlign w:val="bottom"/>
            <w:shd w:val="clear" w:color="auto" w:fill="CFF0FC"/>
          </w:tcPr>
          <w:p>
            <w:pPr>
              <w:spacing w:after="0"/>
              <w:rPr>
                <w:sz w:val="24"/>
                <w:szCs w:val="24"/>
                <w:color w:val="auto"/>
              </w:rPr>
            </w:pPr>
          </w:p>
        </w:tc>
        <w:tc>
          <w:tcPr>
            <w:tcW w:w="260" w:type="dxa"/>
            <w:vAlign w:val="bottom"/>
            <w:shd w:val="clear" w:color="auto" w:fill="CFF0FC"/>
          </w:tcPr>
          <w:p>
            <w:pPr>
              <w:spacing w:after="0"/>
              <w:rPr>
                <w:sz w:val="24"/>
                <w:szCs w:val="24"/>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(2,255)</w:t>
            </w:r>
          </w:p>
        </w:tc>
      </w:tr>
      <w:tr>
        <w:trPr>
          <w:trHeight w:val="263"/>
        </w:trPr>
        <w:tc>
          <w:tcPr>
            <w:tcW w:w="20" w:type="dxa"/>
            <w:vAlign w:val="bottom"/>
          </w:tcPr>
          <w:p>
            <w:pPr>
              <w:spacing w:after="0"/>
              <w:rPr>
                <w:sz w:val="22"/>
                <w:szCs w:val="22"/>
                <w:color w:val="auto"/>
              </w:rPr>
            </w:pPr>
          </w:p>
        </w:tc>
        <w:tc>
          <w:tcPr>
            <w:tcW w:w="81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Equipment financing arrangements</w:t>
            </w:r>
          </w:p>
        </w:tc>
        <w:tc>
          <w:tcPr>
            <w:tcW w:w="4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7"/>
        </w:trPr>
        <w:tc>
          <w:tcPr>
            <w:tcW w:w="20" w:type="dxa"/>
            <w:vAlign w:val="bottom"/>
            <w:shd w:val="clear" w:color="auto" w:fill="CFF0FC"/>
          </w:tcPr>
          <w:p>
            <w:pPr>
              <w:spacing w:after="0"/>
              <w:rPr>
                <w:sz w:val="24"/>
                <w:szCs w:val="24"/>
                <w:color w:val="auto"/>
              </w:rPr>
            </w:pPr>
          </w:p>
        </w:tc>
        <w:tc>
          <w:tcPr>
            <w:tcW w:w="8160" w:type="dxa"/>
            <w:vAlign w:val="bottom"/>
            <w:gridSpan w:val="2"/>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Repayment of equipment financing arrangements</w:t>
            </w:r>
          </w:p>
        </w:tc>
        <w:tc>
          <w:tcPr>
            <w:tcW w:w="420" w:type="dxa"/>
            <w:vAlign w:val="bottom"/>
            <w:shd w:val="clear" w:color="auto" w:fill="CFF0FC"/>
          </w:tcPr>
          <w:p>
            <w:pPr>
              <w:spacing w:after="0"/>
              <w:rPr>
                <w:sz w:val="24"/>
                <w:szCs w:val="24"/>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(732)</w:t>
            </w:r>
          </w:p>
        </w:tc>
        <w:tc>
          <w:tcPr>
            <w:tcW w:w="80" w:type="dxa"/>
            <w:vAlign w:val="bottom"/>
            <w:shd w:val="clear" w:color="auto" w:fill="CFF0FC"/>
          </w:tcPr>
          <w:p>
            <w:pPr>
              <w:spacing w:after="0"/>
              <w:rPr>
                <w:sz w:val="24"/>
                <w:szCs w:val="24"/>
                <w:color w:val="auto"/>
              </w:rPr>
            </w:pPr>
          </w:p>
        </w:tc>
        <w:tc>
          <w:tcPr>
            <w:tcW w:w="260" w:type="dxa"/>
            <w:vAlign w:val="bottom"/>
            <w:shd w:val="clear" w:color="auto" w:fill="CFF0FC"/>
          </w:tcPr>
          <w:p>
            <w:pPr>
              <w:spacing w:after="0"/>
              <w:rPr>
                <w:sz w:val="24"/>
                <w:szCs w:val="24"/>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20" w:type="dxa"/>
            <w:vAlign w:val="bottom"/>
          </w:tcPr>
          <w:p>
            <w:pPr>
              <w:spacing w:after="0"/>
              <w:rPr>
                <w:sz w:val="22"/>
                <w:szCs w:val="22"/>
                <w:color w:val="auto"/>
              </w:rPr>
            </w:pPr>
          </w:p>
        </w:tc>
        <w:tc>
          <w:tcPr>
            <w:tcW w:w="81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Payment of debt issuance costs</w:t>
            </w:r>
          </w:p>
        </w:tc>
        <w:tc>
          <w:tcPr>
            <w:tcW w:w="4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w:t>
            </w:r>
          </w:p>
        </w:tc>
      </w:tr>
      <w:tr>
        <w:trPr>
          <w:trHeight w:val="277"/>
        </w:trPr>
        <w:tc>
          <w:tcPr>
            <w:tcW w:w="20" w:type="dxa"/>
            <w:vAlign w:val="bottom"/>
            <w:shd w:val="clear" w:color="auto" w:fill="CFF0FC"/>
          </w:tcPr>
          <w:p>
            <w:pPr>
              <w:spacing w:after="0"/>
              <w:rPr>
                <w:sz w:val="24"/>
                <w:szCs w:val="24"/>
                <w:color w:val="auto"/>
              </w:rPr>
            </w:pPr>
          </w:p>
        </w:tc>
        <w:tc>
          <w:tcPr>
            <w:tcW w:w="8160" w:type="dxa"/>
            <w:vAlign w:val="bottom"/>
            <w:gridSpan w:val="2"/>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Proceeds from the exercise of stock options</w:t>
            </w:r>
          </w:p>
        </w:tc>
        <w:tc>
          <w:tcPr>
            <w:tcW w:w="420" w:type="dxa"/>
            <w:vAlign w:val="bottom"/>
            <w:shd w:val="clear" w:color="auto" w:fill="CFF0FC"/>
          </w:tcPr>
          <w:p>
            <w:pPr>
              <w:spacing w:after="0"/>
              <w:rPr>
                <w:sz w:val="24"/>
                <w:szCs w:val="24"/>
                <w:color w:val="auto"/>
              </w:rPr>
            </w:pP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4"/>
                <w:szCs w:val="24"/>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w:t>
            </w:r>
          </w:p>
        </w:tc>
      </w:tr>
      <w:tr>
        <w:trPr>
          <w:trHeight w:val="263"/>
        </w:trPr>
        <w:tc>
          <w:tcPr>
            <w:tcW w:w="20" w:type="dxa"/>
            <w:vAlign w:val="bottom"/>
            <w:tcBorders>
              <w:bottom w:val="single" w:sz="8" w:color="CFF0FC"/>
            </w:tcBorders>
          </w:tcPr>
          <w:p>
            <w:pPr>
              <w:spacing w:after="0"/>
              <w:rPr>
                <w:sz w:val="22"/>
                <w:szCs w:val="22"/>
                <w:color w:val="auto"/>
              </w:rPr>
            </w:pPr>
          </w:p>
        </w:tc>
        <w:tc>
          <w:tcPr>
            <w:tcW w:w="8160" w:type="dxa"/>
            <w:vAlign w:val="bottom"/>
            <w:tcBorders>
              <w:bottom w:val="single" w:sz="8" w:color="CFF0FC"/>
            </w:tcBorders>
            <w:gridSpan w:val="2"/>
          </w:tcPr>
          <w:p>
            <w:pPr>
              <w:ind w:left="340"/>
              <w:spacing w:after="0"/>
              <w:rPr>
                <w:sz w:val="20"/>
                <w:szCs w:val="20"/>
                <w:color w:val="auto"/>
              </w:rPr>
            </w:pPr>
            <w:r>
              <w:rPr>
                <w:rFonts w:ascii="Times New Roman" w:cs="Times New Roman" w:eastAsia="Times New Roman" w:hAnsi="Times New Roman"/>
                <w:sz w:val="18"/>
                <w:szCs w:val="18"/>
                <w:color w:val="auto"/>
              </w:rPr>
              <w:t>Payment of employee tax withholding related to RSUs and PSUs vesting</w:t>
            </w:r>
          </w:p>
        </w:tc>
        <w:tc>
          <w:tcPr>
            <w:tcW w:w="4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80" w:type="dxa"/>
            <w:vAlign w:val="bottom"/>
            <w:tcBorders>
              <w:bottom w:val="single" w:sz="8" w:color="CFF0FC"/>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w:t>
            </w:r>
          </w:p>
        </w:tc>
      </w:tr>
      <w:tr>
        <w:trPr>
          <w:trHeight w:val="264"/>
        </w:trPr>
        <w:tc>
          <w:tcPr>
            <w:tcW w:w="20" w:type="dxa"/>
            <w:vAlign w:val="bottom"/>
            <w:shd w:val="clear" w:color="auto" w:fill="CFF0FC"/>
          </w:tcPr>
          <w:p>
            <w:pPr>
              <w:spacing w:after="0"/>
              <w:rPr>
                <w:sz w:val="22"/>
                <w:szCs w:val="22"/>
                <w:color w:val="auto"/>
              </w:rPr>
            </w:pPr>
          </w:p>
        </w:tc>
        <w:tc>
          <w:tcPr>
            <w:tcW w:w="81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420" w:type="dxa"/>
            <w:vAlign w:val="bottom"/>
            <w:tcBorders>
              <w:bottom w:val="single" w:sz="8" w:color="auto"/>
            </w:tcBorders>
            <w:shd w:val="clear" w:color="auto" w:fill="CFF0FC"/>
          </w:tcPr>
          <w:p>
            <w:pPr>
              <w:spacing w:after="0"/>
              <w:rPr>
                <w:sz w:val="22"/>
                <w:szCs w:val="22"/>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(2,679)</w:t>
            </w:r>
          </w:p>
        </w:tc>
        <w:tc>
          <w:tcPr>
            <w:tcW w:w="80" w:type="dxa"/>
            <w:vAlign w:val="bottom"/>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spacing w:after="0"/>
              <w:rPr>
                <w:sz w:val="22"/>
                <w:szCs w:val="22"/>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(2,400)</w:t>
            </w:r>
          </w:p>
        </w:tc>
      </w:tr>
      <w:tr>
        <w:trPr>
          <w:trHeight w:val="264"/>
        </w:trPr>
        <w:tc>
          <w:tcPr>
            <w:tcW w:w="20" w:type="dxa"/>
            <w:vAlign w:val="bottom"/>
            <w:tcBorders>
              <w:bottom w:val="single" w:sz="8" w:color="CFF0FC"/>
            </w:tcBorders>
          </w:tcPr>
          <w:p>
            <w:pPr>
              <w:spacing w:after="0"/>
              <w:rPr>
                <w:sz w:val="22"/>
                <w:szCs w:val="22"/>
                <w:color w:val="auto"/>
              </w:rPr>
            </w:pPr>
          </w:p>
        </w:tc>
        <w:tc>
          <w:tcPr>
            <w:tcW w:w="8160" w:type="dxa"/>
            <w:vAlign w:val="bottom"/>
            <w:tcBorders>
              <w:bottom w:val="single" w:sz="8" w:color="CFF0FC"/>
            </w:tcBorders>
            <w:gridSpan w:val="2"/>
          </w:tcPr>
          <w:p>
            <w:pPr>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4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80" w:type="dxa"/>
            <w:vAlign w:val="bottom"/>
            <w:tcBorders>
              <w:bottom w:val="single" w:sz="8" w:color="CFF0FC"/>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w:t>
            </w:r>
          </w:p>
        </w:tc>
      </w:tr>
      <w:tr>
        <w:trPr>
          <w:trHeight w:val="270"/>
        </w:trPr>
        <w:tc>
          <w:tcPr>
            <w:tcW w:w="20" w:type="dxa"/>
            <w:vAlign w:val="bottom"/>
            <w:shd w:val="clear" w:color="auto" w:fill="CFF0FC"/>
          </w:tcPr>
          <w:p>
            <w:pPr>
              <w:spacing w:after="0"/>
              <w:rPr>
                <w:sz w:val="23"/>
                <w:szCs w:val="23"/>
                <w:color w:val="auto"/>
              </w:rPr>
            </w:pPr>
          </w:p>
        </w:tc>
        <w:tc>
          <w:tcPr>
            <w:tcW w:w="81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increase in cash, cash equivalents and restricted cash</w:t>
            </w:r>
          </w:p>
        </w:tc>
        <w:tc>
          <w:tcPr>
            <w:tcW w:w="420" w:type="dxa"/>
            <w:vAlign w:val="bottom"/>
            <w:shd w:val="clear" w:color="auto" w:fill="CFF0FC"/>
          </w:tcPr>
          <w:p>
            <w:pPr>
              <w:spacing w:after="0"/>
              <w:rPr>
                <w:sz w:val="23"/>
                <w:szCs w:val="23"/>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86,926</w:t>
            </w:r>
          </w:p>
        </w:tc>
        <w:tc>
          <w:tcPr>
            <w:tcW w:w="80" w:type="dxa"/>
            <w:vAlign w:val="bottom"/>
            <w:shd w:val="clear" w:color="auto" w:fill="CFF0FC"/>
          </w:tcPr>
          <w:p>
            <w:pPr>
              <w:spacing w:after="0"/>
              <w:rPr>
                <w:sz w:val="23"/>
                <w:szCs w:val="23"/>
                <w:color w:val="auto"/>
              </w:rPr>
            </w:pPr>
          </w:p>
        </w:tc>
        <w:tc>
          <w:tcPr>
            <w:tcW w:w="260" w:type="dxa"/>
            <w:vAlign w:val="bottom"/>
            <w:shd w:val="clear" w:color="auto" w:fill="CFF0FC"/>
          </w:tcPr>
          <w:p>
            <w:pPr>
              <w:spacing w:after="0"/>
              <w:rPr>
                <w:sz w:val="23"/>
                <w:szCs w:val="23"/>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46,374</w:t>
            </w:r>
          </w:p>
        </w:tc>
      </w:tr>
      <w:tr>
        <w:trPr>
          <w:trHeight w:val="263"/>
        </w:trPr>
        <w:tc>
          <w:tcPr>
            <w:tcW w:w="20" w:type="dxa"/>
            <w:vAlign w:val="bottom"/>
            <w:tcBorders>
              <w:bottom w:val="single" w:sz="8" w:color="CFF0FC"/>
            </w:tcBorders>
          </w:tcPr>
          <w:p>
            <w:pPr>
              <w:spacing w:after="0"/>
              <w:rPr>
                <w:sz w:val="22"/>
                <w:szCs w:val="22"/>
                <w:color w:val="auto"/>
              </w:rPr>
            </w:pPr>
          </w:p>
        </w:tc>
        <w:tc>
          <w:tcPr>
            <w:tcW w:w="8160" w:type="dxa"/>
            <w:vAlign w:val="bottom"/>
            <w:tcBorders>
              <w:bottom w:val="single" w:sz="8" w:color="CFF0FC"/>
            </w:tcBorders>
            <w:gridSpan w:val="2"/>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 beginning of period</w:t>
            </w:r>
          </w:p>
        </w:tc>
        <w:tc>
          <w:tcPr>
            <w:tcW w:w="4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53,190</w:t>
            </w:r>
          </w:p>
        </w:tc>
        <w:tc>
          <w:tcPr>
            <w:tcW w:w="80" w:type="dxa"/>
            <w:vAlign w:val="bottom"/>
            <w:tcBorders>
              <w:bottom w:val="single" w:sz="8" w:color="CFF0FC"/>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153,925</w:t>
            </w:r>
          </w:p>
        </w:tc>
      </w:tr>
      <w:tr>
        <w:trPr>
          <w:trHeight w:val="295"/>
        </w:trPr>
        <w:tc>
          <w:tcPr>
            <w:tcW w:w="20" w:type="dxa"/>
            <w:vAlign w:val="bottom"/>
            <w:tcBorders>
              <w:bottom w:val="single" w:sz="8" w:color="CFF0FC"/>
            </w:tcBorders>
            <w:shd w:val="clear" w:color="auto" w:fill="CFF0FC"/>
          </w:tcPr>
          <w:p>
            <w:pPr>
              <w:spacing w:after="0"/>
              <w:rPr>
                <w:sz w:val="24"/>
                <w:szCs w:val="24"/>
                <w:color w:val="auto"/>
              </w:rPr>
            </w:pPr>
          </w:p>
        </w:tc>
        <w:tc>
          <w:tcPr>
            <w:tcW w:w="816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 end of period</w:t>
            </w:r>
          </w:p>
        </w:tc>
        <w:tc>
          <w:tcPr>
            <w:tcW w:w="420" w:type="dxa"/>
            <w:vAlign w:val="bottom"/>
            <w:tcBorders>
              <w:bottom w:val="single" w:sz="8" w:color="auto"/>
            </w:tcBorders>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140,116</w:t>
            </w:r>
          </w:p>
        </w:tc>
        <w:tc>
          <w:tcPr>
            <w:tcW w:w="8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200,299</w:t>
            </w:r>
          </w:p>
        </w:tc>
      </w:tr>
      <w:tr>
        <w:trPr>
          <w:trHeight w:val="20"/>
        </w:trPr>
        <w:tc>
          <w:tcPr>
            <w:tcW w:w="20" w:type="dxa"/>
            <w:vAlign w:val="bottom"/>
            <w:tcBorders>
              <w:top w:val="single" w:sz="8" w:color="CFF0FC"/>
            </w:tcBorders>
          </w:tcPr>
          <w:p>
            <w:pPr>
              <w:spacing w:after="0" w:line="20" w:lineRule="exact"/>
              <w:rPr>
                <w:sz w:val="1"/>
                <w:szCs w:val="1"/>
                <w:color w:val="auto"/>
              </w:rPr>
            </w:pPr>
          </w:p>
        </w:tc>
        <w:tc>
          <w:tcPr>
            <w:tcW w:w="980" w:type="dxa"/>
            <w:vAlign w:val="bottom"/>
            <w:tcBorders>
              <w:top w:val="single" w:sz="8" w:color="CFF0FC"/>
            </w:tcBorders>
          </w:tcPr>
          <w:p>
            <w:pPr>
              <w:spacing w:after="0" w:line="20" w:lineRule="exact"/>
              <w:rPr>
                <w:sz w:val="1"/>
                <w:szCs w:val="1"/>
                <w:color w:val="auto"/>
              </w:rPr>
            </w:pPr>
          </w:p>
        </w:tc>
        <w:tc>
          <w:tcPr>
            <w:tcW w:w="718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CFF0FC"/>
              <w:bottom w:val="single" w:sz="8" w:color="auto"/>
            </w:tcBorders>
          </w:tcPr>
          <w:p>
            <w:pPr>
              <w:spacing w:after="0" w:line="20" w:lineRule="exact"/>
              <w:rPr>
                <w:sz w:val="1"/>
                <w:szCs w:val="1"/>
                <w:color w:val="auto"/>
              </w:rPr>
            </w:pPr>
          </w:p>
        </w:tc>
        <w:tc>
          <w:tcPr>
            <w:tcW w:w="108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bottom w:val="single" w:sz="8" w:color="auto"/>
            </w:tcBorders>
          </w:tcPr>
          <w:p>
            <w:pPr>
              <w:spacing w:after="0" w:line="20" w:lineRule="exact"/>
              <w:rPr>
                <w:sz w:val="1"/>
                <w:szCs w:val="1"/>
                <w:color w:val="auto"/>
              </w:rPr>
            </w:pPr>
          </w:p>
        </w:tc>
        <w:tc>
          <w:tcPr>
            <w:tcW w:w="1220" w:type="dxa"/>
            <w:vAlign w:val="bottom"/>
            <w:tcBorders>
              <w:top w:val="single" w:sz="8" w:color="CFF0FC"/>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76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40"/>
          </w:cols>
          <w:pgMar w:left="320" w:top="760" w:right="339" w:bottom="1440" w:gutter="0" w:footer="0" w:header="0"/>
          <w:type w:val="continuous"/>
        </w:sectPr>
      </w:pPr>
    </w:p>
    <w:bookmarkStart w:id="14" w:name="page15"/>
    <w:bookmarkEnd w:id="14"/>
    <w:tbl>
      <w:tblPr>
        <w:tblLayout w:type="fixed"/>
        <w:tblInd w:w="0" w:type="dxa"/>
        <w:tblCellMar>
          <w:top w:w="0" w:type="dxa"/>
          <w:left w:w="0" w:type="dxa"/>
          <w:bottom w:w="0" w:type="dxa"/>
          <w:right w:w="0" w:type="dxa"/>
        </w:tblCellMar>
      </w:tblPr>
      <w:tr>
        <w:trPr>
          <w:trHeight w:val="282"/>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Exhibit 99.1</w:t>
            </w:r>
          </w:p>
        </w:tc>
      </w:tr>
      <w:tr>
        <w:trPr>
          <w:trHeight w:val="947"/>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180" w:type="dxa"/>
            <w:vAlign w:val="bottom"/>
          </w:tcPr>
          <w:p>
            <w:pPr>
              <w:jc w:val="center"/>
              <w:ind w:left="1961"/>
              <w:spacing w:after="0"/>
              <w:rPr>
                <w:sz w:val="20"/>
                <w:szCs w:val="20"/>
                <w:color w:val="auto"/>
              </w:rPr>
            </w:pPr>
            <w:r>
              <w:rPr>
                <w:rFonts w:ascii="Times New Roman" w:cs="Times New Roman" w:eastAsia="Times New Roman" w:hAnsi="Times New Roman"/>
                <w:sz w:val="20"/>
                <w:szCs w:val="20"/>
                <w:b w:val="1"/>
                <w:bCs w:val="1"/>
                <w:color w:val="auto"/>
                <w:w w:val="98"/>
              </w:rPr>
              <w:t>VERRA MOBILITY CORPORATION</w:t>
            </w: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47"/>
        </w:trPr>
        <w:tc>
          <w:tcPr>
            <w:tcW w:w="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620" w:type="dxa"/>
            <w:vAlign w:val="bottom"/>
            <w:gridSpan w:val="2"/>
          </w:tcPr>
          <w:p>
            <w:pPr>
              <w:jc w:val="center"/>
              <w:ind w:left="1541"/>
              <w:spacing w:after="0"/>
              <w:rPr>
                <w:sz w:val="20"/>
                <w:szCs w:val="20"/>
                <w:color w:val="auto"/>
              </w:rPr>
            </w:pPr>
            <w:r>
              <w:rPr>
                <w:rFonts w:ascii="Times New Roman" w:cs="Times New Roman" w:eastAsia="Times New Roman" w:hAnsi="Times New Roman"/>
                <w:sz w:val="20"/>
                <w:szCs w:val="20"/>
                <w:b w:val="1"/>
                <w:bCs w:val="1"/>
                <w:color w:val="auto"/>
                <w:w w:val="98"/>
              </w:rPr>
              <w:t>CONDENSED CONSOLIDATED STATEMENTS OF CASH FLOWS</w:t>
            </w: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58"/>
        </w:trPr>
        <w:tc>
          <w:tcPr>
            <w:tcW w:w="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7180" w:type="dxa"/>
            <w:vAlign w:val="bottom"/>
          </w:tcPr>
          <w:p>
            <w:pPr>
              <w:jc w:val="center"/>
              <w:ind w:left="1961"/>
              <w:spacing w:after="0"/>
              <w:rPr>
                <w:sz w:val="20"/>
                <w:szCs w:val="20"/>
                <w:color w:val="auto"/>
              </w:rPr>
            </w:pPr>
            <w:r>
              <w:rPr>
                <w:rFonts w:ascii="Times New Roman" w:cs="Times New Roman" w:eastAsia="Times New Roman" w:hAnsi="Times New Roman"/>
                <w:sz w:val="20"/>
                <w:szCs w:val="20"/>
                <w:color w:val="auto"/>
                <w:w w:val="99"/>
              </w:rPr>
              <w:t>(Unaudited)</w:t>
            </w:r>
          </w:p>
        </w:tc>
        <w:tc>
          <w:tcPr>
            <w:tcW w:w="4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376"/>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20" w:type="dxa"/>
            <w:vAlign w:val="bottom"/>
            <w:gridSpan w:val="4"/>
          </w:tcPr>
          <w:p>
            <w:pPr>
              <w:jc w:val="right"/>
              <w:ind w:right="37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20" w:type="dxa"/>
            <w:vAlign w:val="bottom"/>
          </w:tcPr>
          <w:p>
            <w:pPr>
              <w:spacing w:after="0"/>
              <w:rPr>
                <w:sz w:val="2"/>
                <w:szCs w:val="2"/>
                <w:color w:val="auto"/>
              </w:rPr>
            </w:pPr>
          </w:p>
        </w:tc>
        <w:tc>
          <w:tcPr>
            <w:tcW w:w="980" w:type="dxa"/>
            <w:vAlign w:val="bottom"/>
          </w:tcPr>
          <w:p>
            <w:pPr>
              <w:spacing w:after="0"/>
              <w:rPr>
                <w:sz w:val="2"/>
                <w:szCs w:val="2"/>
                <w:color w:val="auto"/>
              </w:rPr>
            </w:pPr>
          </w:p>
        </w:tc>
        <w:tc>
          <w:tcPr>
            <w:tcW w:w="718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69"/>
        </w:trPr>
        <w:tc>
          <w:tcPr>
            <w:tcW w:w="20" w:type="dxa"/>
            <w:vAlign w:val="bottom"/>
          </w:tcPr>
          <w:p>
            <w:pPr>
              <w:spacing w:after="0"/>
              <w:rPr>
                <w:sz w:val="14"/>
                <w:szCs w:val="14"/>
                <w:color w:val="auto"/>
              </w:rPr>
            </w:pPr>
          </w:p>
        </w:tc>
        <w:tc>
          <w:tcPr>
            <w:tcW w:w="81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thousands)</w:t>
            </w:r>
          </w:p>
        </w:tc>
        <w:tc>
          <w:tcPr>
            <w:tcW w:w="440" w:type="dxa"/>
            <w:vAlign w:val="bottom"/>
          </w:tcPr>
          <w:p>
            <w:pPr>
              <w:spacing w:after="0"/>
              <w:rPr>
                <w:sz w:val="14"/>
                <w:szCs w:val="14"/>
                <w:color w:val="auto"/>
              </w:rPr>
            </w:pPr>
          </w:p>
        </w:tc>
        <w:tc>
          <w:tcPr>
            <w:tcW w:w="104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jc w:val="right"/>
              <w:ind w:right="510"/>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4"/>
        </w:trPr>
        <w:tc>
          <w:tcPr>
            <w:tcW w:w="20" w:type="dxa"/>
            <w:vAlign w:val="bottom"/>
            <w:tcBorders>
              <w:bottom w:val="single" w:sz="8" w:color="CFF0FC"/>
            </w:tcBorders>
          </w:tcPr>
          <w:p>
            <w:pPr>
              <w:spacing w:after="0"/>
              <w:rPr>
                <w:sz w:val="2"/>
                <w:szCs w:val="2"/>
                <w:color w:val="auto"/>
              </w:rPr>
            </w:pPr>
          </w:p>
        </w:tc>
        <w:tc>
          <w:tcPr>
            <w:tcW w:w="980" w:type="dxa"/>
            <w:vAlign w:val="bottom"/>
            <w:tcBorders>
              <w:top w:val="single" w:sz="8" w:color="auto"/>
              <w:bottom w:val="single" w:sz="8" w:color="CFF0FC"/>
            </w:tcBorders>
          </w:tcPr>
          <w:p>
            <w:pPr>
              <w:spacing w:after="0"/>
              <w:rPr>
                <w:sz w:val="2"/>
                <w:szCs w:val="2"/>
                <w:color w:val="auto"/>
              </w:rPr>
            </w:pPr>
          </w:p>
        </w:tc>
        <w:tc>
          <w:tcPr>
            <w:tcW w:w="7180" w:type="dxa"/>
            <w:vAlign w:val="bottom"/>
            <w:tcBorders>
              <w:bottom w:val="single" w:sz="8" w:color="CFF0FC"/>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0"/>
        </w:trPr>
        <w:tc>
          <w:tcPr>
            <w:tcW w:w="20" w:type="dxa"/>
            <w:vAlign w:val="bottom"/>
            <w:shd w:val="clear" w:color="auto" w:fill="CFF0FC"/>
          </w:tcPr>
          <w:p>
            <w:pPr>
              <w:spacing w:after="0"/>
              <w:rPr>
                <w:sz w:val="21"/>
                <w:szCs w:val="21"/>
                <w:color w:val="auto"/>
              </w:rPr>
            </w:pPr>
          </w:p>
        </w:tc>
        <w:tc>
          <w:tcPr>
            <w:tcW w:w="81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44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r>
      <w:tr>
        <w:trPr>
          <w:trHeight w:val="263"/>
        </w:trPr>
        <w:tc>
          <w:tcPr>
            <w:tcW w:w="20" w:type="dxa"/>
            <w:vAlign w:val="bottom"/>
          </w:tcPr>
          <w:p>
            <w:pPr>
              <w:spacing w:after="0"/>
              <w:rPr>
                <w:sz w:val="22"/>
                <w:szCs w:val="22"/>
                <w:color w:val="auto"/>
              </w:rPr>
            </w:pPr>
          </w:p>
        </w:tc>
        <w:tc>
          <w:tcPr>
            <w:tcW w:w="8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18,954</w:t>
            </w:r>
          </w:p>
        </w:tc>
        <w:tc>
          <w:tcPr>
            <w:tcW w:w="100" w:type="dxa"/>
            <w:vAlign w:val="bottom"/>
          </w:tcPr>
          <w:p>
            <w:pPr>
              <w:spacing w:after="0"/>
              <w:rPr>
                <w:sz w:val="22"/>
                <w:szCs w:val="22"/>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117,753</w:t>
            </w:r>
          </w:p>
        </w:tc>
      </w:tr>
      <w:tr>
        <w:trPr>
          <w:trHeight w:val="277"/>
        </w:trPr>
        <w:tc>
          <w:tcPr>
            <w:tcW w:w="20" w:type="dxa"/>
            <w:vAlign w:val="bottom"/>
            <w:shd w:val="clear" w:color="auto" w:fill="CFF0FC"/>
          </w:tcPr>
          <w:p>
            <w:pPr>
              <w:spacing w:after="0"/>
              <w:rPr>
                <w:sz w:val="24"/>
                <w:szCs w:val="24"/>
                <w:color w:val="auto"/>
              </w:rPr>
            </w:pPr>
          </w:p>
        </w:tc>
        <w:tc>
          <w:tcPr>
            <w:tcW w:w="81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440" w:type="dxa"/>
            <w:vAlign w:val="bottom"/>
            <w:shd w:val="clear" w:color="auto" w:fill="CFF0FC"/>
          </w:tcPr>
          <w:p>
            <w:pPr>
              <w:spacing w:after="0"/>
              <w:rPr>
                <w:sz w:val="24"/>
                <w:szCs w:val="24"/>
                <w:color w:val="auto"/>
              </w:rPr>
            </w:pPr>
          </w:p>
        </w:tc>
        <w:tc>
          <w:tcPr>
            <w:tcW w:w="1040" w:type="dxa"/>
            <w:vAlign w:val="bottom"/>
            <w:shd w:val="clear" w:color="auto" w:fill="CFF0FC"/>
          </w:tcPr>
          <w:p>
            <w:pPr>
              <w:spacing w:after="0"/>
              <w:rPr>
                <w:sz w:val="24"/>
                <w:szCs w:val="24"/>
                <w:color w:val="auto"/>
              </w:rPr>
            </w:pPr>
          </w:p>
        </w:tc>
        <w:tc>
          <w:tcPr>
            <w:tcW w:w="100" w:type="dxa"/>
            <w:vAlign w:val="bottom"/>
            <w:shd w:val="clear" w:color="auto" w:fill="CFF0FC"/>
          </w:tcPr>
          <w:p>
            <w:pPr>
              <w:spacing w:after="0"/>
              <w:rPr>
                <w:sz w:val="24"/>
                <w:szCs w:val="24"/>
                <w:color w:val="auto"/>
              </w:rPr>
            </w:pPr>
          </w:p>
        </w:tc>
        <w:tc>
          <w:tcPr>
            <w:tcW w:w="260" w:type="dxa"/>
            <w:vAlign w:val="bottom"/>
            <w:shd w:val="clear" w:color="auto" w:fill="CFF0FC"/>
          </w:tcPr>
          <w:p>
            <w:pPr>
              <w:spacing w:after="0"/>
              <w:rPr>
                <w:sz w:val="24"/>
                <w:szCs w:val="24"/>
                <w:color w:val="auto"/>
              </w:rPr>
            </w:pPr>
          </w:p>
        </w:tc>
        <w:tc>
          <w:tcPr>
            <w:tcW w:w="1220" w:type="dxa"/>
            <w:vAlign w:val="bottom"/>
            <w:shd w:val="clear" w:color="auto" w:fill="CFF0FC"/>
          </w:tcPr>
          <w:p>
            <w:pPr>
              <w:spacing w:after="0"/>
              <w:rPr>
                <w:sz w:val="24"/>
                <w:szCs w:val="24"/>
                <w:color w:val="auto"/>
              </w:rPr>
            </w:pPr>
          </w:p>
        </w:tc>
      </w:tr>
      <w:tr>
        <w:trPr>
          <w:trHeight w:val="263"/>
        </w:trPr>
        <w:tc>
          <w:tcPr>
            <w:tcW w:w="20" w:type="dxa"/>
            <w:vAlign w:val="bottom"/>
          </w:tcPr>
          <w:p>
            <w:pPr>
              <w:spacing w:after="0"/>
              <w:rPr>
                <w:sz w:val="22"/>
                <w:szCs w:val="22"/>
                <w:color w:val="auto"/>
              </w:rPr>
            </w:pPr>
          </w:p>
        </w:tc>
        <w:tc>
          <w:tcPr>
            <w:tcW w:w="81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4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83,978</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85,179</w:t>
            </w:r>
          </w:p>
        </w:tc>
      </w:tr>
      <w:tr>
        <w:trPr>
          <w:trHeight w:val="277"/>
        </w:trPr>
        <w:tc>
          <w:tcPr>
            <w:tcW w:w="20" w:type="dxa"/>
            <w:vAlign w:val="bottom"/>
            <w:shd w:val="clear" w:color="auto" w:fill="CFF0FC"/>
          </w:tcPr>
          <w:p>
            <w:pPr>
              <w:spacing w:after="0"/>
              <w:rPr>
                <w:sz w:val="24"/>
                <w:szCs w:val="24"/>
                <w:color w:val="auto"/>
              </w:rPr>
            </w:pPr>
          </w:p>
        </w:tc>
        <w:tc>
          <w:tcPr>
            <w:tcW w:w="8160" w:type="dxa"/>
            <w:vAlign w:val="bottom"/>
            <w:gridSpan w:val="2"/>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Amortization of deferred financing costs and discounts</w:t>
            </w:r>
          </w:p>
        </w:tc>
        <w:tc>
          <w:tcPr>
            <w:tcW w:w="440" w:type="dxa"/>
            <w:vAlign w:val="bottom"/>
            <w:shd w:val="clear" w:color="auto" w:fill="CFF0FC"/>
          </w:tcPr>
          <w:p>
            <w:pPr>
              <w:spacing w:after="0"/>
              <w:rPr>
                <w:sz w:val="24"/>
                <w:szCs w:val="24"/>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1,669</w:t>
            </w:r>
          </w:p>
        </w:tc>
        <w:tc>
          <w:tcPr>
            <w:tcW w:w="100" w:type="dxa"/>
            <w:vAlign w:val="bottom"/>
            <w:shd w:val="clear" w:color="auto" w:fill="CFF0FC"/>
          </w:tcPr>
          <w:p>
            <w:pPr>
              <w:spacing w:after="0"/>
              <w:rPr>
                <w:sz w:val="24"/>
                <w:szCs w:val="24"/>
                <w:color w:val="auto"/>
              </w:rPr>
            </w:pPr>
          </w:p>
        </w:tc>
        <w:tc>
          <w:tcPr>
            <w:tcW w:w="260" w:type="dxa"/>
            <w:vAlign w:val="bottom"/>
            <w:shd w:val="clear" w:color="auto" w:fill="CFF0FC"/>
          </w:tcPr>
          <w:p>
            <w:pPr>
              <w:spacing w:after="0"/>
              <w:rPr>
                <w:sz w:val="24"/>
                <w:szCs w:val="24"/>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2,856</w:t>
            </w:r>
          </w:p>
        </w:tc>
      </w:tr>
      <w:tr>
        <w:trPr>
          <w:trHeight w:val="263"/>
        </w:trPr>
        <w:tc>
          <w:tcPr>
            <w:tcW w:w="20" w:type="dxa"/>
            <w:vAlign w:val="bottom"/>
          </w:tcPr>
          <w:p>
            <w:pPr>
              <w:spacing w:after="0"/>
              <w:rPr>
                <w:sz w:val="22"/>
                <w:szCs w:val="22"/>
                <w:color w:val="auto"/>
              </w:rPr>
            </w:pPr>
          </w:p>
        </w:tc>
        <w:tc>
          <w:tcPr>
            <w:tcW w:w="81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440" w:type="dxa"/>
            <w:vAlign w:val="bottom"/>
          </w:tcPr>
          <w:p>
            <w:pPr>
              <w:spacing w:after="0"/>
              <w:rPr>
                <w:sz w:val="22"/>
                <w:szCs w:val="22"/>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77"/>
        </w:trPr>
        <w:tc>
          <w:tcPr>
            <w:tcW w:w="20" w:type="dxa"/>
            <w:vAlign w:val="bottom"/>
            <w:shd w:val="clear" w:color="auto" w:fill="CFF0FC"/>
          </w:tcPr>
          <w:p>
            <w:pPr>
              <w:spacing w:after="0"/>
              <w:rPr>
                <w:sz w:val="24"/>
                <w:szCs w:val="24"/>
                <w:color w:val="auto"/>
              </w:rPr>
            </w:pPr>
          </w:p>
        </w:tc>
        <w:tc>
          <w:tcPr>
            <w:tcW w:w="8160" w:type="dxa"/>
            <w:vAlign w:val="bottom"/>
            <w:gridSpan w:val="2"/>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Share-based proceeds from legal settlement</w:t>
            </w:r>
          </w:p>
        </w:tc>
        <w:tc>
          <w:tcPr>
            <w:tcW w:w="440" w:type="dxa"/>
            <w:vAlign w:val="bottom"/>
            <w:shd w:val="clear" w:color="auto" w:fill="CFF0FC"/>
          </w:tcPr>
          <w:p>
            <w:pPr>
              <w:spacing w:after="0"/>
              <w:rPr>
                <w:sz w:val="24"/>
                <w:szCs w:val="24"/>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(7,865)</w:t>
            </w:r>
          </w:p>
        </w:tc>
        <w:tc>
          <w:tcPr>
            <w:tcW w:w="100" w:type="dxa"/>
            <w:vAlign w:val="bottom"/>
            <w:shd w:val="clear" w:color="auto" w:fill="CFF0FC"/>
          </w:tcPr>
          <w:p>
            <w:pPr>
              <w:spacing w:after="0"/>
              <w:rPr>
                <w:sz w:val="24"/>
                <w:szCs w:val="24"/>
                <w:color w:val="auto"/>
              </w:rPr>
            </w:pPr>
          </w:p>
        </w:tc>
        <w:tc>
          <w:tcPr>
            <w:tcW w:w="260" w:type="dxa"/>
            <w:vAlign w:val="bottom"/>
            <w:shd w:val="clear" w:color="auto" w:fill="CFF0FC"/>
          </w:tcPr>
          <w:p>
            <w:pPr>
              <w:spacing w:after="0"/>
              <w:rPr>
                <w:sz w:val="24"/>
                <w:szCs w:val="24"/>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20" w:type="dxa"/>
            <w:vAlign w:val="bottom"/>
          </w:tcPr>
          <w:p>
            <w:pPr>
              <w:spacing w:after="0"/>
              <w:rPr>
                <w:sz w:val="22"/>
                <w:szCs w:val="22"/>
                <w:color w:val="auto"/>
              </w:rPr>
            </w:pPr>
          </w:p>
        </w:tc>
        <w:tc>
          <w:tcPr>
            <w:tcW w:w="81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Unrealized loss on remeasurement of share-based proceeds</w:t>
            </w:r>
          </w:p>
        </w:tc>
        <w:tc>
          <w:tcPr>
            <w:tcW w:w="44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3,447</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7"/>
        </w:trPr>
        <w:tc>
          <w:tcPr>
            <w:tcW w:w="20" w:type="dxa"/>
            <w:vAlign w:val="bottom"/>
            <w:shd w:val="clear" w:color="auto" w:fill="CFF0FC"/>
          </w:tcPr>
          <w:p>
            <w:pPr>
              <w:spacing w:after="0"/>
              <w:rPr>
                <w:sz w:val="24"/>
                <w:szCs w:val="24"/>
                <w:color w:val="auto"/>
              </w:rPr>
            </w:pPr>
          </w:p>
        </w:tc>
        <w:tc>
          <w:tcPr>
            <w:tcW w:w="8160" w:type="dxa"/>
            <w:vAlign w:val="bottom"/>
            <w:gridSpan w:val="2"/>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Credit loss expense</w:t>
            </w:r>
          </w:p>
        </w:tc>
        <w:tc>
          <w:tcPr>
            <w:tcW w:w="440" w:type="dxa"/>
            <w:vAlign w:val="bottom"/>
            <w:shd w:val="clear" w:color="auto" w:fill="CFF0FC"/>
          </w:tcPr>
          <w:p>
            <w:pPr>
              <w:spacing w:after="0"/>
              <w:rPr>
                <w:sz w:val="24"/>
                <w:szCs w:val="24"/>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13,836</w:t>
            </w:r>
          </w:p>
        </w:tc>
        <w:tc>
          <w:tcPr>
            <w:tcW w:w="100" w:type="dxa"/>
            <w:vAlign w:val="bottom"/>
            <w:shd w:val="clear" w:color="auto" w:fill="CFF0FC"/>
          </w:tcPr>
          <w:p>
            <w:pPr>
              <w:spacing w:after="0"/>
              <w:rPr>
                <w:sz w:val="24"/>
                <w:szCs w:val="24"/>
                <w:color w:val="auto"/>
              </w:rPr>
            </w:pPr>
          </w:p>
        </w:tc>
        <w:tc>
          <w:tcPr>
            <w:tcW w:w="260" w:type="dxa"/>
            <w:vAlign w:val="bottom"/>
            <w:shd w:val="clear" w:color="auto" w:fill="CFF0FC"/>
          </w:tcPr>
          <w:p>
            <w:pPr>
              <w:spacing w:after="0"/>
              <w:rPr>
                <w:sz w:val="24"/>
                <w:szCs w:val="24"/>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18,377</w:t>
            </w:r>
          </w:p>
        </w:tc>
      </w:tr>
      <w:tr>
        <w:trPr>
          <w:trHeight w:val="263"/>
        </w:trPr>
        <w:tc>
          <w:tcPr>
            <w:tcW w:w="20" w:type="dxa"/>
            <w:vAlign w:val="bottom"/>
          </w:tcPr>
          <w:p>
            <w:pPr>
              <w:spacing w:after="0"/>
              <w:rPr>
                <w:sz w:val="22"/>
                <w:szCs w:val="22"/>
                <w:color w:val="auto"/>
              </w:rPr>
            </w:pPr>
          </w:p>
        </w:tc>
        <w:tc>
          <w:tcPr>
            <w:tcW w:w="81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Deferred income taxes</w:t>
            </w:r>
          </w:p>
        </w:tc>
        <w:tc>
          <w:tcPr>
            <w:tcW w:w="44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4,706</w:t>
            </w:r>
          </w:p>
        </w:tc>
      </w:tr>
      <w:tr>
        <w:trPr>
          <w:trHeight w:val="277"/>
        </w:trPr>
        <w:tc>
          <w:tcPr>
            <w:tcW w:w="20" w:type="dxa"/>
            <w:vAlign w:val="bottom"/>
            <w:shd w:val="clear" w:color="auto" w:fill="CFF0FC"/>
          </w:tcPr>
          <w:p>
            <w:pPr>
              <w:spacing w:after="0"/>
              <w:rPr>
                <w:sz w:val="24"/>
                <w:szCs w:val="24"/>
                <w:color w:val="auto"/>
              </w:rPr>
            </w:pPr>
          </w:p>
        </w:tc>
        <w:tc>
          <w:tcPr>
            <w:tcW w:w="8160" w:type="dxa"/>
            <w:vAlign w:val="bottom"/>
            <w:gridSpan w:val="2"/>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Stock-based compensation</w:t>
            </w:r>
          </w:p>
        </w:tc>
        <w:tc>
          <w:tcPr>
            <w:tcW w:w="440" w:type="dxa"/>
            <w:vAlign w:val="bottom"/>
            <w:shd w:val="clear" w:color="auto" w:fill="CFF0FC"/>
          </w:tcPr>
          <w:p>
            <w:pPr>
              <w:spacing w:after="0"/>
              <w:rPr>
                <w:sz w:val="24"/>
                <w:szCs w:val="24"/>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7,868</w:t>
            </w:r>
          </w:p>
        </w:tc>
        <w:tc>
          <w:tcPr>
            <w:tcW w:w="100" w:type="dxa"/>
            <w:vAlign w:val="bottom"/>
            <w:shd w:val="clear" w:color="auto" w:fill="CFF0FC"/>
          </w:tcPr>
          <w:p>
            <w:pPr>
              <w:spacing w:after="0"/>
              <w:rPr>
                <w:sz w:val="24"/>
                <w:szCs w:val="24"/>
                <w:color w:val="auto"/>
              </w:rPr>
            </w:pPr>
          </w:p>
        </w:tc>
        <w:tc>
          <w:tcPr>
            <w:tcW w:w="260" w:type="dxa"/>
            <w:vAlign w:val="bottom"/>
            <w:shd w:val="clear" w:color="auto" w:fill="CFF0FC"/>
          </w:tcPr>
          <w:p>
            <w:pPr>
              <w:spacing w:after="0"/>
              <w:rPr>
                <w:sz w:val="24"/>
                <w:szCs w:val="24"/>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18,696</w:t>
            </w:r>
          </w:p>
        </w:tc>
      </w:tr>
      <w:tr>
        <w:trPr>
          <w:trHeight w:val="263"/>
        </w:trPr>
        <w:tc>
          <w:tcPr>
            <w:tcW w:w="20" w:type="dxa"/>
            <w:vAlign w:val="bottom"/>
          </w:tcPr>
          <w:p>
            <w:pPr>
              <w:spacing w:after="0"/>
              <w:rPr>
                <w:sz w:val="22"/>
                <w:szCs w:val="22"/>
                <w:color w:val="auto"/>
              </w:rPr>
            </w:pPr>
          </w:p>
        </w:tc>
        <w:tc>
          <w:tcPr>
            <w:tcW w:w="81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Uncertain tax position reserve release</w:t>
            </w:r>
          </w:p>
        </w:tc>
        <w:tc>
          <w:tcPr>
            <w:tcW w:w="44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(4,008)</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(1,682)</w:t>
            </w:r>
          </w:p>
        </w:tc>
      </w:tr>
      <w:tr>
        <w:trPr>
          <w:trHeight w:val="277"/>
        </w:trPr>
        <w:tc>
          <w:tcPr>
            <w:tcW w:w="20" w:type="dxa"/>
            <w:vAlign w:val="bottom"/>
            <w:shd w:val="clear" w:color="auto" w:fill="CFF0FC"/>
          </w:tcPr>
          <w:p>
            <w:pPr>
              <w:spacing w:after="0"/>
              <w:rPr>
                <w:sz w:val="24"/>
                <w:szCs w:val="24"/>
                <w:color w:val="auto"/>
              </w:rPr>
            </w:pPr>
          </w:p>
        </w:tc>
        <w:tc>
          <w:tcPr>
            <w:tcW w:w="8160" w:type="dxa"/>
            <w:vAlign w:val="bottom"/>
            <w:gridSpan w:val="2"/>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Goodwill impairment</w:t>
            </w:r>
          </w:p>
        </w:tc>
        <w:tc>
          <w:tcPr>
            <w:tcW w:w="440" w:type="dxa"/>
            <w:vAlign w:val="bottom"/>
            <w:shd w:val="clear" w:color="auto" w:fill="CFF0FC"/>
          </w:tcPr>
          <w:p>
            <w:pPr>
              <w:spacing w:after="0"/>
              <w:rPr>
                <w:sz w:val="24"/>
                <w:szCs w:val="24"/>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64,037</w:t>
            </w:r>
          </w:p>
        </w:tc>
        <w:tc>
          <w:tcPr>
            <w:tcW w:w="100" w:type="dxa"/>
            <w:vAlign w:val="bottom"/>
            <w:shd w:val="clear" w:color="auto" w:fill="CFF0FC"/>
          </w:tcPr>
          <w:p>
            <w:pPr>
              <w:spacing w:after="0"/>
              <w:rPr>
                <w:sz w:val="24"/>
                <w:szCs w:val="24"/>
                <w:color w:val="auto"/>
              </w:rPr>
            </w:pPr>
          </w:p>
        </w:tc>
        <w:tc>
          <w:tcPr>
            <w:tcW w:w="260" w:type="dxa"/>
            <w:vAlign w:val="bottom"/>
            <w:shd w:val="clear" w:color="auto" w:fill="CFF0FC"/>
          </w:tcPr>
          <w:p>
            <w:pPr>
              <w:spacing w:after="0"/>
              <w:rPr>
                <w:sz w:val="24"/>
                <w:szCs w:val="24"/>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20" w:type="dxa"/>
            <w:vAlign w:val="bottom"/>
          </w:tcPr>
          <w:p>
            <w:pPr>
              <w:spacing w:after="0"/>
              <w:rPr>
                <w:sz w:val="22"/>
                <w:szCs w:val="22"/>
                <w:color w:val="auto"/>
              </w:rPr>
            </w:pPr>
          </w:p>
        </w:tc>
        <w:tc>
          <w:tcPr>
            <w:tcW w:w="81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Impairment of intangible assets</w:t>
            </w:r>
          </w:p>
        </w:tc>
        <w:tc>
          <w:tcPr>
            <w:tcW w:w="44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40,354</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7"/>
        </w:trPr>
        <w:tc>
          <w:tcPr>
            <w:tcW w:w="20" w:type="dxa"/>
            <w:vAlign w:val="bottom"/>
            <w:shd w:val="clear" w:color="auto" w:fill="CFF0FC"/>
          </w:tcPr>
          <w:p>
            <w:pPr>
              <w:spacing w:after="0"/>
              <w:rPr>
                <w:sz w:val="24"/>
                <w:szCs w:val="24"/>
                <w:color w:val="auto"/>
              </w:rPr>
            </w:pPr>
          </w:p>
        </w:tc>
        <w:tc>
          <w:tcPr>
            <w:tcW w:w="8160" w:type="dxa"/>
            <w:vAlign w:val="bottom"/>
            <w:gridSpan w:val="2"/>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440" w:type="dxa"/>
            <w:vAlign w:val="bottom"/>
            <w:shd w:val="clear" w:color="auto" w:fill="CFF0FC"/>
          </w:tcPr>
          <w:p>
            <w:pPr>
              <w:spacing w:after="0"/>
              <w:rPr>
                <w:sz w:val="24"/>
                <w:szCs w:val="24"/>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1,700</w:t>
            </w:r>
          </w:p>
        </w:tc>
        <w:tc>
          <w:tcPr>
            <w:tcW w:w="100" w:type="dxa"/>
            <w:vAlign w:val="bottom"/>
            <w:shd w:val="clear" w:color="auto" w:fill="CFF0FC"/>
          </w:tcPr>
          <w:p>
            <w:pPr>
              <w:spacing w:after="0"/>
              <w:rPr>
                <w:sz w:val="24"/>
                <w:szCs w:val="24"/>
                <w:color w:val="auto"/>
              </w:rPr>
            </w:pPr>
          </w:p>
        </w:tc>
        <w:tc>
          <w:tcPr>
            <w:tcW w:w="260" w:type="dxa"/>
            <w:vAlign w:val="bottom"/>
            <w:shd w:val="clear" w:color="auto" w:fill="CFF0FC"/>
          </w:tcPr>
          <w:p>
            <w:pPr>
              <w:spacing w:after="0"/>
              <w:rPr>
                <w:sz w:val="24"/>
                <w:szCs w:val="24"/>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2,097</w:t>
            </w:r>
          </w:p>
        </w:tc>
      </w:tr>
      <w:tr>
        <w:trPr>
          <w:trHeight w:val="263"/>
        </w:trPr>
        <w:tc>
          <w:tcPr>
            <w:tcW w:w="20" w:type="dxa"/>
            <w:vAlign w:val="bottom"/>
          </w:tcPr>
          <w:p>
            <w:pPr>
              <w:spacing w:after="0"/>
              <w:rPr>
                <w:sz w:val="22"/>
                <w:szCs w:val="22"/>
                <w:color w:val="auto"/>
              </w:rPr>
            </w:pPr>
          </w:p>
        </w:tc>
        <w:tc>
          <w:tcPr>
            <w:tcW w:w="8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4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77"/>
        </w:trPr>
        <w:tc>
          <w:tcPr>
            <w:tcW w:w="20" w:type="dxa"/>
            <w:vAlign w:val="bottom"/>
            <w:shd w:val="clear" w:color="auto" w:fill="CFF0FC"/>
          </w:tcPr>
          <w:p>
            <w:pPr>
              <w:spacing w:after="0"/>
              <w:rPr>
                <w:sz w:val="24"/>
                <w:szCs w:val="24"/>
                <w:color w:val="auto"/>
              </w:rPr>
            </w:pPr>
          </w:p>
        </w:tc>
        <w:tc>
          <w:tcPr>
            <w:tcW w:w="8160" w:type="dxa"/>
            <w:vAlign w:val="bottom"/>
            <w:gridSpan w:val="2"/>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Accounts receivable</w:t>
            </w:r>
          </w:p>
        </w:tc>
        <w:tc>
          <w:tcPr>
            <w:tcW w:w="440" w:type="dxa"/>
            <w:vAlign w:val="bottom"/>
            <w:shd w:val="clear" w:color="auto" w:fill="CFF0FC"/>
          </w:tcPr>
          <w:p>
            <w:pPr>
              <w:spacing w:after="0"/>
              <w:rPr>
                <w:sz w:val="24"/>
                <w:szCs w:val="24"/>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28,088</w:t>
            </w:r>
          </w:p>
        </w:tc>
        <w:tc>
          <w:tcPr>
            <w:tcW w:w="100" w:type="dxa"/>
            <w:vAlign w:val="bottom"/>
            <w:shd w:val="clear" w:color="auto" w:fill="CFF0FC"/>
          </w:tcPr>
          <w:p>
            <w:pPr>
              <w:spacing w:after="0"/>
              <w:rPr>
                <w:sz w:val="24"/>
                <w:szCs w:val="24"/>
                <w:color w:val="auto"/>
              </w:rPr>
            </w:pPr>
          </w:p>
        </w:tc>
        <w:tc>
          <w:tcPr>
            <w:tcW w:w="260" w:type="dxa"/>
            <w:vAlign w:val="bottom"/>
            <w:shd w:val="clear" w:color="auto" w:fill="CFF0FC"/>
          </w:tcPr>
          <w:p>
            <w:pPr>
              <w:spacing w:after="0"/>
              <w:rPr>
                <w:sz w:val="24"/>
                <w:szCs w:val="24"/>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(39,635)</w:t>
            </w:r>
          </w:p>
        </w:tc>
      </w:tr>
      <w:tr>
        <w:trPr>
          <w:trHeight w:val="263"/>
        </w:trPr>
        <w:tc>
          <w:tcPr>
            <w:tcW w:w="20" w:type="dxa"/>
            <w:vAlign w:val="bottom"/>
          </w:tcPr>
          <w:p>
            <w:pPr>
              <w:spacing w:after="0"/>
              <w:rPr>
                <w:sz w:val="22"/>
                <w:szCs w:val="22"/>
                <w:color w:val="auto"/>
              </w:rPr>
            </w:pPr>
          </w:p>
        </w:tc>
        <w:tc>
          <w:tcPr>
            <w:tcW w:w="81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Unbilled receivables</w:t>
            </w:r>
          </w:p>
        </w:tc>
        <w:tc>
          <w:tcPr>
            <w:tcW w:w="44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(52,256)</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(10,441)</w:t>
            </w:r>
          </w:p>
        </w:tc>
      </w:tr>
      <w:tr>
        <w:trPr>
          <w:trHeight w:val="277"/>
        </w:trPr>
        <w:tc>
          <w:tcPr>
            <w:tcW w:w="20" w:type="dxa"/>
            <w:vAlign w:val="bottom"/>
            <w:shd w:val="clear" w:color="auto" w:fill="CFF0FC"/>
          </w:tcPr>
          <w:p>
            <w:pPr>
              <w:spacing w:after="0"/>
              <w:rPr>
                <w:sz w:val="24"/>
                <w:szCs w:val="24"/>
                <w:color w:val="auto"/>
              </w:rPr>
            </w:pPr>
          </w:p>
        </w:tc>
        <w:tc>
          <w:tcPr>
            <w:tcW w:w="8160" w:type="dxa"/>
            <w:vAlign w:val="bottom"/>
            <w:gridSpan w:val="2"/>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Inventory</w:t>
            </w:r>
          </w:p>
        </w:tc>
        <w:tc>
          <w:tcPr>
            <w:tcW w:w="440" w:type="dxa"/>
            <w:vAlign w:val="bottom"/>
            <w:shd w:val="clear" w:color="auto" w:fill="CFF0FC"/>
          </w:tcPr>
          <w:p>
            <w:pPr>
              <w:spacing w:after="0"/>
              <w:rPr>
                <w:sz w:val="24"/>
                <w:szCs w:val="24"/>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(15,274)</w:t>
            </w:r>
          </w:p>
        </w:tc>
        <w:tc>
          <w:tcPr>
            <w:tcW w:w="100" w:type="dxa"/>
            <w:vAlign w:val="bottom"/>
            <w:shd w:val="clear" w:color="auto" w:fill="CFF0FC"/>
          </w:tcPr>
          <w:p>
            <w:pPr>
              <w:spacing w:after="0"/>
              <w:rPr>
                <w:sz w:val="24"/>
                <w:szCs w:val="24"/>
                <w:color w:val="auto"/>
              </w:rPr>
            </w:pPr>
          </w:p>
        </w:tc>
        <w:tc>
          <w:tcPr>
            <w:tcW w:w="260" w:type="dxa"/>
            <w:vAlign w:val="bottom"/>
            <w:shd w:val="clear" w:color="auto" w:fill="CFF0FC"/>
          </w:tcPr>
          <w:p>
            <w:pPr>
              <w:spacing w:after="0"/>
              <w:rPr>
                <w:sz w:val="24"/>
                <w:szCs w:val="24"/>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3,762</w:t>
            </w:r>
          </w:p>
        </w:tc>
      </w:tr>
      <w:tr>
        <w:trPr>
          <w:trHeight w:val="263"/>
        </w:trPr>
        <w:tc>
          <w:tcPr>
            <w:tcW w:w="20" w:type="dxa"/>
            <w:vAlign w:val="bottom"/>
          </w:tcPr>
          <w:p>
            <w:pPr>
              <w:spacing w:after="0"/>
              <w:rPr>
                <w:sz w:val="22"/>
                <w:szCs w:val="22"/>
                <w:color w:val="auto"/>
              </w:rPr>
            </w:pPr>
          </w:p>
        </w:tc>
        <w:tc>
          <w:tcPr>
            <w:tcW w:w="81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44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8,060</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(5,144)</w:t>
            </w:r>
          </w:p>
        </w:tc>
      </w:tr>
      <w:tr>
        <w:trPr>
          <w:trHeight w:val="277"/>
        </w:trPr>
        <w:tc>
          <w:tcPr>
            <w:tcW w:w="20" w:type="dxa"/>
            <w:vAlign w:val="bottom"/>
            <w:shd w:val="clear" w:color="auto" w:fill="CFF0FC"/>
          </w:tcPr>
          <w:p>
            <w:pPr>
              <w:spacing w:after="0"/>
              <w:rPr>
                <w:sz w:val="24"/>
                <w:szCs w:val="24"/>
                <w:color w:val="auto"/>
              </w:rPr>
            </w:pPr>
          </w:p>
        </w:tc>
        <w:tc>
          <w:tcPr>
            <w:tcW w:w="8160" w:type="dxa"/>
            <w:vAlign w:val="bottom"/>
            <w:gridSpan w:val="2"/>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Deferred revenue</w:t>
            </w:r>
          </w:p>
        </w:tc>
        <w:tc>
          <w:tcPr>
            <w:tcW w:w="440" w:type="dxa"/>
            <w:vAlign w:val="bottom"/>
            <w:shd w:val="clear" w:color="auto" w:fill="CFF0FC"/>
          </w:tcPr>
          <w:p>
            <w:pPr>
              <w:spacing w:after="0"/>
              <w:rPr>
                <w:sz w:val="24"/>
                <w:szCs w:val="24"/>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2,128</w:t>
            </w:r>
          </w:p>
        </w:tc>
        <w:tc>
          <w:tcPr>
            <w:tcW w:w="100" w:type="dxa"/>
            <w:vAlign w:val="bottom"/>
            <w:shd w:val="clear" w:color="auto" w:fill="CFF0FC"/>
          </w:tcPr>
          <w:p>
            <w:pPr>
              <w:spacing w:after="0"/>
              <w:rPr>
                <w:sz w:val="24"/>
                <w:szCs w:val="24"/>
                <w:color w:val="auto"/>
              </w:rPr>
            </w:pPr>
          </w:p>
        </w:tc>
        <w:tc>
          <w:tcPr>
            <w:tcW w:w="260" w:type="dxa"/>
            <w:vAlign w:val="bottom"/>
            <w:shd w:val="clear" w:color="auto" w:fill="CFF0FC"/>
          </w:tcPr>
          <w:p>
            <w:pPr>
              <w:spacing w:after="0"/>
              <w:rPr>
                <w:sz w:val="24"/>
                <w:szCs w:val="24"/>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(498)</w:t>
            </w:r>
          </w:p>
        </w:tc>
      </w:tr>
      <w:tr>
        <w:trPr>
          <w:trHeight w:val="263"/>
        </w:trPr>
        <w:tc>
          <w:tcPr>
            <w:tcW w:w="20" w:type="dxa"/>
            <w:vAlign w:val="bottom"/>
          </w:tcPr>
          <w:p>
            <w:pPr>
              <w:spacing w:after="0"/>
              <w:rPr>
                <w:sz w:val="22"/>
                <w:szCs w:val="22"/>
                <w:color w:val="auto"/>
              </w:rPr>
            </w:pPr>
          </w:p>
        </w:tc>
        <w:tc>
          <w:tcPr>
            <w:tcW w:w="81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Accounts payable and other current liabilities</w:t>
            </w:r>
          </w:p>
        </w:tc>
        <w:tc>
          <w:tcPr>
            <w:tcW w:w="44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8,958</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28,285</w:t>
            </w:r>
          </w:p>
        </w:tc>
      </w:tr>
      <w:tr>
        <w:trPr>
          <w:trHeight w:val="270"/>
        </w:trPr>
        <w:tc>
          <w:tcPr>
            <w:tcW w:w="20" w:type="dxa"/>
            <w:vAlign w:val="bottom"/>
            <w:shd w:val="clear" w:color="auto" w:fill="CFF0FC"/>
          </w:tcPr>
          <w:p>
            <w:pPr>
              <w:spacing w:after="0"/>
              <w:rPr>
                <w:sz w:val="23"/>
                <w:szCs w:val="23"/>
                <w:color w:val="auto"/>
              </w:rPr>
            </w:pPr>
          </w:p>
        </w:tc>
        <w:tc>
          <w:tcPr>
            <w:tcW w:w="8160" w:type="dxa"/>
            <w:vAlign w:val="bottom"/>
            <w:gridSpan w:val="2"/>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Other liabilities</w:t>
            </w:r>
          </w:p>
        </w:tc>
        <w:tc>
          <w:tcPr>
            <w:tcW w:w="440" w:type="dxa"/>
            <w:vAlign w:val="bottom"/>
            <w:tcBorders>
              <w:bottom w:val="single" w:sz="8" w:color="auto"/>
            </w:tcBorders>
            <w:shd w:val="clear" w:color="auto" w:fill="CFF0FC"/>
          </w:tcPr>
          <w:p>
            <w:pPr>
              <w:spacing w:after="0"/>
              <w:rPr>
                <w:sz w:val="23"/>
                <w:szCs w:val="23"/>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8,347</w:t>
            </w:r>
          </w:p>
        </w:tc>
        <w:tc>
          <w:tcPr>
            <w:tcW w:w="100" w:type="dxa"/>
            <w:vAlign w:val="bottom"/>
            <w:shd w:val="clear" w:color="auto" w:fill="CFF0FC"/>
          </w:tcPr>
          <w:p>
            <w:pPr>
              <w:spacing w:after="0"/>
              <w:rPr>
                <w:sz w:val="23"/>
                <w:szCs w:val="23"/>
                <w:color w:val="auto"/>
              </w:rPr>
            </w:pPr>
          </w:p>
        </w:tc>
        <w:tc>
          <w:tcPr>
            <w:tcW w:w="260" w:type="dxa"/>
            <w:vAlign w:val="bottom"/>
            <w:tcBorders>
              <w:bottom w:val="single" w:sz="8" w:color="auto"/>
            </w:tcBorders>
            <w:shd w:val="clear" w:color="auto" w:fill="CFF0FC"/>
          </w:tcPr>
          <w:p>
            <w:pPr>
              <w:spacing w:after="0"/>
              <w:rPr>
                <w:sz w:val="23"/>
                <w:szCs w:val="23"/>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(8,552)</w:t>
            </w:r>
          </w:p>
        </w:tc>
      </w:tr>
      <w:tr>
        <w:trPr>
          <w:trHeight w:val="263"/>
        </w:trPr>
        <w:tc>
          <w:tcPr>
            <w:tcW w:w="20" w:type="dxa"/>
            <w:vAlign w:val="bottom"/>
          </w:tcPr>
          <w:p>
            <w:pPr>
              <w:spacing w:after="0"/>
              <w:rPr>
                <w:sz w:val="22"/>
                <w:szCs w:val="22"/>
                <w:color w:val="auto"/>
              </w:rPr>
            </w:pPr>
          </w:p>
        </w:tc>
        <w:tc>
          <w:tcPr>
            <w:tcW w:w="8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44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211,775</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215,828</w:t>
            </w:r>
          </w:p>
        </w:tc>
      </w:tr>
      <w:tr>
        <w:trPr>
          <w:trHeight w:val="277"/>
        </w:trPr>
        <w:tc>
          <w:tcPr>
            <w:tcW w:w="20" w:type="dxa"/>
            <w:vAlign w:val="bottom"/>
            <w:shd w:val="clear" w:color="auto" w:fill="CFF0FC"/>
          </w:tcPr>
          <w:p>
            <w:pPr>
              <w:spacing w:after="0"/>
              <w:rPr>
                <w:sz w:val="24"/>
                <w:szCs w:val="24"/>
                <w:color w:val="auto"/>
              </w:rPr>
            </w:pPr>
          </w:p>
        </w:tc>
        <w:tc>
          <w:tcPr>
            <w:tcW w:w="81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440" w:type="dxa"/>
            <w:vAlign w:val="bottom"/>
            <w:shd w:val="clear" w:color="auto" w:fill="CFF0FC"/>
          </w:tcPr>
          <w:p>
            <w:pPr>
              <w:spacing w:after="0"/>
              <w:rPr>
                <w:sz w:val="24"/>
                <w:szCs w:val="24"/>
                <w:color w:val="auto"/>
              </w:rPr>
            </w:pPr>
          </w:p>
        </w:tc>
        <w:tc>
          <w:tcPr>
            <w:tcW w:w="1040" w:type="dxa"/>
            <w:vAlign w:val="bottom"/>
            <w:shd w:val="clear" w:color="auto" w:fill="CFF0FC"/>
          </w:tcPr>
          <w:p>
            <w:pPr>
              <w:spacing w:after="0"/>
              <w:rPr>
                <w:sz w:val="24"/>
                <w:szCs w:val="24"/>
                <w:color w:val="auto"/>
              </w:rPr>
            </w:pPr>
          </w:p>
        </w:tc>
        <w:tc>
          <w:tcPr>
            <w:tcW w:w="100" w:type="dxa"/>
            <w:vAlign w:val="bottom"/>
            <w:shd w:val="clear" w:color="auto" w:fill="CFF0FC"/>
          </w:tcPr>
          <w:p>
            <w:pPr>
              <w:spacing w:after="0"/>
              <w:rPr>
                <w:sz w:val="24"/>
                <w:szCs w:val="24"/>
                <w:color w:val="auto"/>
              </w:rPr>
            </w:pPr>
          </w:p>
        </w:tc>
        <w:tc>
          <w:tcPr>
            <w:tcW w:w="260" w:type="dxa"/>
            <w:vAlign w:val="bottom"/>
            <w:shd w:val="clear" w:color="auto" w:fill="CFF0FC"/>
          </w:tcPr>
          <w:p>
            <w:pPr>
              <w:spacing w:after="0"/>
              <w:rPr>
                <w:sz w:val="24"/>
                <w:szCs w:val="24"/>
                <w:color w:val="auto"/>
              </w:rPr>
            </w:pPr>
          </w:p>
        </w:tc>
        <w:tc>
          <w:tcPr>
            <w:tcW w:w="1220" w:type="dxa"/>
            <w:vAlign w:val="bottom"/>
            <w:shd w:val="clear" w:color="auto" w:fill="CFF0FC"/>
          </w:tcPr>
          <w:p>
            <w:pPr>
              <w:spacing w:after="0"/>
              <w:rPr>
                <w:sz w:val="24"/>
                <w:szCs w:val="24"/>
                <w:color w:val="auto"/>
              </w:rPr>
            </w:pPr>
          </w:p>
        </w:tc>
      </w:tr>
      <w:tr>
        <w:trPr>
          <w:trHeight w:val="263"/>
        </w:trPr>
        <w:tc>
          <w:tcPr>
            <w:tcW w:w="20" w:type="dxa"/>
            <w:vAlign w:val="bottom"/>
          </w:tcPr>
          <w:p>
            <w:pPr>
              <w:spacing w:after="0"/>
              <w:rPr>
                <w:sz w:val="22"/>
                <w:szCs w:val="22"/>
                <w:color w:val="auto"/>
              </w:rPr>
            </w:pPr>
          </w:p>
        </w:tc>
        <w:tc>
          <w:tcPr>
            <w:tcW w:w="81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Purchases of installation and service parts and property and equipment</w:t>
            </w:r>
          </w:p>
        </w:tc>
        <w:tc>
          <w:tcPr>
            <w:tcW w:w="44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(80,165)</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(84,868)</w:t>
            </w:r>
          </w:p>
        </w:tc>
      </w:tr>
      <w:tr>
        <w:trPr>
          <w:trHeight w:val="270"/>
        </w:trPr>
        <w:tc>
          <w:tcPr>
            <w:tcW w:w="20" w:type="dxa"/>
            <w:vAlign w:val="bottom"/>
            <w:shd w:val="clear" w:color="auto" w:fill="CFF0FC"/>
          </w:tcPr>
          <w:p>
            <w:pPr>
              <w:spacing w:after="0"/>
              <w:rPr>
                <w:sz w:val="23"/>
                <w:szCs w:val="23"/>
                <w:color w:val="auto"/>
              </w:rPr>
            </w:pPr>
          </w:p>
        </w:tc>
        <w:tc>
          <w:tcPr>
            <w:tcW w:w="8160" w:type="dxa"/>
            <w:vAlign w:val="bottom"/>
            <w:gridSpan w:val="2"/>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Cash proceeds from the sale of assets</w:t>
            </w:r>
          </w:p>
        </w:tc>
        <w:tc>
          <w:tcPr>
            <w:tcW w:w="440" w:type="dxa"/>
            <w:vAlign w:val="bottom"/>
            <w:tcBorders>
              <w:bottom w:val="single" w:sz="8" w:color="auto"/>
            </w:tcBorders>
            <w:shd w:val="clear" w:color="auto" w:fill="CFF0FC"/>
          </w:tcPr>
          <w:p>
            <w:pPr>
              <w:spacing w:after="0"/>
              <w:rPr>
                <w:sz w:val="23"/>
                <w:szCs w:val="23"/>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100" w:type="dxa"/>
            <w:vAlign w:val="bottom"/>
            <w:shd w:val="clear" w:color="auto" w:fill="CFF0FC"/>
          </w:tcPr>
          <w:p>
            <w:pPr>
              <w:spacing w:after="0"/>
              <w:rPr>
                <w:sz w:val="23"/>
                <w:szCs w:val="23"/>
                <w:color w:val="auto"/>
              </w:rPr>
            </w:pPr>
          </w:p>
        </w:tc>
        <w:tc>
          <w:tcPr>
            <w:tcW w:w="260" w:type="dxa"/>
            <w:vAlign w:val="bottom"/>
            <w:tcBorders>
              <w:bottom w:val="single" w:sz="8" w:color="auto"/>
            </w:tcBorders>
            <w:shd w:val="clear" w:color="auto" w:fill="CFF0FC"/>
          </w:tcPr>
          <w:p>
            <w:pPr>
              <w:spacing w:after="0"/>
              <w:rPr>
                <w:sz w:val="23"/>
                <w:szCs w:val="23"/>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w:t>
            </w:r>
          </w:p>
        </w:tc>
      </w:tr>
      <w:tr>
        <w:trPr>
          <w:trHeight w:val="263"/>
        </w:trPr>
        <w:tc>
          <w:tcPr>
            <w:tcW w:w="20" w:type="dxa"/>
            <w:vAlign w:val="bottom"/>
          </w:tcPr>
          <w:p>
            <w:pPr>
              <w:spacing w:after="0"/>
              <w:rPr>
                <w:sz w:val="22"/>
                <w:szCs w:val="22"/>
                <w:color w:val="auto"/>
              </w:rPr>
            </w:pPr>
          </w:p>
        </w:tc>
        <w:tc>
          <w:tcPr>
            <w:tcW w:w="8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44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(79,658)</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(84,653)</w:t>
            </w:r>
          </w:p>
        </w:tc>
      </w:tr>
      <w:tr>
        <w:trPr>
          <w:trHeight w:val="277"/>
        </w:trPr>
        <w:tc>
          <w:tcPr>
            <w:tcW w:w="20" w:type="dxa"/>
            <w:vAlign w:val="bottom"/>
            <w:shd w:val="clear" w:color="auto" w:fill="CFF0FC"/>
          </w:tcPr>
          <w:p>
            <w:pPr>
              <w:spacing w:after="0"/>
              <w:rPr>
                <w:sz w:val="24"/>
                <w:szCs w:val="24"/>
                <w:color w:val="auto"/>
              </w:rPr>
            </w:pPr>
          </w:p>
        </w:tc>
        <w:tc>
          <w:tcPr>
            <w:tcW w:w="81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440" w:type="dxa"/>
            <w:vAlign w:val="bottom"/>
            <w:shd w:val="clear" w:color="auto" w:fill="CFF0FC"/>
          </w:tcPr>
          <w:p>
            <w:pPr>
              <w:spacing w:after="0"/>
              <w:rPr>
                <w:sz w:val="24"/>
                <w:szCs w:val="24"/>
                <w:color w:val="auto"/>
              </w:rPr>
            </w:pPr>
          </w:p>
        </w:tc>
        <w:tc>
          <w:tcPr>
            <w:tcW w:w="1040" w:type="dxa"/>
            <w:vAlign w:val="bottom"/>
            <w:shd w:val="clear" w:color="auto" w:fill="CFF0FC"/>
          </w:tcPr>
          <w:p>
            <w:pPr>
              <w:spacing w:after="0"/>
              <w:rPr>
                <w:sz w:val="24"/>
                <w:szCs w:val="24"/>
                <w:color w:val="auto"/>
              </w:rPr>
            </w:pPr>
          </w:p>
        </w:tc>
        <w:tc>
          <w:tcPr>
            <w:tcW w:w="100" w:type="dxa"/>
            <w:vAlign w:val="bottom"/>
            <w:shd w:val="clear" w:color="auto" w:fill="CFF0FC"/>
          </w:tcPr>
          <w:p>
            <w:pPr>
              <w:spacing w:after="0"/>
              <w:rPr>
                <w:sz w:val="24"/>
                <w:szCs w:val="24"/>
                <w:color w:val="auto"/>
              </w:rPr>
            </w:pPr>
          </w:p>
        </w:tc>
        <w:tc>
          <w:tcPr>
            <w:tcW w:w="260" w:type="dxa"/>
            <w:vAlign w:val="bottom"/>
            <w:shd w:val="clear" w:color="auto" w:fill="CFF0FC"/>
          </w:tcPr>
          <w:p>
            <w:pPr>
              <w:spacing w:after="0"/>
              <w:rPr>
                <w:sz w:val="24"/>
                <w:szCs w:val="24"/>
                <w:color w:val="auto"/>
              </w:rPr>
            </w:pPr>
          </w:p>
        </w:tc>
        <w:tc>
          <w:tcPr>
            <w:tcW w:w="1220" w:type="dxa"/>
            <w:vAlign w:val="bottom"/>
            <w:shd w:val="clear" w:color="auto" w:fill="CFF0FC"/>
          </w:tcPr>
          <w:p>
            <w:pPr>
              <w:spacing w:after="0"/>
              <w:rPr>
                <w:sz w:val="24"/>
                <w:szCs w:val="24"/>
                <w:color w:val="auto"/>
              </w:rPr>
            </w:pPr>
          </w:p>
        </w:tc>
      </w:tr>
      <w:tr>
        <w:trPr>
          <w:trHeight w:val="263"/>
        </w:trPr>
        <w:tc>
          <w:tcPr>
            <w:tcW w:w="20" w:type="dxa"/>
            <w:vAlign w:val="bottom"/>
          </w:tcPr>
          <w:p>
            <w:pPr>
              <w:spacing w:after="0"/>
              <w:rPr>
                <w:sz w:val="22"/>
                <w:szCs w:val="22"/>
                <w:color w:val="auto"/>
              </w:rPr>
            </w:pPr>
          </w:p>
        </w:tc>
        <w:tc>
          <w:tcPr>
            <w:tcW w:w="81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Borrowings on Amended Revolver</w:t>
            </w:r>
          </w:p>
        </w:tc>
        <w:tc>
          <w:tcPr>
            <w:tcW w:w="44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133,500</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7"/>
        </w:trPr>
        <w:tc>
          <w:tcPr>
            <w:tcW w:w="20" w:type="dxa"/>
            <w:vAlign w:val="bottom"/>
            <w:shd w:val="clear" w:color="auto" w:fill="CFF0FC"/>
          </w:tcPr>
          <w:p>
            <w:pPr>
              <w:spacing w:after="0"/>
              <w:rPr>
                <w:sz w:val="24"/>
                <w:szCs w:val="24"/>
                <w:color w:val="auto"/>
              </w:rPr>
            </w:pPr>
          </w:p>
        </w:tc>
        <w:tc>
          <w:tcPr>
            <w:tcW w:w="8160" w:type="dxa"/>
            <w:vAlign w:val="bottom"/>
            <w:gridSpan w:val="2"/>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Repayment on Amended Revolver</w:t>
            </w:r>
          </w:p>
        </w:tc>
        <w:tc>
          <w:tcPr>
            <w:tcW w:w="440" w:type="dxa"/>
            <w:vAlign w:val="bottom"/>
            <w:shd w:val="clear" w:color="auto" w:fill="CFF0FC"/>
          </w:tcPr>
          <w:p>
            <w:pPr>
              <w:spacing w:after="0"/>
              <w:rPr>
                <w:sz w:val="24"/>
                <w:szCs w:val="24"/>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(133,500)</w:t>
            </w:r>
          </w:p>
        </w:tc>
        <w:tc>
          <w:tcPr>
            <w:tcW w:w="100" w:type="dxa"/>
            <w:vAlign w:val="bottom"/>
            <w:shd w:val="clear" w:color="auto" w:fill="CFF0FC"/>
          </w:tcPr>
          <w:p>
            <w:pPr>
              <w:spacing w:after="0"/>
              <w:rPr>
                <w:sz w:val="24"/>
                <w:szCs w:val="24"/>
                <w:color w:val="auto"/>
              </w:rPr>
            </w:pPr>
          </w:p>
        </w:tc>
        <w:tc>
          <w:tcPr>
            <w:tcW w:w="260" w:type="dxa"/>
            <w:vAlign w:val="bottom"/>
            <w:shd w:val="clear" w:color="auto" w:fill="CFF0FC"/>
          </w:tcPr>
          <w:p>
            <w:pPr>
              <w:spacing w:after="0"/>
              <w:rPr>
                <w:sz w:val="24"/>
                <w:szCs w:val="24"/>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20" w:type="dxa"/>
            <w:vAlign w:val="bottom"/>
          </w:tcPr>
          <w:p>
            <w:pPr>
              <w:spacing w:after="0"/>
              <w:rPr>
                <w:sz w:val="22"/>
                <w:szCs w:val="22"/>
                <w:color w:val="auto"/>
              </w:rPr>
            </w:pPr>
          </w:p>
        </w:tc>
        <w:tc>
          <w:tcPr>
            <w:tcW w:w="81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Repayment of term loan debt</w:t>
            </w:r>
          </w:p>
        </w:tc>
        <w:tc>
          <w:tcPr>
            <w:tcW w:w="44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(5,166)</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(6,764)</w:t>
            </w:r>
          </w:p>
        </w:tc>
      </w:tr>
      <w:tr>
        <w:trPr>
          <w:trHeight w:val="277"/>
        </w:trPr>
        <w:tc>
          <w:tcPr>
            <w:tcW w:w="20" w:type="dxa"/>
            <w:vAlign w:val="bottom"/>
            <w:shd w:val="clear" w:color="auto" w:fill="CFF0FC"/>
          </w:tcPr>
          <w:p>
            <w:pPr>
              <w:spacing w:after="0"/>
              <w:rPr>
                <w:sz w:val="24"/>
                <w:szCs w:val="24"/>
                <w:color w:val="auto"/>
              </w:rPr>
            </w:pPr>
          </w:p>
        </w:tc>
        <w:tc>
          <w:tcPr>
            <w:tcW w:w="8160" w:type="dxa"/>
            <w:vAlign w:val="bottom"/>
            <w:gridSpan w:val="2"/>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Equipment financing arrangements</w:t>
            </w:r>
          </w:p>
        </w:tc>
        <w:tc>
          <w:tcPr>
            <w:tcW w:w="440" w:type="dxa"/>
            <w:vAlign w:val="bottom"/>
            <w:shd w:val="clear" w:color="auto" w:fill="CFF0FC"/>
          </w:tcPr>
          <w:p>
            <w:pPr>
              <w:spacing w:after="0"/>
              <w:rPr>
                <w:sz w:val="24"/>
                <w:szCs w:val="24"/>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2,923</w:t>
            </w:r>
          </w:p>
        </w:tc>
        <w:tc>
          <w:tcPr>
            <w:tcW w:w="100" w:type="dxa"/>
            <w:vAlign w:val="bottom"/>
            <w:shd w:val="clear" w:color="auto" w:fill="CFF0FC"/>
          </w:tcPr>
          <w:p>
            <w:pPr>
              <w:spacing w:after="0"/>
              <w:rPr>
                <w:sz w:val="24"/>
                <w:szCs w:val="24"/>
                <w:color w:val="auto"/>
              </w:rPr>
            </w:pPr>
          </w:p>
        </w:tc>
        <w:tc>
          <w:tcPr>
            <w:tcW w:w="260" w:type="dxa"/>
            <w:vAlign w:val="bottom"/>
            <w:shd w:val="clear" w:color="auto" w:fill="CFF0FC"/>
          </w:tcPr>
          <w:p>
            <w:pPr>
              <w:spacing w:after="0"/>
              <w:rPr>
                <w:sz w:val="24"/>
                <w:szCs w:val="24"/>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20" w:type="dxa"/>
            <w:vAlign w:val="bottom"/>
          </w:tcPr>
          <w:p>
            <w:pPr>
              <w:spacing w:after="0"/>
              <w:rPr>
                <w:sz w:val="22"/>
                <w:szCs w:val="22"/>
                <w:color w:val="auto"/>
              </w:rPr>
            </w:pPr>
          </w:p>
        </w:tc>
        <w:tc>
          <w:tcPr>
            <w:tcW w:w="81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Repayment of equipment financing arrangements</w:t>
            </w:r>
          </w:p>
        </w:tc>
        <w:tc>
          <w:tcPr>
            <w:tcW w:w="44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(942)</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7"/>
        </w:trPr>
        <w:tc>
          <w:tcPr>
            <w:tcW w:w="20" w:type="dxa"/>
            <w:vAlign w:val="bottom"/>
            <w:shd w:val="clear" w:color="auto" w:fill="CFF0FC"/>
          </w:tcPr>
          <w:p>
            <w:pPr>
              <w:spacing w:after="0"/>
              <w:rPr>
                <w:sz w:val="24"/>
                <w:szCs w:val="24"/>
                <w:color w:val="auto"/>
              </w:rPr>
            </w:pPr>
          </w:p>
        </w:tc>
        <w:tc>
          <w:tcPr>
            <w:tcW w:w="8160" w:type="dxa"/>
            <w:vAlign w:val="bottom"/>
            <w:gridSpan w:val="2"/>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Payment of debt issuance costs</w:t>
            </w:r>
          </w:p>
        </w:tc>
        <w:tc>
          <w:tcPr>
            <w:tcW w:w="440" w:type="dxa"/>
            <w:vAlign w:val="bottom"/>
            <w:shd w:val="clear" w:color="auto" w:fill="CFF0FC"/>
          </w:tcPr>
          <w:p>
            <w:pPr>
              <w:spacing w:after="0"/>
              <w:rPr>
                <w:sz w:val="24"/>
                <w:szCs w:val="24"/>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(718)</w:t>
            </w:r>
          </w:p>
        </w:tc>
        <w:tc>
          <w:tcPr>
            <w:tcW w:w="100" w:type="dxa"/>
            <w:vAlign w:val="bottom"/>
            <w:shd w:val="clear" w:color="auto" w:fill="CFF0FC"/>
          </w:tcPr>
          <w:p>
            <w:pPr>
              <w:spacing w:after="0"/>
              <w:rPr>
                <w:sz w:val="24"/>
                <w:szCs w:val="24"/>
                <w:color w:val="auto"/>
              </w:rPr>
            </w:pPr>
          </w:p>
        </w:tc>
        <w:tc>
          <w:tcPr>
            <w:tcW w:w="260" w:type="dxa"/>
            <w:vAlign w:val="bottom"/>
            <w:shd w:val="clear" w:color="auto" w:fill="CFF0FC"/>
          </w:tcPr>
          <w:p>
            <w:pPr>
              <w:spacing w:after="0"/>
              <w:rPr>
                <w:sz w:val="24"/>
                <w:szCs w:val="24"/>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(449)</w:t>
            </w:r>
          </w:p>
        </w:tc>
      </w:tr>
      <w:tr>
        <w:trPr>
          <w:trHeight w:val="263"/>
        </w:trPr>
        <w:tc>
          <w:tcPr>
            <w:tcW w:w="20" w:type="dxa"/>
            <w:vAlign w:val="bottom"/>
          </w:tcPr>
          <w:p>
            <w:pPr>
              <w:spacing w:after="0"/>
              <w:rPr>
                <w:sz w:val="22"/>
                <w:szCs w:val="22"/>
                <w:color w:val="auto"/>
              </w:rPr>
            </w:pPr>
          </w:p>
        </w:tc>
        <w:tc>
          <w:tcPr>
            <w:tcW w:w="81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Share repurchases and retirement</w:t>
            </w:r>
          </w:p>
        </w:tc>
        <w:tc>
          <w:tcPr>
            <w:tcW w:w="44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(51,567)</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7"/>
        </w:trPr>
        <w:tc>
          <w:tcPr>
            <w:tcW w:w="20" w:type="dxa"/>
            <w:vAlign w:val="bottom"/>
            <w:shd w:val="clear" w:color="auto" w:fill="CFF0FC"/>
          </w:tcPr>
          <w:p>
            <w:pPr>
              <w:spacing w:after="0"/>
              <w:rPr>
                <w:sz w:val="24"/>
                <w:szCs w:val="24"/>
                <w:color w:val="auto"/>
              </w:rPr>
            </w:pPr>
          </w:p>
        </w:tc>
        <w:tc>
          <w:tcPr>
            <w:tcW w:w="8160" w:type="dxa"/>
            <w:vAlign w:val="bottom"/>
            <w:gridSpan w:val="2"/>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Proceeds from the exercise of stock options</w:t>
            </w:r>
          </w:p>
        </w:tc>
        <w:tc>
          <w:tcPr>
            <w:tcW w:w="440" w:type="dxa"/>
            <w:vAlign w:val="bottom"/>
            <w:shd w:val="clear" w:color="auto" w:fill="CFF0FC"/>
          </w:tcPr>
          <w:p>
            <w:pPr>
              <w:spacing w:after="0"/>
              <w:rPr>
                <w:sz w:val="24"/>
                <w:szCs w:val="24"/>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100" w:type="dxa"/>
            <w:vAlign w:val="bottom"/>
            <w:shd w:val="clear" w:color="auto" w:fill="CFF0FC"/>
          </w:tcPr>
          <w:p>
            <w:pPr>
              <w:spacing w:after="0"/>
              <w:rPr>
                <w:sz w:val="24"/>
                <w:szCs w:val="24"/>
                <w:color w:val="auto"/>
              </w:rPr>
            </w:pPr>
          </w:p>
        </w:tc>
        <w:tc>
          <w:tcPr>
            <w:tcW w:w="260" w:type="dxa"/>
            <w:vAlign w:val="bottom"/>
            <w:shd w:val="clear" w:color="auto" w:fill="CFF0FC"/>
          </w:tcPr>
          <w:p>
            <w:pPr>
              <w:spacing w:after="0"/>
              <w:rPr>
                <w:sz w:val="24"/>
                <w:szCs w:val="24"/>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1,054</w:t>
            </w:r>
          </w:p>
        </w:tc>
      </w:tr>
      <w:tr>
        <w:trPr>
          <w:trHeight w:val="264"/>
        </w:trPr>
        <w:tc>
          <w:tcPr>
            <w:tcW w:w="20" w:type="dxa"/>
            <w:vAlign w:val="bottom"/>
            <w:tcBorders>
              <w:bottom w:val="single" w:sz="8" w:color="CFF0FC"/>
            </w:tcBorders>
          </w:tcPr>
          <w:p>
            <w:pPr>
              <w:spacing w:after="0"/>
              <w:rPr>
                <w:sz w:val="22"/>
                <w:szCs w:val="22"/>
                <w:color w:val="auto"/>
              </w:rPr>
            </w:pPr>
          </w:p>
        </w:tc>
        <w:tc>
          <w:tcPr>
            <w:tcW w:w="8160" w:type="dxa"/>
            <w:vAlign w:val="bottom"/>
            <w:tcBorders>
              <w:bottom w:val="single" w:sz="8" w:color="CFF0FC"/>
            </w:tcBorders>
            <w:gridSpan w:val="2"/>
          </w:tcPr>
          <w:p>
            <w:pPr>
              <w:ind w:left="340"/>
              <w:spacing w:after="0"/>
              <w:rPr>
                <w:sz w:val="20"/>
                <w:szCs w:val="20"/>
                <w:color w:val="auto"/>
              </w:rPr>
            </w:pPr>
            <w:r>
              <w:rPr>
                <w:rFonts w:ascii="Times New Roman" w:cs="Times New Roman" w:eastAsia="Times New Roman" w:hAnsi="Times New Roman"/>
                <w:sz w:val="18"/>
                <w:szCs w:val="18"/>
                <w:color w:val="auto"/>
              </w:rPr>
              <w:t>Payment of employee tax withholding related to RSUs and PSUs vesting</w:t>
            </w:r>
          </w:p>
        </w:tc>
        <w:tc>
          <w:tcPr>
            <w:tcW w:w="4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(5,532)</w:t>
            </w:r>
          </w:p>
        </w:tc>
        <w:tc>
          <w:tcPr>
            <w:tcW w:w="100" w:type="dxa"/>
            <w:vAlign w:val="bottom"/>
            <w:tcBorders>
              <w:bottom w:val="single" w:sz="8" w:color="CFF0FC"/>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(7,161)</w:t>
            </w:r>
          </w:p>
        </w:tc>
      </w:tr>
      <w:tr>
        <w:trPr>
          <w:trHeight w:val="264"/>
        </w:trPr>
        <w:tc>
          <w:tcPr>
            <w:tcW w:w="20" w:type="dxa"/>
            <w:vAlign w:val="bottom"/>
            <w:shd w:val="clear" w:color="auto" w:fill="CFF0FC"/>
          </w:tcPr>
          <w:p>
            <w:pPr>
              <w:spacing w:after="0"/>
              <w:rPr>
                <w:sz w:val="22"/>
                <w:szCs w:val="22"/>
                <w:color w:val="auto"/>
              </w:rPr>
            </w:pPr>
          </w:p>
        </w:tc>
        <w:tc>
          <w:tcPr>
            <w:tcW w:w="81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440" w:type="dxa"/>
            <w:vAlign w:val="bottom"/>
            <w:tcBorders>
              <w:bottom w:val="single" w:sz="8" w:color="auto"/>
            </w:tcBorders>
            <w:shd w:val="clear" w:color="auto" w:fill="CFF0FC"/>
          </w:tcPr>
          <w:p>
            <w:pPr>
              <w:spacing w:after="0"/>
              <w:rPr>
                <w:sz w:val="22"/>
                <w:szCs w:val="22"/>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(60,666)</w:t>
            </w:r>
          </w:p>
        </w:tc>
        <w:tc>
          <w:tcPr>
            <w:tcW w:w="100" w:type="dxa"/>
            <w:vAlign w:val="bottom"/>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spacing w:after="0"/>
              <w:rPr>
                <w:sz w:val="22"/>
                <w:szCs w:val="22"/>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(13,320)</w:t>
            </w:r>
          </w:p>
        </w:tc>
      </w:tr>
      <w:tr>
        <w:trPr>
          <w:trHeight w:val="263"/>
        </w:trPr>
        <w:tc>
          <w:tcPr>
            <w:tcW w:w="20" w:type="dxa"/>
            <w:vAlign w:val="bottom"/>
            <w:tcBorders>
              <w:bottom w:val="single" w:sz="8" w:color="CFF0FC"/>
            </w:tcBorders>
          </w:tcPr>
          <w:p>
            <w:pPr>
              <w:spacing w:after="0"/>
              <w:rPr>
                <w:sz w:val="22"/>
                <w:szCs w:val="22"/>
                <w:color w:val="auto"/>
              </w:rPr>
            </w:pPr>
          </w:p>
        </w:tc>
        <w:tc>
          <w:tcPr>
            <w:tcW w:w="8160" w:type="dxa"/>
            <w:vAlign w:val="bottom"/>
            <w:tcBorders>
              <w:bottom w:val="single" w:sz="8" w:color="CFF0FC"/>
            </w:tcBorders>
            <w:gridSpan w:val="2"/>
          </w:tcPr>
          <w:p>
            <w:pPr>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4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100" w:type="dxa"/>
            <w:vAlign w:val="bottom"/>
            <w:tcBorders>
              <w:bottom w:val="single" w:sz="8" w:color="CFF0FC"/>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1,290</w:t>
            </w:r>
          </w:p>
        </w:tc>
      </w:tr>
      <w:tr>
        <w:trPr>
          <w:trHeight w:val="270"/>
        </w:trPr>
        <w:tc>
          <w:tcPr>
            <w:tcW w:w="20" w:type="dxa"/>
            <w:vAlign w:val="bottom"/>
            <w:shd w:val="clear" w:color="auto" w:fill="CFF0FC"/>
          </w:tcPr>
          <w:p>
            <w:pPr>
              <w:spacing w:after="0"/>
              <w:rPr>
                <w:sz w:val="23"/>
                <w:szCs w:val="23"/>
                <w:color w:val="auto"/>
              </w:rPr>
            </w:pPr>
          </w:p>
        </w:tc>
        <w:tc>
          <w:tcPr>
            <w:tcW w:w="81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increase in cash, cash equivalents and restricted cash</w:t>
            </w:r>
          </w:p>
        </w:tc>
        <w:tc>
          <w:tcPr>
            <w:tcW w:w="440" w:type="dxa"/>
            <w:vAlign w:val="bottom"/>
            <w:shd w:val="clear" w:color="auto" w:fill="CFF0FC"/>
          </w:tcPr>
          <w:p>
            <w:pPr>
              <w:spacing w:after="0"/>
              <w:rPr>
                <w:sz w:val="23"/>
                <w:szCs w:val="23"/>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71,798</w:t>
            </w:r>
          </w:p>
        </w:tc>
        <w:tc>
          <w:tcPr>
            <w:tcW w:w="100" w:type="dxa"/>
            <w:vAlign w:val="bottom"/>
            <w:shd w:val="clear" w:color="auto" w:fill="CFF0FC"/>
          </w:tcPr>
          <w:p>
            <w:pPr>
              <w:spacing w:after="0"/>
              <w:rPr>
                <w:sz w:val="23"/>
                <w:szCs w:val="23"/>
                <w:color w:val="auto"/>
              </w:rPr>
            </w:pPr>
          </w:p>
        </w:tc>
        <w:tc>
          <w:tcPr>
            <w:tcW w:w="260" w:type="dxa"/>
            <w:vAlign w:val="bottom"/>
            <w:shd w:val="clear" w:color="auto" w:fill="CFF0FC"/>
          </w:tcPr>
          <w:p>
            <w:pPr>
              <w:spacing w:after="0"/>
              <w:rPr>
                <w:sz w:val="23"/>
                <w:szCs w:val="23"/>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119,145</w:t>
            </w:r>
          </w:p>
        </w:tc>
      </w:tr>
      <w:tr>
        <w:trPr>
          <w:trHeight w:val="264"/>
        </w:trPr>
        <w:tc>
          <w:tcPr>
            <w:tcW w:w="20" w:type="dxa"/>
            <w:vAlign w:val="bottom"/>
            <w:tcBorders>
              <w:bottom w:val="single" w:sz="8" w:color="CFF0FC"/>
            </w:tcBorders>
          </w:tcPr>
          <w:p>
            <w:pPr>
              <w:spacing w:after="0"/>
              <w:rPr>
                <w:sz w:val="22"/>
                <w:szCs w:val="22"/>
                <w:color w:val="auto"/>
              </w:rPr>
            </w:pPr>
          </w:p>
        </w:tc>
        <w:tc>
          <w:tcPr>
            <w:tcW w:w="8160" w:type="dxa"/>
            <w:vAlign w:val="bottom"/>
            <w:tcBorders>
              <w:bottom w:val="single" w:sz="8" w:color="CFF0FC"/>
            </w:tcBorders>
            <w:gridSpan w:val="2"/>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 beginning of period</w:t>
            </w:r>
          </w:p>
        </w:tc>
        <w:tc>
          <w:tcPr>
            <w:tcW w:w="4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68,318</w:t>
            </w:r>
          </w:p>
        </w:tc>
        <w:tc>
          <w:tcPr>
            <w:tcW w:w="100" w:type="dxa"/>
            <w:vAlign w:val="bottom"/>
            <w:tcBorders>
              <w:bottom w:val="single" w:sz="8" w:color="CFF0FC"/>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81,154</w:t>
            </w:r>
          </w:p>
        </w:tc>
      </w:tr>
      <w:tr>
        <w:trPr>
          <w:trHeight w:val="295"/>
        </w:trPr>
        <w:tc>
          <w:tcPr>
            <w:tcW w:w="20" w:type="dxa"/>
            <w:vAlign w:val="bottom"/>
            <w:tcBorders>
              <w:bottom w:val="single" w:sz="8" w:color="CFF0FC"/>
            </w:tcBorders>
            <w:shd w:val="clear" w:color="auto" w:fill="CFF0FC"/>
          </w:tcPr>
          <w:p>
            <w:pPr>
              <w:spacing w:after="0"/>
              <w:rPr>
                <w:sz w:val="24"/>
                <w:szCs w:val="24"/>
                <w:color w:val="auto"/>
              </w:rPr>
            </w:pPr>
          </w:p>
        </w:tc>
        <w:tc>
          <w:tcPr>
            <w:tcW w:w="816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 end of period</w:t>
            </w:r>
          </w:p>
        </w:tc>
        <w:tc>
          <w:tcPr>
            <w:tcW w:w="440" w:type="dxa"/>
            <w:vAlign w:val="bottom"/>
            <w:tcBorders>
              <w:bottom w:val="single" w:sz="8" w:color="auto"/>
            </w:tcBorders>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140,116</w:t>
            </w:r>
          </w:p>
        </w:tc>
        <w:tc>
          <w:tcPr>
            <w:tcW w:w="10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200,299</w:t>
            </w:r>
          </w:p>
        </w:tc>
      </w:tr>
      <w:tr>
        <w:trPr>
          <w:trHeight w:val="20"/>
        </w:trPr>
        <w:tc>
          <w:tcPr>
            <w:tcW w:w="20" w:type="dxa"/>
            <w:vAlign w:val="bottom"/>
            <w:tcBorders>
              <w:top w:val="single" w:sz="8" w:color="CFF0FC"/>
            </w:tcBorders>
          </w:tcPr>
          <w:p>
            <w:pPr>
              <w:spacing w:after="0" w:line="20" w:lineRule="exact"/>
              <w:rPr>
                <w:sz w:val="1"/>
                <w:szCs w:val="1"/>
                <w:color w:val="auto"/>
              </w:rPr>
            </w:pPr>
          </w:p>
        </w:tc>
        <w:tc>
          <w:tcPr>
            <w:tcW w:w="980" w:type="dxa"/>
            <w:vAlign w:val="bottom"/>
            <w:tcBorders>
              <w:top w:val="single" w:sz="8" w:color="CFF0FC"/>
            </w:tcBorders>
          </w:tcPr>
          <w:p>
            <w:pPr>
              <w:spacing w:after="0" w:line="20" w:lineRule="exact"/>
              <w:rPr>
                <w:sz w:val="1"/>
                <w:szCs w:val="1"/>
                <w:color w:val="auto"/>
              </w:rPr>
            </w:pPr>
          </w:p>
        </w:tc>
        <w:tc>
          <w:tcPr>
            <w:tcW w:w="7180" w:type="dxa"/>
            <w:vAlign w:val="bottom"/>
            <w:tcBorders>
              <w:top w:val="single" w:sz="8" w:color="CFF0FC"/>
            </w:tcBorders>
          </w:tcPr>
          <w:p>
            <w:pPr>
              <w:spacing w:after="0" w:line="20" w:lineRule="exact"/>
              <w:rPr>
                <w:sz w:val="1"/>
                <w:szCs w:val="1"/>
                <w:color w:val="auto"/>
              </w:rPr>
            </w:pPr>
          </w:p>
        </w:tc>
        <w:tc>
          <w:tcPr>
            <w:tcW w:w="440" w:type="dxa"/>
            <w:vAlign w:val="bottom"/>
            <w:tcBorders>
              <w:top w:val="single" w:sz="8" w:color="CFF0FC"/>
              <w:bottom w:val="single" w:sz="8" w:color="auto"/>
            </w:tcBorders>
          </w:tcPr>
          <w:p>
            <w:pPr>
              <w:spacing w:after="0" w:line="20" w:lineRule="exact"/>
              <w:rPr>
                <w:sz w:val="1"/>
                <w:szCs w:val="1"/>
                <w:color w:val="auto"/>
              </w:rPr>
            </w:pPr>
          </w:p>
        </w:tc>
        <w:tc>
          <w:tcPr>
            <w:tcW w:w="104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bottom w:val="single" w:sz="8" w:color="auto"/>
            </w:tcBorders>
          </w:tcPr>
          <w:p>
            <w:pPr>
              <w:spacing w:after="0" w:line="20" w:lineRule="exact"/>
              <w:rPr>
                <w:sz w:val="1"/>
                <w:szCs w:val="1"/>
                <w:color w:val="auto"/>
              </w:rPr>
            </w:pPr>
          </w:p>
        </w:tc>
        <w:tc>
          <w:tcPr>
            <w:tcW w:w="1220" w:type="dxa"/>
            <w:vAlign w:val="bottom"/>
            <w:tcBorders>
              <w:top w:val="single" w:sz="8" w:color="CFF0FC"/>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760" w:right="339" w:bottom="33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240"/>
          </w:cols>
          <w:pgMar w:left="320" w:top="760" w:right="339" w:bottom="339" w:gutter="0" w:footer="0" w:header="0"/>
          <w:type w:val="continuous"/>
        </w:sectPr>
      </w:pPr>
    </w:p>
    <w:bookmarkStart w:id="15" w:name="page16"/>
    <w:bookmarkEnd w:id="15"/>
    <w:tbl>
      <w:tblPr>
        <w:tblLayout w:type="fixed"/>
        <w:tblInd w:w="0" w:type="dxa"/>
        <w:tblCellMar>
          <w:top w:w="0" w:type="dxa"/>
          <w:left w:w="0" w:type="dxa"/>
          <w:bottom w:w="0" w:type="dxa"/>
          <w:right w:w="0" w:type="dxa"/>
        </w:tblCellMar>
      </w:tblPr>
      <w:tr>
        <w:trPr>
          <w:trHeight w:val="282"/>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Exhibit 99.1</w:t>
            </w:r>
          </w:p>
        </w:tc>
      </w:tr>
      <w:tr>
        <w:trPr>
          <w:trHeight w:val="966"/>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4560" w:type="dxa"/>
            <w:vAlign w:val="bottom"/>
            <w:gridSpan w:val="7"/>
          </w:tcPr>
          <w:p>
            <w:pPr>
              <w:jc w:val="center"/>
              <w:ind w:right="240"/>
              <w:spacing w:after="0"/>
              <w:rPr>
                <w:sz w:val="20"/>
                <w:szCs w:val="20"/>
                <w:color w:val="auto"/>
              </w:rPr>
            </w:pPr>
            <w:r>
              <w:rPr>
                <w:rFonts w:ascii="Times New Roman" w:cs="Times New Roman" w:eastAsia="Times New Roman" w:hAnsi="Times New Roman"/>
                <w:sz w:val="20"/>
                <w:szCs w:val="20"/>
                <w:b w:val="1"/>
                <w:bCs w:val="1"/>
                <w:color w:val="auto"/>
                <w:w w:val="98"/>
              </w:rPr>
              <w:t>VERRA MOBILITY CORPORATION</w:t>
            </w: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418"/>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680" w:type="dxa"/>
            <w:vAlign w:val="bottom"/>
            <w:gridSpan w:val="11"/>
          </w:tcPr>
          <w:p>
            <w:pPr>
              <w:jc w:val="center"/>
              <w:ind w:left="461"/>
              <w:spacing w:after="0"/>
              <w:rPr>
                <w:sz w:val="20"/>
                <w:szCs w:val="20"/>
                <w:color w:val="auto"/>
              </w:rPr>
            </w:pPr>
            <w:r>
              <w:rPr>
                <w:rFonts w:ascii="Times New Roman" w:cs="Times New Roman" w:eastAsia="Times New Roman" w:hAnsi="Times New Roman"/>
                <w:sz w:val="20"/>
                <w:szCs w:val="20"/>
                <w:b w:val="1"/>
                <w:bCs w:val="1"/>
                <w:color w:val="auto"/>
                <w:w w:val="98"/>
              </w:rPr>
              <w:t xml:space="preserve">RECONCILIATION OF NET INCOME TO ADJUSTED EBITDA </w:t>
            </w:r>
            <w:r>
              <w:rPr>
                <w:rFonts w:ascii="Times New Roman" w:cs="Times New Roman" w:eastAsia="Times New Roman" w:hAnsi="Times New Roman"/>
                <w:sz w:val="20"/>
                <w:szCs w:val="20"/>
                <w:color w:val="auto"/>
                <w:w w:val="98"/>
              </w:rPr>
              <w:t>(Unaudited)</w:t>
            </w: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416"/>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2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20" w:type="dxa"/>
            <w:vAlign w:val="bottom"/>
          </w:tcPr>
          <w:p>
            <w:pPr>
              <w:spacing w:after="0"/>
              <w:rPr>
                <w:sz w:val="24"/>
                <w:szCs w:val="24"/>
                <w:color w:val="auto"/>
              </w:rPr>
            </w:pPr>
          </w:p>
        </w:tc>
        <w:tc>
          <w:tcPr>
            <w:tcW w:w="2900" w:type="dxa"/>
            <w:vAlign w:val="bottom"/>
            <w:gridSpan w:val="4"/>
          </w:tcPr>
          <w:p>
            <w:pPr>
              <w:jc w:val="right"/>
              <w:ind w:right="45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69"/>
        </w:trPr>
        <w:tc>
          <w:tcPr>
            <w:tcW w:w="20" w:type="dxa"/>
            <w:vAlign w:val="bottom"/>
          </w:tcPr>
          <w:p>
            <w:pPr>
              <w:spacing w:after="0"/>
              <w:rPr>
                <w:sz w:val="14"/>
                <w:szCs w:val="14"/>
                <w:color w:val="auto"/>
              </w:rPr>
            </w:pPr>
          </w:p>
        </w:tc>
        <w:tc>
          <w:tcPr>
            <w:tcW w:w="34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thousands)</w:t>
            </w:r>
          </w:p>
        </w:tc>
        <w:tc>
          <w:tcPr>
            <w:tcW w:w="1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60" w:type="dxa"/>
            <w:vAlign w:val="bottom"/>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40" w:type="dxa"/>
            <w:vAlign w:val="bottom"/>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60" w:type="dxa"/>
            <w:vAlign w:val="bottom"/>
          </w:tcPr>
          <w:p>
            <w:pPr>
              <w:jc w:val="right"/>
              <w:ind w:right="550"/>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4"/>
        </w:trPr>
        <w:tc>
          <w:tcPr>
            <w:tcW w:w="20" w:type="dxa"/>
            <w:vAlign w:val="bottom"/>
            <w:tcBorders>
              <w:bottom w:val="single" w:sz="8" w:color="CFF0FC"/>
            </w:tcBorders>
          </w:tcPr>
          <w:p>
            <w:pPr>
              <w:spacing w:after="0"/>
              <w:rPr>
                <w:sz w:val="2"/>
                <w:szCs w:val="2"/>
                <w:color w:val="auto"/>
              </w:rPr>
            </w:pPr>
          </w:p>
        </w:tc>
        <w:tc>
          <w:tcPr>
            <w:tcW w:w="980" w:type="dxa"/>
            <w:vAlign w:val="bottom"/>
            <w:tcBorders>
              <w:top w:val="single" w:sz="8" w:color="auto"/>
              <w:bottom w:val="single" w:sz="8" w:color="CFF0FC"/>
            </w:tcBorders>
          </w:tcPr>
          <w:p>
            <w:pPr>
              <w:spacing w:after="0"/>
              <w:rPr>
                <w:sz w:val="2"/>
                <w:szCs w:val="2"/>
                <w:color w:val="auto"/>
              </w:rPr>
            </w:pPr>
          </w:p>
        </w:tc>
        <w:tc>
          <w:tcPr>
            <w:tcW w:w="2460" w:type="dxa"/>
            <w:vAlign w:val="bottom"/>
            <w:tcBorders>
              <w:bottom w:val="single" w:sz="8" w:color="CFF0FC"/>
            </w:tcBorders>
          </w:tcPr>
          <w:p>
            <w:pPr>
              <w:spacing w:after="0"/>
              <w:rPr>
                <w:sz w:val="2"/>
                <w:szCs w:val="2"/>
                <w:color w:val="auto"/>
              </w:rPr>
            </w:pPr>
          </w:p>
        </w:tc>
        <w:tc>
          <w:tcPr>
            <w:tcW w:w="1240" w:type="dxa"/>
            <w:vAlign w:val="bottom"/>
            <w:tcBorders>
              <w:bottom w:val="single" w:sz="8" w:color="CFF0F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3"/>
        </w:trPr>
        <w:tc>
          <w:tcPr>
            <w:tcW w:w="20" w:type="dxa"/>
            <w:vAlign w:val="bottom"/>
            <w:shd w:val="clear" w:color="auto" w:fill="CFF0FC"/>
          </w:tcPr>
          <w:p>
            <w:pPr>
              <w:spacing w:after="0"/>
              <w:rPr>
                <w:sz w:val="22"/>
                <w:szCs w:val="22"/>
                <w:color w:val="auto"/>
              </w:rPr>
            </w:pPr>
          </w:p>
        </w:tc>
        <w:tc>
          <w:tcPr>
            <w:tcW w:w="34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5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ind w:right="132"/>
              <w:spacing w:after="0"/>
              <w:rPr>
                <w:sz w:val="20"/>
                <w:szCs w:val="20"/>
                <w:color w:val="auto"/>
              </w:rPr>
            </w:pPr>
            <w:r>
              <w:rPr>
                <w:rFonts w:ascii="Times New Roman" w:cs="Times New Roman" w:eastAsia="Times New Roman" w:hAnsi="Times New Roman"/>
                <w:sz w:val="18"/>
                <w:szCs w:val="18"/>
                <w:color w:val="auto"/>
              </w:rPr>
              <w:t>40,388</w:t>
            </w:r>
          </w:p>
        </w:tc>
        <w:tc>
          <w:tcPr>
            <w:tcW w:w="100" w:type="dxa"/>
            <w:vAlign w:val="bottom"/>
            <w:shd w:val="clear" w:color="auto" w:fill="CFF0FC"/>
          </w:tcPr>
          <w:p>
            <w:pPr>
              <w:spacing w:after="0"/>
              <w:rPr>
                <w:sz w:val="22"/>
                <w:szCs w:val="22"/>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ind w:right="131"/>
              <w:spacing w:after="0"/>
              <w:rPr>
                <w:sz w:val="20"/>
                <w:szCs w:val="20"/>
                <w:color w:val="auto"/>
              </w:rPr>
            </w:pPr>
            <w:r>
              <w:rPr>
                <w:rFonts w:ascii="Times New Roman" w:cs="Times New Roman" w:eastAsia="Times New Roman" w:hAnsi="Times New Roman"/>
                <w:sz w:val="18"/>
                <w:szCs w:val="18"/>
                <w:color w:val="auto"/>
              </w:rPr>
              <w:t>46,839</w:t>
            </w:r>
          </w:p>
        </w:tc>
        <w:tc>
          <w:tcPr>
            <w:tcW w:w="100" w:type="dxa"/>
            <w:vAlign w:val="bottom"/>
            <w:shd w:val="clear" w:color="auto" w:fill="CFF0FC"/>
          </w:tcPr>
          <w:p>
            <w:pPr>
              <w:spacing w:after="0"/>
              <w:rPr>
                <w:sz w:val="22"/>
                <w:szCs w:val="22"/>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FF0FC"/>
          </w:tcPr>
          <w:p>
            <w:pPr>
              <w:jc w:val="right"/>
              <w:ind w:right="132"/>
              <w:spacing w:after="0"/>
              <w:rPr>
                <w:sz w:val="20"/>
                <w:szCs w:val="20"/>
                <w:color w:val="auto"/>
              </w:rPr>
            </w:pPr>
            <w:r>
              <w:rPr>
                <w:rFonts w:ascii="Times New Roman" w:cs="Times New Roman" w:eastAsia="Times New Roman" w:hAnsi="Times New Roman"/>
                <w:sz w:val="18"/>
                <w:szCs w:val="18"/>
                <w:color w:val="auto"/>
              </w:rPr>
              <w:t>18,954</w:t>
            </w:r>
          </w:p>
        </w:tc>
        <w:tc>
          <w:tcPr>
            <w:tcW w:w="100" w:type="dxa"/>
            <w:vAlign w:val="bottom"/>
            <w:shd w:val="clear" w:color="auto" w:fill="CFF0FC"/>
          </w:tcPr>
          <w:p>
            <w:pPr>
              <w:spacing w:after="0"/>
              <w:rPr>
                <w:sz w:val="22"/>
                <w:szCs w:val="22"/>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117,753</w:t>
            </w:r>
          </w:p>
        </w:tc>
      </w:tr>
      <w:tr>
        <w:trPr>
          <w:trHeight w:val="263"/>
        </w:trPr>
        <w:tc>
          <w:tcPr>
            <w:tcW w:w="20" w:type="dxa"/>
            <w:vAlign w:val="bottom"/>
          </w:tcPr>
          <w:p>
            <w:pPr>
              <w:spacing w:after="0"/>
              <w:rPr>
                <w:sz w:val="22"/>
                <w:szCs w:val="22"/>
                <w:color w:val="auto"/>
              </w:rPr>
            </w:pPr>
          </w:p>
        </w:tc>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12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15,027</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16,421</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45,920</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49,629</w:t>
            </w:r>
          </w:p>
        </w:tc>
      </w:tr>
      <w:tr>
        <w:trPr>
          <w:trHeight w:val="277"/>
        </w:trPr>
        <w:tc>
          <w:tcPr>
            <w:tcW w:w="20" w:type="dxa"/>
            <w:vAlign w:val="bottom"/>
            <w:shd w:val="clear" w:color="auto" w:fill="CFF0FC"/>
          </w:tcPr>
          <w:p>
            <w:pPr>
              <w:spacing w:after="0"/>
              <w:rPr>
                <w:sz w:val="24"/>
                <w:szCs w:val="24"/>
                <w:color w:val="auto"/>
              </w:rPr>
            </w:pPr>
          </w:p>
        </w:tc>
        <w:tc>
          <w:tcPr>
            <w:tcW w:w="34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1240" w:type="dxa"/>
            <w:vAlign w:val="bottom"/>
            <w:shd w:val="clear" w:color="auto" w:fill="CFF0FC"/>
          </w:tcPr>
          <w:p>
            <w:pPr>
              <w:spacing w:after="0"/>
              <w:rPr>
                <w:sz w:val="24"/>
                <w:szCs w:val="24"/>
                <w:color w:val="auto"/>
              </w:rPr>
            </w:pPr>
          </w:p>
        </w:tc>
        <w:tc>
          <w:tcPr>
            <w:tcW w:w="300" w:type="dxa"/>
            <w:vAlign w:val="bottom"/>
            <w:shd w:val="clear" w:color="auto" w:fill="CFF0FC"/>
          </w:tcPr>
          <w:p>
            <w:pPr>
              <w:spacing w:after="0"/>
              <w:rPr>
                <w:sz w:val="24"/>
                <w:szCs w:val="24"/>
                <w:color w:val="auto"/>
              </w:rPr>
            </w:pPr>
          </w:p>
        </w:tc>
        <w:tc>
          <w:tcPr>
            <w:tcW w:w="1260" w:type="dxa"/>
            <w:vAlign w:val="bottom"/>
            <w:shd w:val="clear" w:color="auto" w:fill="CFF0FC"/>
          </w:tcPr>
          <w:p>
            <w:pPr>
              <w:jc w:val="right"/>
              <w:ind w:right="132"/>
              <w:spacing w:after="0"/>
              <w:rPr>
                <w:sz w:val="20"/>
                <w:szCs w:val="20"/>
                <w:color w:val="auto"/>
              </w:rPr>
            </w:pPr>
            <w:r>
              <w:rPr>
                <w:rFonts w:ascii="Times New Roman" w:cs="Times New Roman" w:eastAsia="Times New Roman" w:hAnsi="Times New Roman"/>
                <w:sz w:val="18"/>
                <w:szCs w:val="18"/>
                <w:color w:val="auto"/>
              </w:rPr>
              <w:t>14,889</w:t>
            </w:r>
          </w:p>
        </w:tc>
        <w:tc>
          <w:tcPr>
            <w:tcW w:w="100" w:type="dxa"/>
            <w:vAlign w:val="bottom"/>
            <w:shd w:val="clear" w:color="auto" w:fill="CFF0FC"/>
          </w:tcPr>
          <w:p>
            <w:pPr>
              <w:spacing w:after="0"/>
              <w:rPr>
                <w:sz w:val="24"/>
                <w:szCs w:val="24"/>
                <w:color w:val="auto"/>
              </w:rPr>
            </w:pPr>
          </w:p>
        </w:tc>
        <w:tc>
          <w:tcPr>
            <w:tcW w:w="360" w:type="dxa"/>
            <w:vAlign w:val="bottom"/>
            <w:shd w:val="clear" w:color="auto" w:fill="CFF0FC"/>
          </w:tcPr>
          <w:p>
            <w:pPr>
              <w:spacing w:after="0"/>
              <w:rPr>
                <w:sz w:val="24"/>
                <w:szCs w:val="24"/>
                <w:color w:val="auto"/>
              </w:rPr>
            </w:pPr>
          </w:p>
        </w:tc>
        <w:tc>
          <w:tcPr>
            <w:tcW w:w="1200" w:type="dxa"/>
            <w:vAlign w:val="bottom"/>
            <w:shd w:val="clear" w:color="auto" w:fill="CFF0FC"/>
          </w:tcPr>
          <w:p>
            <w:pPr>
              <w:jc w:val="right"/>
              <w:ind w:right="131"/>
              <w:spacing w:after="0"/>
              <w:rPr>
                <w:sz w:val="20"/>
                <w:szCs w:val="20"/>
                <w:color w:val="auto"/>
              </w:rPr>
            </w:pPr>
            <w:r>
              <w:rPr>
                <w:rFonts w:ascii="Times New Roman" w:cs="Times New Roman" w:eastAsia="Times New Roman" w:hAnsi="Times New Roman"/>
                <w:sz w:val="18"/>
                <w:szCs w:val="18"/>
                <w:color w:val="auto"/>
              </w:rPr>
              <w:t>17,826</w:t>
            </w:r>
          </w:p>
        </w:tc>
        <w:tc>
          <w:tcPr>
            <w:tcW w:w="100" w:type="dxa"/>
            <w:vAlign w:val="bottom"/>
            <w:shd w:val="clear" w:color="auto" w:fill="CFF0FC"/>
          </w:tcPr>
          <w:p>
            <w:pPr>
              <w:spacing w:after="0"/>
              <w:rPr>
                <w:sz w:val="24"/>
                <w:szCs w:val="24"/>
                <w:color w:val="auto"/>
              </w:rPr>
            </w:pPr>
          </w:p>
        </w:tc>
        <w:tc>
          <w:tcPr>
            <w:tcW w:w="320" w:type="dxa"/>
            <w:vAlign w:val="bottom"/>
            <w:shd w:val="clear" w:color="auto" w:fill="CFF0FC"/>
          </w:tcPr>
          <w:p>
            <w:pPr>
              <w:spacing w:after="0"/>
              <w:rPr>
                <w:sz w:val="24"/>
                <w:szCs w:val="24"/>
                <w:color w:val="auto"/>
              </w:rPr>
            </w:pPr>
          </w:p>
        </w:tc>
        <w:tc>
          <w:tcPr>
            <w:tcW w:w="1240" w:type="dxa"/>
            <w:vAlign w:val="bottom"/>
            <w:shd w:val="clear" w:color="auto" w:fill="CFF0FC"/>
          </w:tcPr>
          <w:p>
            <w:pPr>
              <w:jc w:val="right"/>
              <w:ind w:right="132"/>
              <w:spacing w:after="0"/>
              <w:rPr>
                <w:sz w:val="20"/>
                <w:szCs w:val="20"/>
                <w:color w:val="auto"/>
              </w:rPr>
            </w:pPr>
            <w:r>
              <w:rPr>
                <w:rFonts w:ascii="Times New Roman" w:cs="Times New Roman" w:eastAsia="Times New Roman" w:hAnsi="Times New Roman"/>
                <w:sz w:val="18"/>
                <w:szCs w:val="18"/>
                <w:color w:val="auto"/>
              </w:rPr>
              <w:t>34,585</w:t>
            </w:r>
          </w:p>
        </w:tc>
        <w:tc>
          <w:tcPr>
            <w:tcW w:w="100" w:type="dxa"/>
            <w:vAlign w:val="bottom"/>
            <w:shd w:val="clear" w:color="auto" w:fill="CFF0FC"/>
          </w:tcPr>
          <w:p>
            <w:pPr>
              <w:spacing w:after="0"/>
              <w:rPr>
                <w:sz w:val="24"/>
                <w:szCs w:val="24"/>
                <w:color w:val="auto"/>
              </w:rPr>
            </w:pPr>
          </w:p>
        </w:tc>
        <w:tc>
          <w:tcPr>
            <w:tcW w:w="300" w:type="dxa"/>
            <w:vAlign w:val="bottom"/>
            <w:shd w:val="clear" w:color="auto" w:fill="CFF0FC"/>
          </w:tcPr>
          <w:p>
            <w:pPr>
              <w:spacing w:after="0"/>
              <w:rPr>
                <w:sz w:val="24"/>
                <w:szCs w:val="24"/>
                <w:color w:val="auto"/>
              </w:rPr>
            </w:pPr>
          </w:p>
        </w:tc>
        <w:tc>
          <w:tcPr>
            <w:tcW w:w="126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44,347</w:t>
            </w:r>
          </w:p>
        </w:tc>
      </w:tr>
      <w:tr>
        <w:trPr>
          <w:trHeight w:val="264"/>
        </w:trPr>
        <w:tc>
          <w:tcPr>
            <w:tcW w:w="20" w:type="dxa"/>
            <w:vAlign w:val="bottom"/>
            <w:tcBorders>
              <w:bottom w:val="single" w:sz="8" w:color="CFF0FC"/>
            </w:tcBorders>
          </w:tcPr>
          <w:p>
            <w:pPr>
              <w:spacing w:after="0"/>
              <w:rPr>
                <w:sz w:val="22"/>
                <w:szCs w:val="22"/>
                <w:color w:val="auto"/>
              </w:rPr>
            </w:pPr>
          </w:p>
        </w:tc>
        <w:tc>
          <w:tcPr>
            <w:tcW w:w="3440" w:type="dxa"/>
            <w:vAlign w:val="bottom"/>
            <w:tcBorders>
              <w:bottom w:val="single" w:sz="8" w:color="CFF0FC"/>
            </w:tcBorders>
            <w:gridSpan w:val="2"/>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40" w:type="dxa"/>
            <w:vAlign w:val="bottom"/>
            <w:tcBorders>
              <w:bottom w:val="single" w:sz="8" w:color="CFF0FC"/>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26,223</w:t>
            </w:r>
          </w:p>
        </w:tc>
        <w:tc>
          <w:tcPr>
            <w:tcW w:w="100" w:type="dxa"/>
            <w:vAlign w:val="bottom"/>
            <w:tcBorders>
              <w:bottom w:val="single" w:sz="8" w:color="CFF0FC"/>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28,534</w:t>
            </w:r>
          </w:p>
        </w:tc>
        <w:tc>
          <w:tcPr>
            <w:tcW w:w="100" w:type="dxa"/>
            <w:vAlign w:val="bottom"/>
            <w:tcBorders>
              <w:bottom w:val="single" w:sz="8" w:color="CFF0FC"/>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83,978</w:t>
            </w:r>
          </w:p>
        </w:tc>
        <w:tc>
          <w:tcPr>
            <w:tcW w:w="100" w:type="dxa"/>
            <w:vAlign w:val="bottom"/>
            <w:tcBorders>
              <w:bottom w:val="single" w:sz="8" w:color="CFF0FC"/>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85,179</w:t>
            </w:r>
          </w:p>
        </w:tc>
      </w:tr>
      <w:tr>
        <w:trPr>
          <w:trHeight w:val="270"/>
        </w:trPr>
        <w:tc>
          <w:tcPr>
            <w:tcW w:w="20" w:type="dxa"/>
            <w:vAlign w:val="bottom"/>
            <w:shd w:val="clear" w:color="auto" w:fill="CFF0FC"/>
          </w:tcPr>
          <w:p>
            <w:pPr>
              <w:spacing w:after="0"/>
              <w:rPr>
                <w:sz w:val="23"/>
                <w:szCs w:val="23"/>
                <w:color w:val="auto"/>
              </w:rPr>
            </w:pPr>
          </w:p>
        </w:tc>
        <w:tc>
          <w:tcPr>
            <w:tcW w:w="344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b w:val="1"/>
                <w:bCs w:val="1"/>
                <w:color w:val="auto"/>
              </w:rPr>
              <w:t>EBITDA</w:t>
            </w:r>
          </w:p>
        </w:tc>
        <w:tc>
          <w:tcPr>
            <w:tcW w:w="1240" w:type="dxa"/>
            <w:vAlign w:val="bottom"/>
            <w:shd w:val="clear" w:color="auto" w:fill="CFF0FC"/>
          </w:tcPr>
          <w:p>
            <w:pPr>
              <w:spacing w:after="0"/>
              <w:rPr>
                <w:sz w:val="23"/>
                <w:szCs w:val="23"/>
                <w:color w:val="auto"/>
              </w:rPr>
            </w:pPr>
          </w:p>
        </w:tc>
        <w:tc>
          <w:tcPr>
            <w:tcW w:w="300" w:type="dxa"/>
            <w:vAlign w:val="bottom"/>
            <w:shd w:val="clear" w:color="auto" w:fill="CFF0FC"/>
          </w:tcPr>
          <w:p>
            <w:pPr>
              <w:spacing w:after="0"/>
              <w:rPr>
                <w:sz w:val="23"/>
                <w:szCs w:val="23"/>
                <w:color w:val="auto"/>
              </w:rPr>
            </w:pPr>
          </w:p>
        </w:tc>
        <w:tc>
          <w:tcPr>
            <w:tcW w:w="1260" w:type="dxa"/>
            <w:vAlign w:val="bottom"/>
            <w:shd w:val="clear" w:color="auto" w:fill="CFF0FC"/>
          </w:tcPr>
          <w:p>
            <w:pPr>
              <w:jc w:val="right"/>
              <w:ind w:right="132"/>
              <w:spacing w:after="0"/>
              <w:rPr>
                <w:sz w:val="20"/>
                <w:szCs w:val="20"/>
                <w:color w:val="auto"/>
              </w:rPr>
            </w:pPr>
            <w:r>
              <w:rPr>
                <w:rFonts w:ascii="Times New Roman" w:cs="Times New Roman" w:eastAsia="Times New Roman" w:hAnsi="Times New Roman"/>
                <w:sz w:val="18"/>
                <w:szCs w:val="18"/>
                <w:color w:val="auto"/>
              </w:rPr>
              <w:t>96,527</w:t>
            </w:r>
          </w:p>
        </w:tc>
        <w:tc>
          <w:tcPr>
            <w:tcW w:w="100" w:type="dxa"/>
            <w:vAlign w:val="bottom"/>
            <w:shd w:val="clear" w:color="auto" w:fill="CFF0FC"/>
          </w:tcPr>
          <w:p>
            <w:pPr>
              <w:spacing w:after="0"/>
              <w:rPr>
                <w:sz w:val="23"/>
                <w:szCs w:val="23"/>
                <w:color w:val="auto"/>
              </w:rPr>
            </w:pPr>
          </w:p>
        </w:tc>
        <w:tc>
          <w:tcPr>
            <w:tcW w:w="360" w:type="dxa"/>
            <w:vAlign w:val="bottom"/>
            <w:shd w:val="clear" w:color="auto" w:fill="CFF0FC"/>
          </w:tcPr>
          <w:p>
            <w:pPr>
              <w:spacing w:after="0"/>
              <w:rPr>
                <w:sz w:val="23"/>
                <w:szCs w:val="23"/>
                <w:color w:val="auto"/>
              </w:rPr>
            </w:pPr>
          </w:p>
        </w:tc>
        <w:tc>
          <w:tcPr>
            <w:tcW w:w="1200" w:type="dxa"/>
            <w:vAlign w:val="bottom"/>
            <w:shd w:val="clear" w:color="auto" w:fill="CFF0FC"/>
          </w:tcPr>
          <w:p>
            <w:pPr>
              <w:jc w:val="right"/>
              <w:ind w:right="131"/>
              <w:spacing w:after="0"/>
              <w:rPr>
                <w:sz w:val="20"/>
                <w:szCs w:val="20"/>
                <w:color w:val="auto"/>
              </w:rPr>
            </w:pPr>
            <w:r>
              <w:rPr>
                <w:rFonts w:ascii="Times New Roman" w:cs="Times New Roman" w:eastAsia="Times New Roman" w:hAnsi="Times New Roman"/>
                <w:sz w:val="18"/>
                <w:szCs w:val="18"/>
                <w:color w:val="auto"/>
              </w:rPr>
              <w:t>109,620</w:t>
            </w:r>
          </w:p>
        </w:tc>
        <w:tc>
          <w:tcPr>
            <w:tcW w:w="100" w:type="dxa"/>
            <w:vAlign w:val="bottom"/>
            <w:shd w:val="clear" w:color="auto" w:fill="CFF0FC"/>
          </w:tcPr>
          <w:p>
            <w:pPr>
              <w:spacing w:after="0"/>
              <w:rPr>
                <w:sz w:val="23"/>
                <w:szCs w:val="23"/>
                <w:color w:val="auto"/>
              </w:rPr>
            </w:pPr>
          </w:p>
        </w:tc>
        <w:tc>
          <w:tcPr>
            <w:tcW w:w="320" w:type="dxa"/>
            <w:vAlign w:val="bottom"/>
            <w:shd w:val="clear" w:color="auto" w:fill="CFF0FC"/>
          </w:tcPr>
          <w:p>
            <w:pPr>
              <w:spacing w:after="0"/>
              <w:rPr>
                <w:sz w:val="23"/>
                <w:szCs w:val="23"/>
                <w:color w:val="auto"/>
              </w:rPr>
            </w:pPr>
          </w:p>
        </w:tc>
        <w:tc>
          <w:tcPr>
            <w:tcW w:w="1240" w:type="dxa"/>
            <w:vAlign w:val="bottom"/>
            <w:shd w:val="clear" w:color="auto" w:fill="CFF0FC"/>
          </w:tcPr>
          <w:p>
            <w:pPr>
              <w:jc w:val="right"/>
              <w:ind w:right="132"/>
              <w:spacing w:after="0"/>
              <w:rPr>
                <w:sz w:val="20"/>
                <w:szCs w:val="20"/>
                <w:color w:val="auto"/>
              </w:rPr>
            </w:pPr>
            <w:r>
              <w:rPr>
                <w:rFonts w:ascii="Times New Roman" w:cs="Times New Roman" w:eastAsia="Times New Roman" w:hAnsi="Times New Roman"/>
                <w:sz w:val="18"/>
                <w:szCs w:val="18"/>
                <w:color w:val="auto"/>
              </w:rPr>
              <w:t>183,437</w:t>
            </w:r>
          </w:p>
        </w:tc>
        <w:tc>
          <w:tcPr>
            <w:tcW w:w="100" w:type="dxa"/>
            <w:vAlign w:val="bottom"/>
            <w:shd w:val="clear" w:color="auto" w:fill="CFF0FC"/>
          </w:tcPr>
          <w:p>
            <w:pPr>
              <w:spacing w:after="0"/>
              <w:rPr>
                <w:sz w:val="23"/>
                <w:szCs w:val="23"/>
                <w:color w:val="auto"/>
              </w:rPr>
            </w:pPr>
          </w:p>
        </w:tc>
        <w:tc>
          <w:tcPr>
            <w:tcW w:w="300" w:type="dxa"/>
            <w:vAlign w:val="bottom"/>
            <w:shd w:val="clear" w:color="auto" w:fill="CFF0FC"/>
          </w:tcPr>
          <w:p>
            <w:pPr>
              <w:spacing w:after="0"/>
              <w:rPr>
                <w:sz w:val="23"/>
                <w:szCs w:val="23"/>
                <w:color w:val="auto"/>
              </w:rPr>
            </w:pPr>
          </w:p>
        </w:tc>
        <w:tc>
          <w:tcPr>
            <w:tcW w:w="126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296,908</w:t>
            </w:r>
          </w:p>
        </w:tc>
      </w:tr>
      <w:tr>
        <w:trPr>
          <w:trHeight w:val="270"/>
        </w:trPr>
        <w:tc>
          <w:tcPr>
            <w:tcW w:w="20" w:type="dxa"/>
            <w:vAlign w:val="bottom"/>
          </w:tcPr>
          <w:p>
            <w:pPr>
              <w:spacing w:after="0"/>
              <w:rPr>
                <w:sz w:val="23"/>
                <w:szCs w:val="23"/>
                <w:color w:val="auto"/>
              </w:rPr>
            </w:pPr>
          </w:p>
        </w:tc>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Transaction and other related expenses </w:t>
            </w:r>
            <w:r>
              <w:rPr>
                <w:rFonts w:ascii="Times New Roman" w:cs="Times New Roman" w:eastAsia="Times New Roman" w:hAnsi="Times New Roman"/>
                <w:sz w:val="23"/>
                <w:szCs w:val="23"/>
                <w:color w:val="auto"/>
                <w:vertAlign w:val="superscript"/>
              </w:rPr>
              <w:t>(i)</w:t>
            </w:r>
          </w:p>
        </w:tc>
        <w:tc>
          <w:tcPr>
            <w:tcW w:w="12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3"/>
                <w:szCs w:val="23"/>
                <w:color w:val="auto"/>
              </w:rPr>
            </w:pPr>
          </w:p>
        </w:tc>
        <w:tc>
          <w:tcPr>
            <w:tcW w:w="12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1,093</w:t>
            </w:r>
          </w:p>
        </w:tc>
      </w:tr>
      <w:tr>
        <w:trPr>
          <w:trHeight w:val="270"/>
        </w:trPr>
        <w:tc>
          <w:tcPr>
            <w:tcW w:w="20" w:type="dxa"/>
            <w:vAlign w:val="bottom"/>
            <w:shd w:val="clear" w:color="auto" w:fill="CFF0FC"/>
          </w:tcPr>
          <w:p>
            <w:pPr>
              <w:spacing w:after="0"/>
              <w:rPr>
                <w:sz w:val="23"/>
                <w:szCs w:val="23"/>
                <w:color w:val="auto"/>
              </w:rPr>
            </w:pPr>
          </w:p>
        </w:tc>
        <w:tc>
          <w:tcPr>
            <w:tcW w:w="34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Transformation expenses </w:t>
            </w:r>
            <w:r>
              <w:rPr>
                <w:rFonts w:ascii="Times New Roman" w:cs="Times New Roman" w:eastAsia="Times New Roman" w:hAnsi="Times New Roman"/>
                <w:sz w:val="23"/>
                <w:szCs w:val="23"/>
                <w:color w:val="auto"/>
                <w:vertAlign w:val="superscript"/>
              </w:rPr>
              <w:t>(ii)</w:t>
            </w:r>
          </w:p>
        </w:tc>
        <w:tc>
          <w:tcPr>
            <w:tcW w:w="1240" w:type="dxa"/>
            <w:vAlign w:val="bottom"/>
            <w:shd w:val="clear" w:color="auto" w:fill="CFF0FC"/>
          </w:tcPr>
          <w:p>
            <w:pPr>
              <w:spacing w:after="0"/>
              <w:rPr>
                <w:sz w:val="23"/>
                <w:szCs w:val="23"/>
                <w:color w:val="auto"/>
              </w:rPr>
            </w:pPr>
          </w:p>
        </w:tc>
        <w:tc>
          <w:tcPr>
            <w:tcW w:w="300" w:type="dxa"/>
            <w:vAlign w:val="bottom"/>
            <w:shd w:val="clear" w:color="auto" w:fill="CFF0FC"/>
          </w:tcPr>
          <w:p>
            <w:pPr>
              <w:spacing w:after="0"/>
              <w:rPr>
                <w:sz w:val="23"/>
                <w:szCs w:val="23"/>
                <w:color w:val="auto"/>
              </w:rPr>
            </w:pPr>
          </w:p>
        </w:tc>
        <w:tc>
          <w:tcPr>
            <w:tcW w:w="1260" w:type="dxa"/>
            <w:vAlign w:val="bottom"/>
            <w:shd w:val="clear" w:color="auto" w:fill="CFF0FC"/>
          </w:tcPr>
          <w:p>
            <w:pPr>
              <w:jc w:val="right"/>
              <w:ind w:right="132"/>
              <w:spacing w:after="0"/>
              <w:rPr>
                <w:sz w:val="20"/>
                <w:szCs w:val="20"/>
                <w:color w:val="auto"/>
              </w:rPr>
            </w:pPr>
            <w:r>
              <w:rPr>
                <w:rFonts w:ascii="Times New Roman" w:cs="Times New Roman" w:eastAsia="Times New Roman" w:hAnsi="Times New Roman"/>
                <w:sz w:val="18"/>
                <w:szCs w:val="18"/>
                <w:color w:val="auto"/>
              </w:rPr>
              <w:t>5,743</w:t>
            </w:r>
          </w:p>
        </w:tc>
        <w:tc>
          <w:tcPr>
            <w:tcW w:w="100" w:type="dxa"/>
            <w:vAlign w:val="bottom"/>
            <w:shd w:val="clear" w:color="auto" w:fill="CFF0FC"/>
          </w:tcPr>
          <w:p>
            <w:pPr>
              <w:spacing w:after="0"/>
              <w:rPr>
                <w:sz w:val="23"/>
                <w:szCs w:val="23"/>
                <w:color w:val="auto"/>
              </w:rPr>
            </w:pPr>
          </w:p>
        </w:tc>
        <w:tc>
          <w:tcPr>
            <w:tcW w:w="360" w:type="dxa"/>
            <w:vAlign w:val="bottom"/>
            <w:shd w:val="clear" w:color="auto" w:fill="CFF0FC"/>
          </w:tcPr>
          <w:p>
            <w:pPr>
              <w:spacing w:after="0"/>
              <w:rPr>
                <w:sz w:val="23"/>
                <w:szCs w:val="23"/>
                <w:color w:val="auto"/>
              </w:rPr>
            </w:pPr>
          </w:p>
        </w:tc>
        <w:tc>
          <w:tcPr>
            <w:tcW w:w="1200" w:type="dxa"/>
            <w:vAlign w:val="bottom"/>
            <w:shd w:val="clear" w:color="auto" w:fill="CFF0FC"/>
          </w:tcPr>
          <w:p>
            <w:pPr>
              <w:jc w:val="right"/>
              <w:ind w:right="131"/>
              <w:spacing w:after="0"/>
              <w:rPr>
                <w:sz w:val="20"/>
                <w:szCs w:val="20"/>
                <w:color w:val="auto"/>
              </w:rPr>
            </w:pPr>
            <w:r>
              <w:rPr>
                <w:rFonts w:ascii="Times New Roman" w:cs="Times New Roman" w:eastAsia="Times New Roman" w:hAnsi="Times New Roman"/>
                <w:sz w:val="18"/>
                <w:szCs w:val="18"/>
                <w:color w:val="auto"/>
              </w:rPr>
              <w:t>283</w:t>
            </w:r>
          </w:p>
        </w:tc>
        <w:tc>
          <w:tcPr>
            <w:tcW w:w="100" w:type="dxa"/>
            <w:vAlign w:val="bottom"/>
            <w:shd w:val="clear" w:color="auto" w:fill="CFF0FC"/>
          </w:tcPr>
          <w:p>
            <w:pPr>
              <w:spacing w:after="0"/>
              <w:rPr>
                <w:sz w:val="23"/>
                <w:szCs w:val="23"/>
                <w:color w:val="auto"/>
              </w:rPr>
            </w:pPr>
          </w:p>
        </w:tc>
        <w:tc>
          <w:tcPr>
            <w:tcW w:w="320" w:type="dxa"/>
            <w:vAlign w:val="bottom"/>
            <w:shd w:val="clear" w:color="auto" w:fill="CFF0FC"/>
          </w:tcPr>
          <w:p>
            <w:pPr>
              <w:spacing w:after="0"/>
              <w:rPr>
                <w:sz w:val="23"/>
                <w:szCs w:val="23"/>
                <w:color w:val="auto"/>
              </w:rPr>
            </w:pPr>
          </w:p>
        </w:tc>
        <w:tc>
          <w:tcPr>
            <w:tcW w:w="1240" w:type="dxa"/>
            <w:vAlign w:val="bottom"/>
            <w:shd w:val="clear" w:color="auto" w:fill="CFF0FC"/>
          </w:tcPr>
          <w:p>
            <w:pPr>
              <w:jc w:val="right"/>
              <w:ind w:right="132"/>
              <w:spacing w:after="0"/>
              <w:rPr>
                <w:sz w:val="20"/>
                <w:szCs w:val="20"/>
                <w:color w:val="auto"/>
              </w:rPr>
            </w:pPr>
            <w:r>
              <w:rPr>
                <w:rFonts w:ascii="Times New Roman" w:cs="Times New Roman" w:eastAsia="Times New Roman" w:hAnsi="Times New Roman"/>
                <w:sz w:val="18"/>
                <w:szCs w:val="18"/>
                <w:color w:val="auto"/>
              </w:rPr>
              <w:t>13,155</w:t>
            </w:r>
          </w:p>
        </w:tc>
        <w:tc>
          <w:tcPr>
            <w:tcW w:w="100" w:type="dxa"/>
            <w:vAlign w:val="bottom"/>
            <w:shd w:val="clear" w:color="auto" w:fill="CFF0FC"/>
          </w:tcPr>
          <w:p>
            <w:pPr>
              <w:spacing w:after="0"/>
              <w:rPr>
                <w:sz w:val="23"/>
                <w:szCs w:val="23"/>
                <w:color w:val="auto"/>
              </w:rPr>
            </w:pPr>
          </w:p>
        </w:tc>
        <w:tc>
          <w:tcPr>
            <w:tcW w:w="300" w:type="dxa"/>
            <w:vAlign w:val="bottom"/>
            <w:shd w:val="clear" w:color="auto" w:fill="CFF0FC"/>
          </w:tcPr>
          <w:p>
            <w:pPr>
              <w:spacing w:after="0"/>
              <w:rPr>
                <w:sz w:val="23"/>
                <w:szCs w:val="23"/>
                <w:color w:val="auto"/>
              </w:rPr>
            </w:pPr>
          </w:p>
        </w:tc>
        <w:tc>
          <w:tcPr>
            <w:tcW w:w="126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(1,120)</w:t>
            </w:r>
          </w:p>
        </w:tc>
      </w:tr>
      <w:tr>
        <w:trPr>
          <w:trHeight w:val="270"/>
        </w:trPr>
        <w:tc>
          <w:tcPr>
            <w:tcW w:w="20" w:type="dxa"/>
            <w:vAlign w:val="bottom"/>
          </w:tcPr>
          <w:p>
            <w:pPr>
              <w:spacing w:after="0"/>
              <w:rPr>
                <w:sz w:val="23"/>
                <w:szCs w:val="23"/>
                <w:color w:val="auto"/>
              </w:rPr>
            </w:pPr>
          </w:p>
        </w:tc>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Legal accrual/settlement </w:t>
            </w:r>
            <w:r>
              <w:rPr>
                <w:rFonts w:ascii="Times New Roman" w:cs="Times New Roman" w:eastAsia="Times New Roman" w:hAnsi="Times New Roman"/>
                <w:sz w:val="23"/>
                <w:szCs w:val="23"/>
                <w:color w:val="auto"/>
                <w:vertAlign w:val="superscript"/>
              </w:rPr>
              <w:t>(iii)</w:t>
            </w:r>
          </w:p>
        </w:tc>
        <w:tc>
          <w:tcPr>
            <w:tcW w:w="12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820</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(1,540)</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(8,360)</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(1,540)</w:t>
            </w:r>
          </w:p>
        </w:tc>
      </w:tr>
      <w:tr>
        <w:trPr>
          <w:trHeight w:val="270"/>
        </w:trPr>
        <w:tc>
          <w:tcPr>
            <w:tcW w:w="20" w:type="dxa"/>
            <w:vAlign w:val="bottom"/>
            <w:shd w:val="clear" w:color="auto" w:fill="CFF0FC"/>
          </w:tcPr>
          <w:p>
            <w:pPr>
              <w:spacing w:after="0"/>
              <w:rPr>
                <w:sz w:val="23"/>
                <w:szCs w:val="23"/>
                <w:color w:val="auto"/>
              </w:rPr>
            </w:pPr>
          </w:p>
        </w:tc>
        <w:tc>
          <w:tcPr>
            <w:tcW w:w="34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Goodwill impairment </w:t>
            </w:r>
            <w:r>
              <w:rPr>
                <w:rFonts w:ascii="Times New Roman" w:cs="Times New Roman" w:eastAsia="Times New Roman" w:hAnsi="Times New Roman"/>
                <w:sz w:val="23"/>
                <w:szCs w:val="23"/>
                <w:color w:val="auto"/>
                <w:vertAlign w:val="superscript"/>
              </w:rPr>
              <w:t>(iv)</w:t>
            </w:r>
          </w:p>
        </w:tc>
        <w:tc>
          <w:tcPr>
            <w:tcW w:w="1240" w:type="dxa"/>
            <w:vAlign w:val="bottom"/>
            <w:shd w:val="clear" w:color="auto" w:fill="CFF0FC"/>
          </w:tcPr>
          <w:p>
            <w:pPr>
              <w:spacing w:after="0"/>
              <w:rPr>
                <w:sz w:val="23"/>
                <w:szCs w:val="23"/>
                <w:color w:val="auto"/>
              </w:rPr>
            </w:pPr>
          </w:p>
        </w:tc>
        <w:tc>
          <w:tcPr>
            <w:tcW w:w="300" w:type="dxa"/>
            <w:vAlign w:val="bottom"/>
            <w:shd w:val="clear" w:color="auto" w:fill="CFF0FC"/>
          </w:tcPr>
          <w:p>
            <w:pPr>
              <w:spacing w:after="0"/>
              <w:rPr>
                <w:sz w:val="23"/>
                <w:szCs w:val="23"/>
                <w:color w:val="auto"/>
              </w:rPr>
            </w:pPr>
          </w:p>
        </w:tc>
        <w:tc>
          <w:tcPr>
            <w:tcW w:w="136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spacing w:after="0"/>
              <w:rPr>
                <w:sz w:val="23"/>
                <w:szCs w:val="23"/>
                <w:color w:val="auto"/>
              </w:rPr>
            </w:pPr>
          </w:p>
        </w:tc>
        <w:tc>
          <w:tcPr>
            <w:tcW w:w="130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23"/>
                <w:szCs w:val="23"/>
                <w:color w:val="auto"/>
              </w:rPr>
            </w:pPr>
          </w:p>
        </w:tc>
        <w:tc>
          <w:tcPr>
            <w:tcW w:w="1240" w:type="dxa"/>
            <w:vAlign w:val="bottom"/>
            <w:shd w:val="clear" w:color="auto" w:fill="CFF0FC"/>
          </w:tcPr>
          <w:p>
            <w:pPr>
              <w:jc w:val="right"/>
              <w:ind w:right="132"/>
              <w:spacing w:after="0"/>
              <w:rPr>
                <w:sz w:val="20"/>
                <w:szCs w:val="20"/>
                <w:color w:val="auto"/>
              </w:rPr>
            </w:pPr>
            <w:r>
              <w:rPr>
                <w:rFonts w:ascii="Times New Roman" w:cs="Times New Roman" w:eastAsia="Times New Roman" w:hAnsi="Times New Roman"/>
                <w:sz w:val="18"/>
                <w:szCs w:val="18"/>
                <w:color w:val="auto"/>
              </w:rPr>
              <w:t>64,037</w:t>
            </w:r>
          </w:p>
        </w:tc>
        <w:tc>
          <w:tcPr>
            <w:tcW w:w="100" w:type="dxa"/>
            <w:vAlign w:val="bottom"/>
            <w:shd w:val="clear" w:color="auto" w:fill="CFF0FC"/>
          </w:tcPr>
          <w:p>
            <w:pPr>
              <w:spacing w:after="0"/>
              <w:rPr>
                <w:sz w:val="23"/>
                <w:szCs w:val="23"/>
                <w:color w:val="auto"/>
              </w:rPr>
            </w:pPr>
          </w:p>
        </w:tc>
        <w:tc>
          <w:tcPr>
            <w:tcW w:w="300" w:type="dxa"/>
            <w:vAlign w:val="bottom"/>
            <w:shd w:val="clear" w:color="auto" w:fill="CFF0FC"/>
          </w:tcPr>
          <w:p>
            <w:pPr>
              <w:spacing w:after="0"/>
              <w:rPr>
                <w:sz w:val="23"/>
                <w:szCs w:val="23"/>
                <w:color w:val="auto"/>
              </w:rPr>
            </w:pPr>
          </w:p>
        </w:tc>
        <w:tc>
          <w:tcPr>
            <w:tcW w:w="126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20" w:type="dxa"/>
            <w:vAlign w:val="bottom"/>
          </w:tcPr>
          <w:p>
            <w:pPr>
              <w:spacing w:after="0"/>
              <w:rPr>
                <w:sz w:val="23"/>
                <w:szCs w:val="23"/>
                <w:color w:val="auto"/>
              </w:rPr>
            </w:pPr>
          </w:p>
        </w:tc>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Impairment of intangible assets </w:t>
            </w:r>
            <w:r>
              <w:rPr>
                <w:rFonts w:ascii="Times New Roman" w:cs="Times New Roman" w:eastAsia="Times New Roman" w:hAnsi="Times New Roman"/>
                <w:sz w:val="23"/>
                <w:szCs w:val="23"/>
                <w:color w:val="auto"/>
                <w:vertAlign w:val="superscript"/>
              </w:rPr>
              <w:t>(v)</w:t>
            </w:r>
          </w:p>
        </w:tc>
        <w:tc>
          <w:tcPr>
            <w:tcW w:w="12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3"/>
                <w:szCs w:val="23"/>
                <w:color w:val="auto"/>
              </w:rPr>
            </w:pP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3"/>
                <w:szCs w:val="23"/>
                <w:color w:val="auto"/>
              </w:rPr>
            </w:pPr>
          </w:p>
        </w:tc>
        <w:tc>
          <w:tcPr>
            <w:tcW w:w="12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40,354</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20" w:type="dxa"/>
            <w:vAlign w:val="bottom"/>
            <w:shd w:val="clear" w:color="auto" w:fill="CFF0FC"/>
          </w:tcPr>
          <w:p>
            <w:pPr>
              <w:spacing w:after="0"/>
              <w:rPr>
                <w:sz w:val="23"/>
                <w:szCs w:val="23"/>
                <w:color w:val="auto"/>
              </w:rPr>
            </w:pPr>
          </w:p>
        </w:tc>
        <w:tc>
          <w:tcPr>
            <w:tcW w:w="34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Transfer pricing adjustments</w:t>
            </w:r>
          </w:p>
        </w:tc>
        <w:tc>
          <w:tcPr>
            <w:tcW w:w="1240" w:type="dxa"/>
            <w:vAlign w:val="bottom"/>
            <w:shd w:val="clear" w:color="auto" w:fill="CFF0FC"/>
          </w:tcPr>
          <w:p>
            <w:pPr>
              <w:spacing w:after="0"/>
              <w:rPr>
                <w:sz w:val="23"/>
                <w:szCs w:val="23"/>
                <w:color w:val="auto"/>
              </w:rPr>
            </w:pPr>
          </w:p>
        </w:tc>
        <w:tc>
          <w:tcPr>
            <w:tcW w:w="300" w:type="dxa"/>
            <w:vAlign w:val="bottom"/>
            <w:shd w:val="clear" w:color="auto" w:fill="CFF0FC"/>
          </w:tcPr>
          <w:p>
            <w:pPr>
              <w:spacing w:after="0"/>
              <w:rPr>
                <w:sz w:val="23"/>
                <w:szCs w:val="23"/>
                <w:color w:val="auto"/>
              </w:rPr>
            </w:pPr>
          </w:p>
        </w:tc>
        <w:tc>
          <w:tcPr>
            <w:tcW w:w="1260" w:type="dxa"/>
            <w:vAlign w:val="bottom"/>
            <w:shd w:val="clear" w:color="auto" w:fill="CFF0FC"/>
          </w:tcPr>
          <w:p>
            <w:pPr>
              <w:jc w:val="right"/>
              <w:ind w:right="132"/>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FF0FC"/>
          </w:tcPr>
          <w:p>
            <w:pPr>
              <w:spacing w:after="0"/>
              <w:rPr>
                <w:sz w:val="23"/>
                <w:szCs w:val="23"/>
                <w:color w:val="auto"/>
              </w:rPr>
            </w:pPr>
          </w:p>
        </w:tc>
        <w:tc>
          <w:tcPr>
            <w:tcW w:w="360" w:type="dxa"/>
            <w:vAlign w:val="bottom"/>
            <w:shd w:val="clear" w:color="auto" w:fill="CFF0FC"/>
          </w:tcPr>
          <w:p>
            <w:pPr>
              <w:spacing w:after="0"/>
              <w:rPr>
                <w:sz w:val="23"/>
                <w:szCs w:val="23"/>
                <w:color w:val="auto"/>
              </w:rPr>
            </w:pPr>
          </w:p>
        </w:tc>
        <w:tc>
          <w:tcPr>
            <w:tcW w:w="130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23"/>
                <w:szCs w:val="23"/>
                <w:color w:val="auto"/>
              </w:rPr>
            </w:pPr>
          </w:p>
        </w:tc>
        <w:tc>
          <w:tcPr>
            <w:tcW w:w="1240" w:type="dxa"/>
            <w:vAlign w:val="bottom"/>
            <w:shd w:val="clear" w:color="auto" w:fill="CFF0FC"/>
          </w:tcPr>
          <w:p>
            <w:pPr>
              <w:jc w:val="right"/>
              <w:ind w:right="132"/>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FF0FC"/>
          </w:tcPr>
          <w:p>
            <w:pPr>
              <w:spacing w:after="0"/>
              <w:rPr>
                <w:sz w:val="23"/>
                <w:szCs w:val="23"/>
                <w:color w:val="auto"/>
              </w:rPr>
            </w:pPr>
          </w:p>
        </w:tc>
        <w:tc>
          <w:tcPr>
            <w:tcW w:w="300" w:type="dxa"/>
            <w:vAlign w:val="bottom"/>
            <w:shd w:val="clear" w:color="auto" w:fill="CFF0FC"/>
          </w:tcPr>
          <w:p>
            <w:pPr>
              <w:spacing w:after="0"/>
              <w:rPr>
                <w:sz w:val="23"/>
                <w:szCs w:val="23"/>
                <w:color w:val="auto"/>
              </w:rPr>
            </w:pPr>
          </w:p>
        </w:tc>
        <w:tc>
          <w:tcPr>
            <w:tcW w:w="126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20" w:type="dxa"/>
            <w:vAlign w:val="bottom"/>
          </w:tcPr>
          <w:p>
            <w:pPr>
              <w:spacing w:after="0"/>
              <w:rPr>
                <w:sz w:val="22"/>
                <w:szCs w:val="22"/>
                <w:color w:val="auto"/>
              </w:rPr>
            </w:pPr>
          </w:p>
        </w:tc>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12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2"/>
                <w:szCs w:val="22"/>
                <w:color w:val="auto"/>
              </w:rPr>
            </w:pPr>
          </w:p>
        </w:tc>
        <w:tc>
          <w:tcPr>
            <w:tcW w:w="12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2"/>
                <w:szCs w:val="22"/>
                <w:color w:val="auto"/>
              </w:rPr>
            </w:pP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69</w:t>
            </w:r>
          </w:p>
        </w:tc>
      </w:tr>
      <w:tr>
        <w:trPr>
          <w:trHeight w:val="277"/>
        </w:trPr>
        <w:tc>
          <w:tcPr>
            <w:tcW w:w="20" w:type="dxa"/>
            <w:vAlign w:val="bottom"/>
            <w:shd w:val="clear" w:color="auto" w:fill="CFF0FC"/>
          </w:tcPr>
          <w:p>
            <w:pPr>
              <w:spacing w:after="0"/>
              <w:rPr>
                <w:sz w:val="24"/>
                <w:szCs w:val="24"/>
                <w:color w:val="auto"/>
              </w:rPr>
            </w:pPr>
          </w:p>
        </w:tc>
        <w:tc>
          <w:tcPr>
            <w:tcW w:w="34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Stock-based compensation </w:t>
            </w:r>
            <w:r>
              <w:rPr>
                <w:rFonts w:ascii="Times New Roman" w:cs="Times New Roman" w:eastAsia="Times New Roman" w:hAnsi="Times New Roman"/>
                <w:sz w:val="23"/>
                <w:szCs w:val="23"/>
                <w:color w:val="auto"/>
                <w:vertAlign w:val="superscript"/>
              </w:rPr>
              <w:t>(vi)</w:t>
            </w:r>
          </w:p>
        </w:tc>
        <w:tc>
          <w:tcPr>
            <w:tcW w:w="1240" w:type="dxa"/>
            <w:vAlign w:val="bottom"/>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spacing w:after="0"/>
              <w:rPr>
                <w:sz w:val="24"/>
                <w:szCs w:val="24"/>
                <w:color w:val="auto"/>
              </w:rPr>
            </w:pPr>
          </w:p>
        </w:tc>
        <w:tc>
          <w:tcPr>
            <w:tcW w:w="1260" w:type="dxa"/>
            <w:vAlign w:val="bottom"/>
            <w:tcBorders>
              <w:bottom w:val="single" w:sz="8" w:color="auto"/>
            </w:tcBorders>
            <w:shd w:val="clear" w:color="auto" w:fill="CFF0FC"/>
          </w:tcPr>
          <w:p>
            <w:pPr>
              <w:jc w:val="right"/>
              <w:ind w:right="132"/>
              <w:spacing w:after="0"/>
              <w:rPr>
                <w:sz w:val="20"/>
                <w:szCs w:val="20"/>
                <w:color w:val="auto"/>
              </w:rPr>
            </w:pPr>
            <w:r>
              <w:rPr>
                <w:rFonts w:ascii="Times New Roman" w:cs="Times New Roman" w:eastAsia="Times New Roman" w:hAnsi="Times New Roman"/>
                <w:sz w:val="18"/>
                <w:szCs w:val="18"/>
                <w:color w:val="auto"/>
              </w:rPr>
              <w:t>721</w:t>
            </w:r>
          </w:p>
        </w:tc>
        <w:tc>
          <w:tcPr>
            <w:tcW w:w="100" w:type="dxa"/>
            <w:vAlign w:val="bottom"/>
            <w:shd w:val="clear" w:color="auto" w:fill="CFF0FC"/>
          </w:tcPr>
          <w:p>
            <w:pPr>
              <w:spacing w:after="0"/>
              <w:rPr>
                <w:sz w:val="24"/>
                <w:szCs w:val="24"/>
                <w:color w:val="auto"/>
              </w:rPr>
            </w:pPr>
          </w:p>
        </w:tc>
        <w:tc>
          <w:tcPr>
            <w:tcW w:w="360" w:type="dxa"/>
            <w:vAlign w:val="bottom"/>
            <w:tcBorders>
              <w:bottom w:val="single" w:sz="8" w:color="auto"/>
            </w:tcBorders>
            <w:shd w:val="clear" w:color="auto" w:fill="CFF0FC"/>
          </w:tcPr>
          <w:p>
            <w:pPr>
              <w:spacing w:after="0"/>
              <w:rPr>
                <w:sz w:val="24"/>
                <w:szCs w:val="24"/>
                <w:color w:val="auto"/>
              </w:rPr>
            </w:pPr>
          </w:p>
        </w:tc>
        <w:tc>
          <w:tcPr>
            <w:tcW w:w="1200" w:type="dxa"/>
            <w:vAlign w:val="bottom"/>
            <w:tcBorders>
              <w:bottom w:val="single" w:sz="8" w:color="auto"/>
            </w:tcBorders>
            <w:shd w:val="clear" w:color="auto" w:fill="CFF0FC"/>
          </w:tcPr>
          <w:p>
            <w:pPr>
              <w:jc w:val="right"/>
              <w:ind w:right="131"/>
              <w:spacing w:after="0"/>
              <w:rPr>
                <w:sz w:val="20"/>
                <w:szCs w:val="20"/>
                <w:color w:val="auto"/>
              </w:rPr>
            </w:pPr>
            <w:r>
              <w:rPr>
                <w:rFonts w:ascii="Times New Roman" w:cs="Times New Roman" w:eastAsia="Times New Roman" w:hAnsi="Times New Roman"/>
                <w:sz w:val="18"/>
                <w:szCs w:val="18"/>
                <w:color w:val="auto"/>
              </w:rPr>
              <w:t>4,961</w:t>
            </w:r>
          </w:p>
        </w:tc>
        <w:tc>
          <w:tcPr>
            <w:tcW w:w="100" w:type="dxa"/>
            <w:vAlign w:val="bottom"/>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spacing w:after="0"/>
              <w:rPr>
                <w:sz w:val="24"/>
                <w:szCs w:val="24"/>
                <w:color w:val="auto"/>
              </w:rPr>
            </w:pPr>
          </w:p>
        </w:tc>
        <w:tc>
          <w:tcPr>
            <w:tcW w:w="1240" w:type="dxa"/>
            <w:vAlign w:val="bottom"/>
            <w:tcBorders>
              <w:bottom w:val="single" w:sz="8" w:color="auto"/>
            </w:tcBorders>
            <w:shd w:val="clear" w:color="auto" w:fill="CFF0FC"/>
          </w:tcPr>
          <w:p>
            <w:pPr>
              <w:jc w:val="right"/>
              <w:ind w:right="132"/>
              <w:spacing w:after="0"/>
              <w:rPr>
                <w:sz w:val="20"/>
                <w:szCs w:val="20"/>
                <w:color w:val="auto"/>
              </w:rPr>
            </w:pPr>
            <w:r>
              <w:rPr>
                <w:rFonts w:ascii="Times New Roman" w:cs="Times New Roman" w:eastAsia="Times New Roman" w:hAnsi="Times New Roman"/>
                <w:sz w:val="18"/>
                <w:szCs w:val="18"/>
                <w:color w:val="auto"/>
              </w:rPr>
              <w:t>7,868</w:t>
            </w:r>
          </w:p>
        </w:tc>
        <w:tc>
          <w:tcPr>
            <w:tcW w:w="100" w:type="dxa"/>
            <w:vAlign w:val="bottom"/>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spacing w:after="0"/>
              <w:rPr>
                <w:sz w:val="24"/>
                <w:szCs w:val="24"/>
                <w:color w:val="auto"/>
              </w:rPr>
            </w:pPr>
          </w:p>
        </w:tc>
        <w:tc>
          <w:tcPr>
            <w:tcW w:w="126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18,696</w:t>
            </w:r>
          </w:p>
        </w:tc>
      </w:tr>
      <w:tr>
        <w:trPr>
          <w:trHeight w:val="257"/>
        </w:trPr>
        <w:tc>
          <w:tcPr>
            <w:tcW w:w="20" w:type="dxa"/>
            <w:vAlign w:val="bottom"/>
          </w:tcPr>
          <w:p>
            <w:pPr>
              <w:spacing w:after="0"/>
              <w:rPr>
                <w:sz w:val="22"/>
                <w:szCs w:val="22"/>
                <w:color w:val="auto"/>
              </w:rPr>
            </w:pPr>
          </w:p>
        </w:tc>
        <w:tc>
          <w:tcPr>
            <w:tcW w:w="34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103,939</w:t>
            </w:r>
          </w:p>
        </w:tc>
        <w:tc>
          <w:tcPr>
            <w:tcW w:w="100" w:type="dxa"/>
            <w:vAlign w:val="bottom"/>
          </w:tcPr>
          <w:p>
            <w:pPr>
              <w:spacing w:after="0"/>
              <w:rPr>
                <w:sz w:val="22"/>
                <w:szCs w:val="22"/>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113,345</w:t>
            </w:r>
          </w:p>
        </w:tc>
        <w:tc>
          <w:tcPr>
            <w:tcW w:w="100" w:type="dxa"/>
            <w:vAlign w:val="bottom"/>
          </w:tcPr>
          <w:p>
            <w:pPr>
              <w:spacing w:after="0"/>
              <w:rPr>
                <w:sz w:val="22"/>
                <w:szCs w:val="22"/>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300,616</w:t>
            </w:r>
          </w:p>
        </w:tc>
        <w:tc>
          <w:tcPr>
            <w:tcW w:w="100" w:type="dxa"/>
            <w:vAlign w:val="bottom"/>
          </w:tcPr>
          <w:p>
            <w:pPr>
              <w:spacing w:after="0"/>
              <w:rPr>
                <w:sz w:val="22"/>
                <w:szCs w:val="22"/>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314,106</w:t>
            </w:r>
          </w:p>
        </w:tc>
      </w:tr>
      <w:tr>
        <w:trPr>
          <w:trHeight w:val="27"/>
        </w:trPr>
        <w:tc>
          <w:tcPr>
            <w:tcW w:w="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00" w:type="dxa"/>
            <w:vAlign w:val="bottom"/>
            <w:tcBorders>
              <w:top w:val="single" w:sz="8" w:color="auto"/>
              <w:bottom w:val="single" w:sz="8" w:color="auto"/>
            </w:tcBorders>
          </w:tcPr>
          <w:p>
            <w:pPr>
              <w:spacing w:after="0"/>
              <w:rPr>
                <w:sz w:val="2"/>
                <w:szCs w:val="2"/>
                <w:color w:val="auto"/>
              </w:rPr>
            </w:pPr>
          </w:p>
        </w:tc>
        <w:tc>
          <w:tcPr>
            <w:tcW w:w="126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top w:val="single" w:sz="8" w:color="auto"/>
              <w:bottom w:val="single" w:sz="8" w:color="auto"/>
            </w:tcBorders>
          </w:tcPr>
          <w:p>
            <w:pPr>
              <w:spacing w:after="0"/>
              <w:rPr>
                <w:sz w:val="2"/>
                <w:szCs w:val="2"/>
                <w:color w:val="auto"/>
              </w:rPr>
            </w:pPr>
          </w:p>
        </w:tc>
        <w:tc>
          <w:tcPr>
            <w:tcW w:w="120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top w:val="single" w:sz="8" w:color="auto"/>
              <w:bottom w:val="single" w:sz="8" w:color="auto"/>
            </w:tcBorders>
          </w:tcPr>
          <w:p>
            <w:pPr>
              <w:spacing w:after="0"/>
              <w:rPr>
                <w:sz w:val="2"/>
                <w:szCs w:val="2"/>
                <w:color w:val="auto"/>
              </w:rPr>
            </w:pPr>
          </w:p>
        </w:tc>
        <w:tc>
          <w:tcPr>
            <w:tcW w:w="124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top w:val="single" w:sz="8" w:color="auto"/>
              <w:bottom w:val="single" w:sz="8" w:color="auto"/>
            </w:tcBorders>
          </w:tcPr>
          <w:p>
            <w:pPr>
              <w:spacing w:after="0"/>
              <w:rPr>
                <w:sz w:val="2"/>
                <w:szCs w:val="2"/>
                <w:color w:val="auto"/>
              </w:rPr>
            </w:pPr>
          </w:p>
        </w:tc>
        <w:tc>
          <w:tcPr>
            <w:tcW w:w="1260" w:type="dxa"/>
            <w:vAlign w:val="bottom"/>
            <w:tcBorders>
              <w:top w:val="single" w:sz="8" w:color="auto"/>
              <w:bottom w:val="single" w:sz="8" w:color="auto"/>
            </w:tcBorders>
          </w:tcPr>
          <w:p>
            <w:pPr>
              <w:spacing w:after="0"/>
              <w:rPr>
                <w:sz w:val="2"/>
                <w:szCs w:val="2"/>
                <w:color w:val="auto"/>
              </w:rPr>
            </w:pPr>
          </w:p>
        </w:tc>
      </w:tr>
      <w:tr>
        <w:trPr>
          <w:trHeight w:val="223"/>
        </w:trPr>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70"/>
        </w:trPr>
        <w:tc>
          <w:tcPr>
            <w:tcW w:w="20" w:type="dxa"/>
            <w:vAlign w:val="bottom"/>
            <w:shd w:val="clear" w:color="auto" w:fill="CCEEFF"/>
          </w:tcPr>
          <w:p>
            <w:pPr>
              <w:spacing w:after="0"/>
              <w:rPr>
                <w:sz w:val="23"/>
                <w:szCs w:val="23"/>
                <w:color w:val="auto"/>
              </w:rPr>
            </w:pPr>
          </w:p>
        </w:tc>
        <w:tc>
          <w:tcPr>
            <w:tcW w:w="34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Adjusted EBITDA Margin</w:t>
            </w:r>
          </w:p>
        </w:tc>
        <w:tc>
          <w:tcPr>
            <w:tcW w:w="12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63"/>
        </w:trPr>
        <w:tc>
          <w:tcPr>
            <w:tcW w:w="20" w:type="dxa"/>
            <w:vAlign w:val="bottom"/>
          </w:tcPr>
          <w:p>
            <w:pPr>
              <w:spacing w:after="0"/>
              <w:rPr>
                <w:sz w:val="22"/>
                <w:szCs w:val="22"/>
                <w:color w:val="auto"/>
              </w:rPr>
            </w:pPr>
          </w:p>
        </w:tc>
        <w:tc>
          <w:tcPr>
            <w:tcW w:w="34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Net Income Margin</w:t>
            </w:r>
          </w:p>
        </w:tc>
        <w:tc>
          <w:tcPr>
            <w:tcW w:w="12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77"/>
        </w:trPr>
        <w:tc>
          <w:tcPr>
            <w:tcW w:w="20" w:type="dxa"/>
            <w:vAlign w:val="bottom"/>
            <w:shd w:val="clear" w:color="auto" w:fill="CCEEFF"/>
          </w:tcPr>
          <w:p>
            <w:pPr>
              <w:spacing w:after="0"/>
              <w:rPr>
                <w:sz w:val="24"/>
                <w:szCs w:val="24"/>
                <w:color w:val="auto"/>
              </w:rPr>
            </w:pPr>
          </w:p>
        </w:tc>
        <w:tc>
          <w:tcPr>
            <w:tcW w:w="3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2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258,875</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261,938</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746,034</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721,217</w:t>
            </w:r>
          </w:p>
        </w:tc>
      </w:tr>
    </w:tbl>
    <w:p>
      <w:pPr>
        <w:spacing w:after="0" w:line="288" w:lineRule="exact"/>
        <w:rPr>
          <w:sz w:val="20"/>
          <w:szCs w:val="20"/>
          <w:color w:val="auto"/>
        </w:rPr>
      </w:pPr>
    </w:p>
    <w:p>
      <w:pPr>
        <w:ind w:left="900" w:hanging="503"/>
        <w:spacing w:after="0"/>
        <w:tabs>
          <w:tab w:leader="none" w:pos="900" w:val="left"/>
        </w:tabs>
        <w:numPr>
          <w:ilvl w:val="0"/>
          <w:numId w:val="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Transaction and other related expenses for the periods presented primarily related to deal costs incurred for potential acquisitions.</w:t>
      </w:r>
    </w:p>
    <w:p>
      <w:pPr>
        <w:spacing w:after="0" w:line="119" w:lineRule="exact"/>
        <w:rPr>
          <w:rFonts w:ascii="Times New Roman" w:cs="Times New Roman" w:eastAsia="Times New Roman" w:hAnsi="Times New Roman"/>
          <w:sz w:val="19"/>
          <w:szCs w:val="19"/>
          <w:color w:val="auto"/>
        </w:rPr>
      </w:pPr>
    </w:p>
    <w:p>
      <w:pPr>
        <w:ind w:left="920" w:hanging="523"/>
        <w:spacing w:after="0" w:line="283" w:lineRule="auto"/>
        <w:tabs>
          <w:tab w:leader="none" w:pos="913"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Transformation expenses for the 2026 periods consist of severance and other employee separation costs. Transformation expenses for the nine-month period in 2025 represent a non-cash benefit in relation to a building lease.</w:t>
      </w:r>
    </w:p>
    <w:p>
      <w:pPr>
        <w:spacing w:after="0" w:line="51" w:lineRule="exact"/>
        <w:rPr>
          <w:rFonts w:ascii="Times New Roman" w:cs="Times New Roman" w:eastAsia="Times New Roman" w:hAnsi="Times New Roman"/>
          <w:sz w:val="20"/>
          <w:szCs w:val="20"/>
          <w:color w:val="auto"/>
        </w:rPr>
      </w:pPr>
    </w:p>
    <w:p>
      <w:pPr>
        <w:jc w:val="both"/>
        <w:ind w:left="920" w:hanging="523"/>
        <w:spacing w:after="0" w:line="253" w:lineRule="auto"/>
        <w:tabs>
          <w:tab w:leader="none" w:pos="914"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the three months ended September 30, 2026 this consists of the quarterly adjustment relating to the equity securities to remeasure to fair value at the end of the reporting period. For the nine months ended September 30, 2026 this relates to a legal settlement finalized in the first quarter of 2026 in the form of cash and equity securities, an adjustment relating to the equity securities to remeasure to fair value at the end of the reporting period, and directly associated legal costs incurred during the quarter. For the 2025 periods, this relates to adjustments to loss contingencies.</w:t>
      </w:r>
    </w:p>
    <w:p>
      <w:pPr>
        <w:spacing w:after="0" w:line="83" w:lineRule="exact"/>
        <w:rPr>
          <w:rFonts w:ascii="Times New Roman" w:cs="Times New Roman" w:eastAsia="Times New Roman" w:hAnsi="Times New Roman"/>
          <w:sz w:val="20"/>
          <w:szCs w:val="20"/>
          <w:color w:val="auto"/>
        </w:rPr>
      </w:pPr>
    </w:p>
    <w:p>
      <w:pPr>
        <w:ind w:left="920" w:hanging="523"/>
        <w:spacing w:after="0"/>
        <w:tabs>
          <w:tab w:leader="none" w:pos="92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relates to the non-cash impairment of goodwill in our Parking Solutions segment further discussed above.</w:t>
      </w:r>
    </w:p>
    <w:p>
      <w:pPr>
        <w:spacing w:after="0" w:line="107" w:lineRule="exact"/>
        <w:rPr>
          <w:rFonts w:ascii="Times New Roman" w:cs="Times New Roman" w:eastAsia="Times New Roman" w:hAnsi="Times New Roman"/>
          <w:sz w:val="20"/>
          <w:szCs w:val="20"/>
          <w:color w:val="auto"/>
        </w:rPr>
      </w:pPr>
    </w:p>
    <w:p>
      <w:pPr>
        <w:ind w:left="920" w:hanging="523"/>
        <w:spacing w:after="0"/>
        <w:tabs>
          <w:tab w:leader="none" w:pos="92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relates to the non-cash impairment of intangible assets in our Parking Solutions segment further discussed above.</w:t>
      </w:r>
    </w:p>
    <w:p>
      <w:pPr>
        <w:spacing w:after="0" w:line="121" w:lineRule="exact"/>
        <w:rPr>
          <w:rFonts w:ascii="Times New Roman" w:cs="Times New Roman" w:eastAsia="Times New Roman" w:hAnsi="Times New Roman"/>
          <w:sz w:val="20"/>
          <w:szCs w:val="20"/>
          <w:color w:val="auto"/>
        </w:rPr>
      </w:pPr>
    </w:p>
    <w:p>
      <w:pPr>
        <w:ind w:left="920" w:hanging="523"/>
        <w:spacing w:after="0" w:line="269" w:lineRule="auto"/>
        <w:tabs>
          <w:tab w:leader="none" w:pos="917"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Stock-based compensation represents the non-cash charge related to the issuance of awards under the Verra Mobility Corporation Amended and Restated 2018 Equity Incentive Plan.</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240"/>
          </w:cols>
          <w:pgMar w:left="320" w:top="760" w:right="339" w:bottom="1440" w:gutter="0" w:footer="0" w:header="0"/>
        </w:sectPr>
      </w:pPr>
    </w:p>
    <w:bookmarkStart w:id="16" w:name="page17"/>
    <w:bookmarkEnd w:id="16"/>
    <w:p>
      <w:pPr>
        <w:jc w:val="right"/>
        <w:spacing w:after="0"/>
        <w:rPr>
          <w:sz w:val="20"/>
          <w:szCs w:val="20"/>
          <w:color w:val="auto"/>
        </w:rPr>
      </w:pPr>
      <w:r>
        <w:rPr>
          <w:rFonts w:ascii="Times New Roman" w:cs="Times New Roman" w:eastAsia="Times New Roman" w:hAnsi="Times New Roman"/>
          <w:sz w:val="22"/>
          <w:szCs w:val="22"/>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 xml:space="preserve">RECONCILIATION OF NET CASH PROVIDED BY OPERATING ACTIVITIES TO FREE CASH FLOW </w:t>
      </w:r>
      <w:r>
        <w:rPr>
          <w:rFonts w:ascii="Times New Roman" w:cs="Times New Roman" w:eastAsia="Times New Roman" w:hAnsi="Times New Roman"/>
          <w:sz w:val="20"/>
          <w:szCs w:val="20"/>
          <w:color w:val="auto"/>
        </w:rPr>
        <w:t>(Unaudited)</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8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80" w:type="dxa"/>
            <w:vAlign w:val="bottom"/>
          </w:tcPr>
          <w:p>
            <w:pPr>
              <w:spacing w:after="0"/>
              <w:rPr>
                <w:sz w:val="16"/>
                <w:szCs w:val="16"/>
                <w:color w:val="auto"/>
              </w:rPr>
            </w:pPr>
          </w:p>
        </w:tc>
        <w:tc>
          <w:tcPr>
            <w:tcW w:w="2780" w:type="dxa"/>
            <w:vAlign w:val="bottom"/>
            <w:gridSpan w:val="4"/>
          </w:tcPr>
          <w:p>
            <w:pPr>
              <w:ind w:left="18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69"/>
        </w:trPr>
        <w:tc>
          <w:tcPr>
            <w:tcW w:w="20" w:type="dxa"/>
            <w:vAlign w:val="bottom"/>
          </w:tcPr>
          <w:p>
            <w:pPr>
              <w:spacing w:after="0"/>
              <w:rPr>
                <w:sz w:val="14"/>
                <w:szCs w:val="14"/>
                <w:color w:val="auto"/>
              </w:rPr>
            </w:pPr>
          </w:p>
        </w:tc>
        <w:tc>
          <w:tcPr>
            <w:tcW w:w="50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thousands)</w:t>
            </w:r>
          </w:p>
        </w:tc>
        <w:tc>
          <w:tcPr>
            <w:tcW w:w="260" w:type="dxa"/>
            <w:vAlign w:val="bottom"/>
          </w:tcPr>
          <w:p>
            <w:pPr>
              <w:spacing w:after="0"/>
              <w:rPr>
                <w:sz w:val="14"/>
                <w:szCs w:val="14"/>
                <w:color w:val="auto"/>
              </w:rPr>
            </w:pPr>
          </w:p>
        </w:tc>
        <w:tc>
          <w:tcPr>
            <w:tcW w:w="1220" w:type="dxa"/>
            <w:vAlign w:val="bottom"/>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4"/>
        </w:trPr>
        <w:tc>
          <w:tcPr>
            <w:tcW w:w="20" w:type="dxa"/>
            <w:vAlign w:val="bottom"/>
            <w:tcBorders>
              <w:bottom w:val="single" w:sz="8" w:color="CFF0FC"/>
            </w:tcBorders>
          </w:tcPr>
          <w:p>
            <w:pPr>
              <w:spacing w:after="0"/>
              <w:rPr>
                <w:sz w:val="2"/>
                <w:szCs w:val="2"/>
                <w:color w:val="auto"/>
              </w:rPr>
            </w:pPr>
          </w:p>
        </w:tc>
        <w:tc>
          <w:tcPr>
            <w:tcW w:w="980" w:type="dxa"/>
            <w:vAlign w:val="bottom"/>
            <w:tcBorders>
              <w:top w:val="single" w:sz="8" w:color="auto"/>
              <w:bottom w:val="single" w:sz="8" w:color="CFF0FC"/>
            </w:tcBorders>
          </w:tcPr>
          <w:p>
            <w:pPr>
              <w:spacing w:after="0"/>
              <w:rPr>
                <w:sz w:val="2"/>
                <w:szCs w:val="2"/>
                <w:color w:val="auto"/>
              </w:rPr>
            </w:pPr>
          </w:p>
        </w:tc>
        <w:tc>
          <w:tcPr>
            <w:tcW w:w="4040" w:type="dxa"/>
            <w:vAlign w:val="bottom"/>
            <w:tcBorders>
              <w:bottom w:val="single" w:sz="8" w:color="CFF0FC"/>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3"/>
        </w:trPr>
        <w:tc>
          <w:tcPr>
            <w:tcW w:w="20" w:type="dxa"/>
            <w:vAlign w:val="bottom"/>
            <w:shd w:val="clear" w:color="auto" w:fill="CFF0FC"/>
          </w:tcPr>
          <w:p>
            <w:pPr>
              <w:spacing w:after="0"/>
              <w:rPr>
                <w:sz w:val="22"/>
                <w:szCs w:val="22"/>
                <w:color w:val="auto"/>
              </w:rPr>
            </w:pPr>
          </w:p>
        </w:tc>
        <w:tc>
          <w:tcPr>
            <w:tcW w:w="50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114,529</w:t>
            </w:r>
          </w:p>
        </w:tc>
        <w:tc>
          <w:tcPr>
            <w:tcW w:w="80" w:type="dxa"/>
            <w:vAlign w:val="bottom"/>
            <w:shd w:val="clear" w:color="auto" w:fill="CFF0FC"/>
          </w:tcPr>
          <w:p>
            <w:pPr>
              <w:spacing w:after="0"/>
              <w:rPr>
                <w:sz w:val="22"/>
                <w:szCs w:val="22"/>
                <w:color w:val="auto"/>
              </w:rPr>
            </w:pPr>
          </w:p>
        </w:tc>
        <w:tc>
          <w:tcPr>
            <w:tcW w:w="36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center"/>
              <w:ind w:left="395"/>
              <w:spacing w:after="0"/>
              <w:rPr>
                <w:sz w:val="20"/>
                <w:szCs w:val="20"/>
                <w:color w:val="auto"/>
              </w:rPr>
            </w:pPr>
            <w:r>
              <w:rPr>
                <w:rFonts w:ascii="Times New Roman" w:cs="Times New Roman" w:eastAsia="Times New Roman" w:hAnsi="Times New Roman"/>
                <w:sz w:val="18"/>
                <w:szCs w:val="18"/>
                <w:color w:val="auto"/>
                <w:w w:val="96"/>
              </w:rPr>
              <w:t>77,715</w:t>
            </w:r>
          </w:p>
        </w:tc>
        <w:tc>
          <w:tcPr>
            <w:tcW w:w="100" w:type="dxa"/>
            <w:vAlign w:val="bottom"/>
            <w:shd w:val="clear" w:color="auto" w:fill="CFF0FC"/>
          </w:tcPr>
          <w:p>
            <w:pPr>
              <w:spacing w:after="0"/>
              <w:rPr>
                <w:sz w:val="22"/>
                <w:szCs w:val="22"/>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211,775</w:t>
            </w:r>
          </w:p>
        </w:tc>
        <w:tc>
          <w:tcPr>
            <w:tcW w:w="100" w:type="dxa"/>
            <w:vAlign w:val="bottom"/>
            <w:shd w:val="clear" w:color="auto" w:fill="CFF0FC"/>
          </w:tcPr>
          <w:p>
            <w:pPr>
              <w:spacing w:after="0"/>
              <w:rPr>
                <w:sz w:val="22"/>
                <w:szCs w:val="22"/>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215,828</w:t>
            </w:r>
          </w:p>
        </w:tc>
      </w:tr>
      <w:tr>
        <w:trPr>
          <w:trHeight w:val="225"/>
        </w:trPr>
        <w:tc>
          <w:tcPr>
            <w:tcW w:w="20" w:type="dxa"/>
            <w:vAlign w:val="bottom"/>
          </w:tcPr>
          <w:p>
            <w:pPr>
              <w:spacing w:after="0"/>
              <w:rPr>
                <w:sz w:val="19"/>
                <w:szCs w:val="19"/>
                <w:color w:val="auto"/>
              </w:rPr>
            </w:pPr>
          </w:p>
        </w:tc>
        <w:tc>
          <w:tcPr>
            <w:tcW w:w="5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Purchases of installation and service parts and property and</w:t>
            </w: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41"/>
        </w:trPr>
        <w:tc>
          <w:tcPr>
            <w:tcW w:w="20" w:type="dxa"/>
            <w:vAlign w:val="bottom"/>
            <w:tcBorders>
              <w:bottom w:val="single" w:sz="8" w:color="CFF0FC"/>
            </w:tcBorders>
          </w:tcPr>
          <w:p>
            <w:pPr>
              <w:spacing w:after="0"/>
              <w:rPr>
                <w:sz w:val="20"/>
                <w:szCs w:val="20"/>
                <w:color w:val="auto"/>
              </w:rPr>
            </w:pPr>
          </w:p>
        </w:tc>
        <w:tc>
          <w:tcPr>
            <w:tcW w:w="5020" w:type="dxa"/>
            <w:vAlign w:val="bottom"/>
            <w:tcBorders>
              <w:bottom w:val="single" w:sz="8" w:color="CFF0FC"/>
            </w:tcBorders>
            <w:gridSpan w:val="2"/>
          </w:tcPr>
          <w:p>
            <w:pPr>
              <w:spacing w:after="0"/>
              <w:rPr>
                <w:sz w:val="20"/>
                <w:szCs w:val="20"/>
                <w:color w:val="auto"/>
              </w:rPr>
            </w:pPr>
            <w:r>
              <w:rPr>
                <w:rFonts w:ascii="Times New Roman" w:cs="Times New Roman" w:eastAsia="Times New Roman" w:hAnsi="Times New Roman"/>
                <w:sz w:val="18"/>
                <w:szCs w:val="18"/>
                <w:color w:val="auto"/>
              </w:rPr>
              <w:t>equipment</w:t>
            </w:r>
          </w:p>
        </w:tc>
        <w:tc>
          <w:tcPr>
            <w:tcW w:w="2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(25,117)</w:t>
            </w:r>
          </w:p>
        </w:tc>
        <w:tc>
          <w:tcPr>
            <w:tcW w:w="80" w:type="dxa"/>
            <w:vAlign w:val="bottom"/>
            <w:tcBorders>
              <w:bottom w:val="single" w:sz="8" w:color="CFF0FC"/>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left="375"/>
              <w:spacing w:after="0"/>
              <w:rPr>
                <w:sz w:val="20"/>
                <w:szCs w:val="20"/>
                <w:color w:val="auto"/>
              </w:rPr>
            </w:pPr>
            <w:r>
              <w:rPr>
                <w:rFonts w:ascii="Times New Roman" w:cs="Times New Roman" w:eastAsia="Times New Roman" w:hAnsi="Times New Roman"/>
                <w:sz w:val="18"/>
                <w:szCs w:val="18"/>
                <w:color w:val="auto"/>
              </w:rPr>
              <w:t>(28,750)</w:t>
            </w:r>
          </w:p>
        </w:tc>
        <w:tc>
          <w:tcPr>
            <w:tcW w:w="100" w:type="dxa"/>
            <w:vAlign w:val="bottom"/>
            <w:tcBorders>
              <w:bottom w:val="single" w:sz="8" w:color="CFF0FC"/>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(80,165)</w:t>
            </w:r>
          </w:p>
        </w:tc>
        <w:tc>
          <w:tcPr>
            <w:tcW w:w="100" w:type="dxa"/>
            <w:vAlign w:val="bottom"/>
            <w:tcBorders>
              <w:bottom w:val="single" w:sz="8" w:color="CFF0FC"/>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(84,868)</w:t>
            </w:r>
          </w:p>
        </w:tc>
      </w:tr>
      <w:tr>
        <w:trPr>
          <w:trHeight w:val="295"/>
        </w:trPr>
        <w:tc>
          <w:tcPr>
            <w:tcW w:w="20" w:type="dxa"/>
            <w:vAlign w:val="bottom"/>
            <w:tcBorders>
              <w:bottom w:val="single" w:sz="8" w:color="CFF0FC"/>
            </w:tcBorders>
            <w:shd w:val="clear" w:color="auto" w:fill="CFF0FC"/>
          </w:tcPr>
          <w:p>
            <w:pPr>
              <w:spacing w:after="0"/>
              <w:rPr>
                <w:sz w:val="24"/>
                <w:szCs w:val="24"/>
                <w:color w:val="auto"/>
              </w:rPr>
            </w:pPr>
          </w:p>
        </w:tc>
        <w:tc>
          <w:tcPr>
            <w:tcW w:w="5020" w:type="dxa"/>
            <w:vAlign w:val="bottom"/>
            <w:tcBorders>
              <w:bottom w:val="single" w:sz="8" w:color="CFF0FC"/>
            </w:tcBorders>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b w:val="1"/>
                <w:bCs w:val="1"/>
                <w:color w:val="auto"/>
              </w:rPr>
              <w:t>Free Cash Flow</w:t>
            </w:r>
          </w:p>
        </w:tc>
        <w:tc>
          <w:tcPr>
            <w:tcW w:w="26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89,412</w:t>
            </w:r>
          </w:p>
        </w:tc>
        <w:tc>
          <w:tcPr>
            <w:tcW w:w="8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FF0FC"/>
          </w:tcPr>
          <w:p>
            <w:pPr>
              <w:jc w:val="center"/>
              <w:ind w:left="395"/>
              <w:spacing w:after="0"/>
              <w:rPr>
                <w:sz w:val="20"/>
                <w:szCs w:val="20"/>
                <w:color w:val="auto"/>
              </w:rPr>
            </w:pPr>
            <w:r>
              <w:rPr>
                <w:rFonts w:ascii="Times New Roman" w:cs="Times New Roman" w:eastAsia="Times New Roman" w:hAnsi="Times New Roman"/>
                <w:sz w:val="18"/>
                <w:szCs w:val="18"/>
                <w:color w:val="auto"/>
                <w:w w:val="96"/>
              </w:rPr>
              <w:t>48,965</w:t>
            </w:r>
          </w:p>
        </w:tc>
        <w:tc>
          <w:tcPr>
            <w:tcW w:w="10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FF0FC"/>
          </w:tcPr>
          <w:p>
            <w:pPr>
              <w:ind w:left="540"/>
              <w:spacing w:after="0"/>
              <w:rPr>
                <w:sz w:val="20"/>
                <w:szCs w:val="20"/>
                <w:color w:val="auto"/>
              </w:rPr>
            </w:pPr>
            <w:r>
              <w:rPr>
                <w:rFonts w:ascii="Times New Roman" w:cs="Times New Roman" w:eastAsia="Times New Roman" w:hAnsi="Times New Roman"/>
                <w:sz w:val="18"/>
                <w:szCs w:val="18"/>
                <w:color w:val="auto"/>
              </w:rPr>
              <w:t>131,610</w:t>
            </w:r>
          </w:p>
        </w:tc>
        <w:tc>
          <w:tcPr>
            <w:tcW w:w="10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130,960</w:t>
            </w:r>
          </w:p>
        </w:tc>
      </w:tr>
      <w:tr>
        <w:trPr>
          <w:trHeight w:val="20"/>
        </w:trPr>
        <w:tc>
          <w:tcPr>
            <w:tcW w:w="20" w:type="dxa"/>
            <w:vAlign w:val="bottom"/>
            <w:tcBorders>
              <w:top w:val="single" w:sz="8" w:color="CFF0FC"/>
            </w:tcBorders>
          </w:tcPr>
          <w:p>
            <w:pPr>
              <w:spacing w:after="0" w:line="20" w:lineRule="exact"/>
              <w:rPr>
                <w:sz w:val="1"/>
                <w:szCs w:val="1"/>
                <w:color w:val="auto"/>
              </w:rPr>
            </w:pPr>
          </w:p>
        </w:tc>
        <w:tc>
          <w:tcPr>
            <w:tcW w:w="980" w:type="dxa"/>
            <w:vAlign w:val="bottom"/>
            <w:tcBorders>
              <w:top w:val="single" w:sz="8" w:color="CFF0FC"/>
            </w:tcBorders>
          </w:tcPr>
          <w:p>
            <w:pPr>
              <w:spacing w:after="0" w:line="20" w:lineRule="exact"/>
              <w:rPr>
                <w:sz w:val="1"/>
                <w:szCs w:val="1"/>
                <w:color w:val="auto"/>
              </w:rPr>
            </w:pPr>
          </w:p>
        </w:tc>
        <w:tc>
          <w:tcPr>
            <w:tcW w:w="404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bottom w:val="single" w:sz="8" w:color="auto"/>
            </w:tcBorders>
          </w:tcPr>
          <w:p>
            <w:pPr>
              <w:spacing w:after="0" w:line="20" w:lineRule="exact"/>
              <w:rPr>
                <w:sz w:val="1"/>
                <w:szCs w:val="1"/>
                <w:color w:val="auto"/>
              </w:rPr>
            </w:pPr>
          </w:p>
        </w:tc>
        <w:tc>
          <w:tcPr>
            <w:tcW w:w="122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CFF0FC"/>
              <w:bottom w:val="single" w:sz="8" w:color="auto"/>
            </w:tcBorders>
          </w:tcPr>
          <w:p>
            <w:pPr>
              <w:spacing w:after="0" w:line="20" w:lineRule="exact"/>
              <w:rPr>
                <w:sz w:val="1"/>
                <w:szCs w:val="1"/>
                <w:color w:val="auto"/>
              </w:rPr>
            </w:pPr>
          </w:p>
        </w:tc>
        <w:tc>
          <w:tcPr>
            <w:tcW w:w="112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CFF0FC"/>
              <w:bottom w:val="single" w:sz="8" w:color="auto"/>
            </w:tcBorders>
          </w:tcPr>
          <w:p>
            <w:pPr>
              <w:spacing w:after="0" w:line="20" w:lineRule="exact"/>
              <w:rPr>
                <w:sz w:val="1"/>
                <w:szCs w:val="1"/>
                <w:color w:val="auto"/>
              </w:rPr>
            </w:pPr>
          </w:p>
        </w:tc>
        <w:tc>
          <w:tcPr>
            <w:tcW w:w="120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CFF0FC"/>
              <w:bottom w:val="single" w:sz="8" w:color="auto"/>
            </w:tcBorders>
          </w:tcPr>
          <w:p>
            <w:pPr>
              <w:spacing w:after="0" w:line="20" w:lineRule="exact"/>
              <w:rPr>
                <w:sz w:val="1"/>
                <w:szCs w:val="1"/>
                <w:color w:val="auto"/>
              </w:rPr>
            </w:pPr>
          </w:p>
        </w:tc>
        <w:tc>
          <w:tcPr>
            <w:tcW w:w="1140" w:type="dxa"/>
            <w:vAlign w:val="bottom"/>
            <w:tcBorders>
              <w:top w:val="single" w:sz="8" w:color="CFF0FC"/>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 xml:space="preserve">RECONCILIATION OF NET INCOME TO ADJUSTED NET INCOME AND CALCULATION OF ADJUSTED EPS </w:t>
      </w:r>
      <w:r>
        <w:rPr>
          <w:rFonts w:ascii="Times New Roman" w:cs="Times New Roman" w:eastAsia="Times New Roman" w:hAnsi="Times New Roman"/>
          <w:sz w:val="20"/>
          <w:szCs w:val="20"/>
          <w:color w:val="auto"/>
        </w:rPr>
        <w:t>(Unaudited)</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0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20" w:type="dxa"/>
            <w:vAlign w:val="bottom"/>
          </w:tcPr>
          <w:p>
            <w:pPr>
              <w:spacing w:after="0"/>
              <w:rPr>
                <w:sz w:val="16"/>
                <w:szCs w:val="16"/>
                <w:color w:val="auto"/>
              </w:rPr>
            </w:pPr>
          </w:p>
        </w:tc>
        <w:tc>
          <w:tcPr>
            <w:tcW w:w="2900" w:type="dxa"/>
            <w:vAlign w:val="bottom"/>
            <w:gridSpan w:val="4"/>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47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99"/>
        </w:trPr>
        <w:tc>
          <w:tcPr>
            <w:tcW w:w="47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300" w:type="dxa"/>
            <w:vAlign w:val="bottom"/>
          </w:tcPr>
          <w:p>
            <w:pPr>
              <w:spacing w:after="0"/>
              <w:rPr>
                <w:sz w:val="17"/>
                <w:szCs w:val="17"/>
                <w:color w:val="auto"/>
              </w:rPr>
            </w:pPr>
          </w:p>
        </w:tc>
        <w:tc>
          <w:tcPr>
            <w:tcW w:w="1260" w:type="dxa"/>
            <w:vAlign w:val="bottom"/>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
        </w:trPr>
        <w:tc>
          <w:tcPr>
            <w:tcW w:w="4720" w:type="dxa"/>
            <w:vAlign w:val="bottom"/>
            <w:tcBorders>
              <w:bottom w:val="single" w:sz="8" w:color="CFF0F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3"/>
        </w:trPr>
        <w:tc>
          <w:tcPr>
            <w:tcW w:w="4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ind w:right="132"/>
              <w:spacing w:after="0"/>
              <w:rPr>
                <w:sz w:val="20"/>
                <w:szCs w:val="20"/>
                <w:color w:val="auto"/>
              </w:rPr>
            </w:pPr>
            <w:r>
              <w:rPr>
                <w:rFonts w:ascii="Times New Roman" w:cs="Times New Roman" w:eastAsia="Times New Roman" w:hAnsi="Times New Roman"/>
                <w:sz w:val="18"/>
                <w:szCs w:val="18"/>
                <w:color w:val="auto"/>
              </w:rPr>
              <w:t>40,388</w:t>
            </w:r>
          </w:p>
        </w:tc>
        <w:tc>
          <w:tcPr>
            <w:tcW w:w="80" w:type="dxa"/>
            <w:vAlign w:val="bottom"/>
            <w:shd w:val="clear" w:color="auto" w:fill="CFF0FC"/>
          </w:tcPr>
          <w:p>
            <w:pPr>
              <w:spacing w:after="0"/>
              <w:rPr>
                <w:sz w:val="22"/>
                <w:szCs w:val="22"/>
                <w:color w:val="auto"/>
              </w:rPr>
            </w:pPr>
          </w:p>
        </w:tc>
        <w:tc>
          <w:tcPr>
            <w:tcW w:w="38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ind w:right="131"/>
              <w:spacing w:after="0"/>
              <w:rPr>
                <w:sz w:val="20"/>
                <w:szCs w:val="20"/>
                <w:color w:val="auto"/>
              </w:rPr>
            </w:pPr>
            <w:r>
              <w:rPr>
                <w:rFonts w:ascii="Times New Roman" w:cs="Times New Roman" w:eastAsia="Times New Roman" w:hAnsi="Times New Roman"/>
                <w:sz w:val="18"/>
                <w:szCs w:val="18"/>
                <w:color w:val="auto"/>
              </w:rPr>
              <w:t>46,839</w:t>
            </w:r>
          </w:p>
        </w:tc>
        <w:tc>
          <w:tcPr>
            <w:tcW w:w="100" w:type="dxa"/>
            <w:vAlign w:val="bottom"/>
            <w:shd w:val="clear" w:color="auto" w:fill="CFF0FC"/>
          </w:tcPr>
          <w:p>
            <w:pPr>
              <w:spacing w:after="0"/>
              <w:rPr>
                <w:sz w:val="22"/>
                <w:szCs w:val="22"/>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FF0FC"/>
          </w:tcPr>
          <w:p>
            <w:pPr>
              <w:jc w:val="right"/>
              <w:ind w:right="132"/>
              <w:spacing w:after="0"/>
              <w:rPr>
                <w:sz w:val="20"/>
                <w:szCs w:val="20"/>
                <w:color w:val="auto"/>
              </w:rPr>
            </w:pPr>
            <w:r>
              <w:rPr>
                <w:rFonts w:ascii="Times New Roman" w:cs="Times New Roman" w:eastAsia="Times New Roman" w:hAnsi="Times New Roman"/>
                <w:sz w:val="18"/>
                <w:szCs w:val="18"/>
                <w:color w:val="auto"/>
              </w:rPr>
              <w:t>18,954</w:t>
            </w:r>
          </w:p>
        </w:tc>
        <w:tc>
          <w:tcPr>
            <w:tcW w:w="100" w:type="dxa"/>
            <w:vAlign w:val="bottom"/>
            <w:shd w:val="clear" w:color="auto" w:fill="CFF0FC"/>
          </w:tcPr>
          <w:p>
            <w:pPr>
              <w:spacing w:after="0"/>
              <w:rPr>
                <w:sz w:val="22"/>
                <w:szCs w:val="22"/>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ind w:right="131"/>
              <w:spacing w:after="0"/>
              <w:rPr>
                <w:sz w:val="20"/>
                <w:szCs w:val="20"/>
                <w:color w:val="auto"/>
              </w:rPr>
            </w:pPr>
            <w:r>
              <w:rPr>
                <w:rFonts w:ascii="Times New Roman" w:cs="Times New Roman" w:eastAsia="Times New Roman" w:hAnsi="Times New Roman"/>
                <w:sz w:val="18"/>
                <w:szCs w:val="18"/>
                <w:color w:val="auto"/>
              </w:rPr>
              <w:t>117,753</w:t>
            </w:r>
          </w:p>
        </w:tc>
      </w:tr>
      <w:tr>
        <w:trPr>
          <w:trHeight w:val="263"/>
        </w:trPr>
        <w:tc>
          <w:tcPr>
            <w:tcW w:w="4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300" w:type="dxa"/>
            <w:vAlign w:val="bottom"/>
          </w:tcPr>
          <w:p>
            <w:pPr>
              <w:spacing w:after="0"/>
              <w:rPr>
                <w:sz w:val="22"/>
                <w:szCs w:val="22"/>
                <w:color w:val="auto"/>
              </w:rPr>
            </w:pPr>
          </w:p>
        </w:tc>
        <w:tc>
          <w:tcPr>
            <w:tcW w:w="12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11,575</w:t>
            </w: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15,645</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41,490</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48,719</w:t>
            </w:r>
          </w:p>
        </w:tc>
      </w:tr>
      <w:tr>
        <w:trPr>
          <w:trHeight w:val="277"/>
        </w:trPr>
        <w:tc>
          <w:tcPr>
            <w:tcW w:w="47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 xml:space="preserve">Transaction and other related expenses </w:t>
            </w:r>
            <w:r>
              <w:rPr>
                <w:rFonts w:ascii="Times New Roman" w:cs="Times New Roman" w:eastAsia="Times New Roman" w:hAnsi="Times New Roman"/>
                <w:sz w:val="23"/>
                <w:szCs w:val="23"/>
                <w:color w:val="auto"/>
                <w:vertAlign w:val="superscript"/>
              </w:rPr>
              <w:t>(i)</w:t>
            </w:r>
          </w:p>
        </w:tc>
        <w:tc>
          <w:tcPr>
            <w:tcW w:w="300" w:type="dxa"/>
            <w:vAlign w:val="bottom"/>
            <w:shd w:val="clear" w:color="auto" w:fill="CFF0FC"/>
          </w:tcPr>
          <w:p>
            <w:pPr>
              <w:spacing w:after="0"/>
              <w:rPr>
                <w:sz w:val="24"/>
                <w:szCs w:val="24"/>
                <w:color w:val="auto"/>
              </w:rPr>
            </w:pPr>
          </w:p>
        </w:tc>
        <w:tc>
          <w:tcPr>
            <w:tcW w:w="1260" w:type="dxa"/>
            <w:vAlign w:val="bottom"/>
            <w:shd w:val="clear" w:color="auto" w:fill="CFF0FC"/>
          </w:tcPr>
          <w:p>
            <w:pPr>
              <w:jc w:val="right"/>
              <w:ind w:right="132"/>
              <w:spacing w:after="0"/>
              <w:rPr>
                <w:sz w:val="20"/>
                <w:szCs w:val="20"/>
                <w:color w:val="auto"/>
              </w:rPr>
            </w:pPr>
            <w:r>
              <w:rPr>
                <w:rFonts w:ascii="Times New Roman" w:cs="Times New Roman" w:eastAsia="Times New Roman" w:hAnsi="Times New Roman"/>
                <w:sz w:val="18"/>
                <w:szCs w:val="18"/>
                <w:color w:val="auto"/>
              </w:rPr>
              <w:t>123</w:t>
            </w:r>
          </w:p>
        </w:tc>
        <w:tc>
          <w:tcPr>
            <w:tcW w:w="80" w:type="dxa"/>
            <w:vAlign w:val="bottom"/>
            <w:shd w:val="clear" w:color="auto" w:fill="CFF0FC"/>
          </w:tcPr>
          <w:p>
            <w:pPr>
              <w:spacing w:after="0"/>
              <w:rPr>
                <w:sz w:val="24"/>
                <w:szCs w:val="24"/>
                <w:color w:val="auto"/>
              </w:rPr>
            </w:pPr>
          </w:p>
        </w:tc>
        <w:tc>
          <w:tcPr>
            <w:tcW w:w="380" w:type="dxa"/>
            <w:vAlign w:val="bottom"/>
            <w:shd w:val="clear" w:color="auto" w:fill="CFF0FC"/>
          </w:tcPr>
          <w:p>
            <w:pPr>
              <w:spacing w:after="0"/>
              <w:rPr>
                <w:sz w:val="24"/>
                <w:szCs w:val="24"/>
                <w:color w:val="auto"/>
              </w:rPr>
            </w:pPr>
          </w:p>
        </w:tc>
        <w:tc>
          <w:tcPr>
            <w:tcW w:w="128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24"/>
                <w:szCs w:val="24"/>
                <w:color w:val="auto"/>
              </w:rPr>
            </w:pPr>
          </w:p>
        </w:tc>
        <w:tc>
          <w:tcPr>
            <w:tcW w:w="1240" w:type="dxa"/>
            <w:vAlign w:val="bottom"/>
            <w:shd w:val="clear" w:color="auto" w:fill="CFF0FC"/>
          </w:tcPr>
          <w:p>
            <w:pPr>
              <w:jc w:val="right"/>
              <w:ind w:right="132"/>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shd w:val="clear" w:color="auto" w:fill="CFF0FC"/>
          </w:tcPr>
          <w:p>
            <w:pPr>
              <w:spacing w:after="0"/>
              <w:rPr>
                <w:sz w:val="24"/>
                <w:szCs w:val="24"/>
                <w:color w:val="auto"/>
              </w:rPr>
            </w:pPr>
          </w:p>
        </w:tc>
        <w:tc>
          <w:tcPr>
            <w:tcW w:w="360" w:type="dxa"/>
            <w:vAlign w:val="bottom"/>
            <w:shd w:val="clear" w:color="auto" w:fill="CFF0FC"/>
          </w:tcPr>
          <w:p>
            <w:pPr>
              <w:spacing w:after="0"/>
              <w:rPr>
                <w:sz w:val="24"/>
                <w:szCs w:val="24"/>
                <w:color w:val="auto"/>
              </w:rPr>
            </w:pPr>
          </w:p>
        </w:tc>
        <w:tc>
          <w:tcPr>
            <w:tcW w:w="1200" w:type="dxa"/>
            <w:vAlign w:val="bottom"/>
            <w:shd w:val="clear" w:color="auto" w:fill="CFF0FC"/>
          </w:tcPr>
          <w:p>
            <w:pPr>
              <w:jc w:val="right"/>
              <w:ind w:right="131"/>
              <w:spacing w:after="0"/>
              <w:rPr>
                <w:sz w:val="20"/>
                <w:szCs w:val="20"/>
                <w:color w:val="auto"/>
              </w:rPr>
            </w:pPr>
            <w:r>
              <w:rPr>
                <w:rFonts w:ascii="Times New Roman" w:cs="Times New Roman" w:eastAsia="Times New Roman" w:hAnsi="Times New Roman"/>
                <w:sz w:val="18"/>
                <w:szCs w:val="18"/>
                <w:color w:val="auto"/>
              </w:rPr>
              <w:t>1,093</w:t>
            </w:r>
          </w:p>
        </w:tc>
      </w:tr>
      <w:tr>
        <w:trPr>
          <w:trHeight w:val="270"/>
        </w:trPr>
        <w:tc>
          <w:tcPr>
            <w:tcW w:w="4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 xml:space="preserve">Transformation expenses </w:t>
            </w:r>
            <w:r>
              <w:rPr>
                <w:rFonts w:ascii="Times New Roman" w:cs="Times New Roman" w:eastAsia="Times New Roman" w:hAnsi="Times New Roman"/>
                <w:sz w:val="23"/>
                <w:szCs w:val="23"/>
                <w:color w:val="auto"/>
                <w:vertAlign w:val="superscript"/>
              </w:rPr>
              <w:t>(ii)</w:t>
            </w:r>
          </w:p>
        </w:tc>
        <w:tc>
          <w:tcPr>
            <w:tcW w:w="300" w:type="dxa"/>
            <w:vAlign w:val="bottom"/>
          </w:tcPr>
          <w:p>
            <w:pPr>
              <w:spacing w:after="0"/>
              <w:rPr>
                <w:sz w:val="23"/>
                <w:szCs w:val="23"/>
                <w:color w:val="auto"/>
              </w:rPr>
            </w:pPr>
          </w:p>
        </w:tc>
        <w:tc>
          <w:tcPr>
            <w:tcW w:w="12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5,743</w:t>
            </w: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283</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13,155</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(1,120)</w:t>
            </w:r>
          </w:p>
        </w:tc>
      </w:tr>
      <w:tr>
        <w:trPr>
          <w:trHeight w:val="270"/>
        </w:trPr>
        <w:tc>
          <w:tcPr>
            <w:tcW w:w="47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 xml:space="preserve">Legal accrual/settlement </w:t>
            </w:r>
            <w:r>
              <w:rPr>
                <w:rFonts w:ascii="Times New Roman" w:cs="Times New Roman" w:eastAsia="Times New Roman" w:hAnsi="Times New Roman"/>
                <w:sz w:val="23"/>
                <w:szCs w:val="23"/>
                <w:color w:val="auto"/>
                <w:vertAlign w:val="superscript"/>
              </w:rPr>
              <w:t>(iii)</w:t>
            </w:r>
          </w:p>
        </w:tc>
        <w:tc>
          <w:tcPr>
            <w:tcW w:w="300" w:type="dxa"/>
            <w:vAlign w:val="bottom"/>
            <w:shd w:val="clear" w:color="auto" w:fill="CFF0FC"/>
          </w:tcPr>
          <w:p>
            <w:pPr>
              <w:spacing w:after="0"/>
              <w:rPr>
                <w:sz w:val="23"/>
                <w:szCs w:val="23"/>
                <w:color w:val="auto"/>
              </w:rPr>
            </w:pPr>
          </w:p>
        </w:tc>
        <w:tc>
          <w:tcPr>
            <w:tcW w:w="1260" w:type="dxa"/>
            <w:vAlign w:val="bottom"/>
            <w:shd w:val="clear" w:color="auto" w:fill="CFF0FC"/>
          </w:tcPr>
          <w:p>
            <w:pPr>
              <w:jc w:val="right"/>
              <w:ind w:right="132"/>
              <w:spacing w:after="0"/>
              <w:rPr>
                <w:sz w:val="20"/>
                <w:szCs w:val="20"/>
                <w:color w:val="auto"/>
              </w:rPr>
            </w:pPr>
            <w:r>
              <w:rPr>
                <w:rFonts w:ascii="Times New Roman" w:cs="Times New Roman" w:eastAsia="Times New Roman" w:hAnsi="Times New Roman"/>
                <w:sz w:val="18"/>
                <w:szCs w:val="18"/>
                <w:color w:val="auto"/>
              </w:rPr>
              <w:t>820</w:t>
            </w:r>
          </w:p>
        </w:tc>
        <w:tc>
          <w:tcPr>
            <w:tcW w:w="80" w:type="dxa"/>
            <w:vAlign w:val="bottom"/>
            <w:shd w:val="clear" w:color="auto" w:fill="CFF0FC"/>
          </w:tcPr>
          <w:p>
            <w:pPr>
              <w:spacing w:after="0"/>
              <w:rPr>
                <w:sz w:val="23"/>
                <w:szCs w:val="23"/>
                <w:color w:val="auto"/>
              </w:rPr>
            </w:pPr>
          </w:p>
        </w:tc>
        <w:tc>
          <w:tcPr>
            <w:tcW w:w="380" w:type="dxa"/>
            <w:vAlign w:val="bottom"/>
            <w:shd w:val="clear" w:color="auto" w:fill="CFF0FC"/>
          </w:tcPr>
          <w:p>
            <w:pPr>
              <w:spacing w:after="0"/>
              <w:rPr>
                <w:sz w:val="23"/>
                <w:szCs w:val="23"/>
                <w:color w:val="auto"/>
              </w:rPr>
            </w:pPr>
          </w:p>
        </w:tc>
        <w:tc>
          <w:tcPr>
            <w:tcW w:w="1180" w:type="dxa"/>
            <w:vAlign w:val="bottom"/>
            <w:shd w:val="clear" w:color="auto" w:fill="CFF0FC"/>
          </w:tcPr>
          <w:p>
            <w:pPr>
              <w:jc w:val="right"/>
              <w:ind w:right="91"/>
              <w:spacing w:after="0"/>
              <w:rPr>
                <w:sz w:val="20"/>
                <w:szCs w:val="20"/>
                <w:color w:val="auto"/>
              </w:rPr>
            </w:pPr>
            <w:r>
              <w:rPr>
                <w:rFonts w:ascii="Times New Roman" w:cs="Times New Roman" w:eastAsia="Times New Roman" w:hAnsi="Times New Roman"/>
                <w:sz w:val="18"/>
                <w:szCs w:val="18"/>
                <w:color w:val="auto"/>
              </w:rPr>
              <w:t>(1,540)</w:t>
            </w:r>
          </w:p>
        </w:tc>
        <w:tc>
          <w:tcPr>
            <w:tcW w:w="100" w:type="dxa"/>
            <w:vAlign w:val="bottom"/>
            <w:shd w:val="clear" w:color="auto" w:fill="CFF0FC"/>
          </w:tcPr>
          <w:p>
            <w:pPr>
              <w:spacing w:after="0"/>
              <w:rPr>
                <w:sz w:val="23"/>
                <w:szCs w:val="23"/>
                <w:color w:val="auto"/>
              </w:rPr>
            </w:pPr>
          </w:p>
        </w:tc>
        <w:tc>
          <w:tcPr>
            <w:tcW w:w="320" w:type="dxa"/>
            <w:vAlign w:val="bottom"/>
            <w:shd w:val="clear" w:color="auto" w:fill="CFF0FC"/>
          </w:tcPr>
          <w:p>
            <w:pPr>
              <w:spacing w:after="0"/>
              <w:rPr>
                <w:sz w:val="23"/>
                <w:szCs w:val="23"/>
                <w:color w:val="auto"/>
              </w:rPr>
            </w:pPr>
          </w:p>
        </w:tc>
        <w:tc>
          <w:tcPr>
            <w:tcW w:w="1240" w:type="dxa"/>
            <w:vAlign w:val="bottom"/>
            <w:shd w:val="clear" w:color="auto" w:fill="CFF0FC"/>
          </w:tcPr>
          <w:p>
            <w:pPr>
              <w:jc w:val="right"/>
              <w:ind w:right="92"/>
              <w:spacing w:after="0"/>
              <w:rPr>
                <w:sz w:val="20"/>
                <w:szCs w:val="20"/>
                <w:color w:val="auto"/>
              </w:rPr>
            </w:pPr>
            <w:r>
              <w:rPr>
                <w:rFonts w:ascii="Times New Roman" w:cs="Times New Roman" w:eastAsia="Times New Roman" w:hAnsi="Times New Roman"/>
                <w:sz w:val="18"/>
                <w:szCs w:val="18"/>
                <w:color w:val="auto"/>
              </w:rPr>
              <w:t>(8,360)</w:t>
            </w:r>
          </w:p>
        </w:tc>
        <w:tc>
          <w:tcPr>
            <w:tcW w:w="100" w:type="dxa"/>
            <w:vAlign w:val="bottom"/>
            <w:shd w:val="clear" w:color="auto" w:fill="CFF0FC"/>
          </w:tcPr>
          <w:p>
            <w:pPr>
              <w:spacing w:after="0"/>
              <w:rPr>
                <w:sz w:val="23"/>
                <w:szCs w:val="23"/>
                <w:color w:val="auto"/>
              </w:rPr>
            </w:pPr>
          </w:p>
        </w:tc>
        <w:tc>
          <w:tcPr>
            <w:tcW w:w="360" w:type="dxa"/>
            <w:vAlign w:val="bottom"/>
            <w:shd w:val="clear" w:color="auto" w:fill="CFF0FC"/>
          </w:tcPr>
          <w:p>
            <w:pPr>
              <w:spacing w:after="0"/>
              <w:rPr>
                <w:sz w:val="23"/>
                <w:szCs w:val="23"/>
                <w:color w:val="auto"/>
              </w:rPr>
            </w:pPr>
          </w:p>
        </w:tc>
        <w:tc>
          <w:tcPr>
            <w:tcW w:w="1200" w:type="dxa"/>
            <w:vAlign w:val="bottom"/>
            <w:shd w:val="clear" w:color="auto" w:fill="CFF0FC"/>
          </w:tcPr>
          <w:p>
            <w:pPr>
              <w:jc w:val="right"/>
              <w:ind w:right="91"/>
              <w:spacing w:after="0"/>
              <w:rPr>
                <w:sz w:val="20"/>
                <w:szCs w:val="20"/>
                <w:color w:val="auto"/>
              </w:rPr>
            </w:pPr>
            <w:r>
              <w:rPr>
                <w:rFonts w:ascii="Times New Roman" w:cs="Times New Roman" w:eastAsia="Times New Roman" w:hAnsi="Times New Roman"/>
                <w:sz w:val="18"/>
                <w:szCs w:val="18"/>
                <w:color w:val="auto"/>
              </w:rPr>
              <w:t>(1,540)</w:t>
            </w:r>
          </w:p>
        </w:tc>
      </w:tr>
      <w:tr>
        <w:trPr>
          <w:trHeight w:val="270"/>
        </w:trPr>
        <w:tc>
          <w:tcPr>
            <w:tcW w:w="4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 xml:space="preserve">Goodwill impairment </w:t>
            </w:r>
            <w:r>
              <w:rPr>
                <w:rFonts w:ascii="Times New Roman" w:cs="Times New Roman" w:eastAsia="Times New Roman" w:hAnsi="Times New Roman"/>
                <w:sz w:val="23"/>
                <w:szCs w:val="23"/>
                <w:color w:val="auto"/>
                <w:vertAlign w:val="superscript"/>
              </w:rPr>
              <w:t>(iv)</w:t>
            </w:r>
          </w:p>
        </w:tc>
        <w:tc>
          <w:tcPr>
            <w:tcW w:w="300" w:type="dxa"/>
            <w:vAlign w:val="bottom"/>
          </w:tcPr>
          <w:p>
            <w:pPr>
              <w:spacing w:after="0"/>
              <w:rPr>
                <w:sz w:val="23"/>
                <w:szCs w:val="23"/>
                <w:color w:val="auto"/>
              </w:rPr>
            </w:pPr>
          </w:p>
        </w:tc>
        <w:tc>
          <w:tcPr>
            <w:tcW w:w="13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3"/>
                <w:szCs w:val="23"/>
                <w:color w:val="auto"/>
              </w:rPr>
            </w:pPr>
          </w:p>
        </w:tc>
        <w:tc>
          <w:tcPr>
            <w:tcW w:w="12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3"/>
                <w:szCs w:val="23"/>
                <w:color w:val="auto"/>
              </w:rPr>
            </w:pPr>
          </w:p>
        </w:tc>
        <w:tc>
          <w:tcPr>
            <w:tcW w:w="12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64,037</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47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 xml:space="preserve">Impairment of intangible assets </w:t>
            </w:r>
            <w:r>
              <w:rPr>
                <w:rFonts w:ascii="Times New Roman" w:cs="Times New Roman" w:eastAsia="Times New Roman" w:hAnsi="Times New Roman"/>
                <w:sz w:val="23"/>
                <w:szCs w:val="23"/>
                <w:color w:val="auto"/>
                <w:vertAlign w:val="superscript"/>
              </w:rPr>
              <w:t>(v)</w:t>
            </w:r>
          </w:p>
        </w:tc>
        <w:tc>
          <w:tcPr>
            <w:tcW w:w="300" w:type="dxa"/>
            <w:vAlign w:val="bottom"/>
            <w:shd w:val="clear" w:color="auto" w:fill="CFF0FC"/>
          </w:tcPr>
          <w:p>
            <w:pPr>
              <w:spacing w:after="0"/>
              <w:rPr>
                <w:sz w:val="23"/>
                <w:szCs w:val="23"/>
                <w:color w:val="auto"/>
              </w:rPr>
            </w:pPr>
          </w:p>
        </w:tc>
        <w:tc>
          <w:tcPr>
            <w:tcW w:w="13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spacing w:after="0"/>
              <w:rPr>
                <w:sz w:val="23"/>
                <w:szCs w:val="23"/>
                <w:color w:val="auto"/>
              </w:rPr>
            </w:pPr>
          </w:p>
        </w:tc>
        <w:tc>
          <w:tcPr>
            <w:tcW w:w="128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23"/>
                <w:szCs w:val="23"/>
                <w:color w:val="auto"/>
              </w:rPr>
            </w:pPr>
          </w:p>
        </w:tc>
        <w:tc>
          <w:tcPr>
            <w:tcW w:w="1240" w:type="dxa"/>
            <w:vAlign w:val="bottom"/>
            <w:shd w:val="clear" w:color="auto" w:fill="CFF0FC"/>
          </w:tcPr>
          <w:p>
            <w:pPr>
              <w:jc w:val="right"/>
              <w:ind w:right="132"/>
              <w:spacing w:after="0"/>
              <w:rPr>
                <w:sz w:val="20"/>
                <w:szCs w:val="20"/>
                <w:color w:val="auto"/>
              </w:rPr>
            </w:pPr>
            <w:r>
              <w:rPr>
                <w:rFonts w:ascii="Times New Roman" w:cs="Times New Roman" w:eastAsia="Times New Roman" w:hAnsi="Times New Roman"/>
                <w:sz w:val="18"/>
                <w:szCs w:val="18"/>
                <w:color w:val="auto"/>
              </w:rPr>
              <w:t>40,354</w:t>
            </w:r>
          </w:p>
        </w:tc>
        <w:tc>
          <w:tcPr>
            <w:tcW w:w="100" w:type="dxa"/>
            <w:vAlign w:val="bottom"/>
            <w:shd w:val="clear" w:color="auto" w:fill="CFF0FC"/>
          </w:tcPr>
          <w:p>
            <w:pPr>
              <w:spacing w:after="0"/>
              <w:rPr>
                <w:sz w:val="23"/>
                <w:szCs w:val="23"/>
                <w:color w:val="auto"/>
              </w:rPr>
            </w:pPr>
          </w:p>
        </w:tc>
        <w:tc>
          <w:tcPr>
            <w:tcW w:w="360" w:type="dxa"/>
            <w:vAlign w:val="bottom"/>
            <w:shd w:val="clear" w:color="auto" w:fill="CFF0FC"/>
          </w:tcPr>
          <w:p>
            <w:pPr>
              <w:spacing w:after="0"/>
              <w:rPr>
                <w:sz w:val="23"/>
                <w:szCs w:val="23"/>
                <w:color w:val="auto"/>
              </w:rPr>
            </w:pPr>
          </w:p>
        </w:tc>
        <w:tc>
          <w:tcPr>
            <w:tcW w:w="1200" w:type="dxa"/>
            <w:vAlign w:val="bottom"/>
            <w:shd w:val="clear" w:color="auto" w:fill="CFF0FC"/>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4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Tax credit on impairment</w:t>
            </w:r>
          </w:p>
        </w:tc>
        <w:tc>
          <w:tcPr>
            <w:tcW w:w="300" w:type="dxa"/>
            <w:vAlign w:val="bottom"/>
          </w:tcPr>
          <w:p>
            <w:pPr>
              <w:spacing w:after="0"/>
              <w:rPr>
                <w:sz w:val="22"/>
                <w:szCs w:val="22"/>
                <w:color w:val="auto"/>
              </w:rPr>
            </w:pPr>
          </w:p>
        </w:tc>
        <w:tc>
          <w:tcPr>
            <w:tcW w:w="13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2"/>
                <w:szCs w:val="22"/>
                <w:color w:val="auto"/>
              </w:rPr>
            </w:pPr>
          </w:p>
        </w:tc>
        <w:tc>
          <w:tcPr>
            <w:tcW w:w="12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2"/>
                <w:szCs w:val="22"/>
                <w:color w:val="auto"/>
              </w:rPr>
            </w:pPr>
          </w:p>
        </w:tc>
        <w:tc>
          <w:tcPr>
            <w:tcW w:w="12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(11,254)</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r>
      <w:tr>
        <w:trPr>
          <w:trHeight w:val="277"/>
        </w:trPr>
        <w:tc>
          <w:tcPr>
            <w:tcW w:w="47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300" w:type="dxa"/>
            <w:vAlign w:val="bottom"/>
            <w:shd w:val="clear" w:color="auto" w:fill="CFF0FC"/>
          </w:tcPr>
          <w:p>
            <w:pPr>
              <w:spacing w:after="0"/>
              <w:rPr>
                <w:sz w:val="24"/>
                <w:szCs w:val="24"/>
                <w:color w:val="auto"/>
              </w:rPr>
            </w:pPr>
          </w:p>
        </w:tc>
        <w:tc>
          <w:tcPr>
            <w:tcW w:w="13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spacing w:after="0"/>
              <w:rPr>
                <w:sz w:val="24"/>
                <w:szCs w:val="24"/>
                <w:color w:val="auto"/>
              </w:rPr>
            </w:pPr>
          </w:p>
        </w:tc>
        <w:tc>
          <w:tcPr>
            <w:tcW w:w="1180" w:type="dxa"/>
            <w:vAlign w:val="bottom"/>
            <w:shd w:val="clear" w:color="auto" w:fill="CFF0FC"/>
          </w:tcPr>
          <w:p>
            <w:pPr>
              <w:jc w:val="right"/>
              <w:ind w:right="131"/>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FF0FC"/>
          </w:tcPr>
          <w:p>
            <w:pPr>
              <w:spacing w:after="0"/>
              <w:rPr>
                <w:sz w:val="24"/>
                <w:szCs w:val="24"/>
                <w:color w:val="auto"/>
              </w:rPr>
            </w:pPr>
          </w:p>
        </w:tc>
        <w:tc>
          <w:tcPr>
            <w:tcW w:w="320" w:type="dxa"/>
            <w:vAlign w:val="bottom"/>
            <w:shd w:val="clear" w:color="auto" w:fill="CFF0FC"/>
          </w:tcPr>
          <w:p>
            <w:pPr>
              <w:spacing w:after="0"/>
              <w:rPr>
                <w:sz w:val="24"/>
                <w:szCs w:val="24"/>
                <w:color w:val="auto"/>
              </w:rPr>
            </w:pPr>
          </w:p>
        </w:tc>
        <w:tc>
          <w:tcPr>
            <w:tcW w:w="134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spacing w:after="0"/>
              <w:rPr>
                <w:sz w:val="24"/>
                <w:szCs w:val="24"/>
                <w:color w:val="auto"/>
              </w:rPr>
            </w:pPr>
          </w:p>
        </w:tc>
        <w:tc>
          <w:tcPr>
            <w:tcW w:w="1200" w:type="dxa"/>
            <w:vAlign w:val="bottom"/>
            <w:shd w:val="clear" w:color="auto" w:fill="CFF0FC"/>
          </w:tcPr>
          <w:p>
            <w:pPr>
              <w:jc w:val="right"/>
              <w:ind w:right="131"/>
              <w:spacing w:after="0"/>
              <w:rPr>
                <w:sz w:val="20"/>
                <w:szCs w:val="20"/>
                <w:color w:val="auto"/>
              </w:rPr>
            </w:pPr>
            <w:r>
              <w:rPr>
                <w:rFonts w:ascii="Times New Roman" w:cs="Times New Roman" w:eastAsia="Times New Roman" w:hAnsi="Times New Roman"/>
                <w:sz w:val="18"/>
                <w:szCs w:val="18"/>
                <w:color w:val="auto"/>
              </w:rPr>
              <w:t>69</w:t>
            </w:r>
          </w:p>
        </w:tc>
      </w:tr>
      <w:tr>
        <w:trPr>
          <w:trHeight w:val="270"/>
        </w:trPr>
        <w:tc>
          <w:tcPr>
            <w:tcW w:w="4720" w:type="dxa"/>
            <w:vAlign w:val="bottom"/>
            <w:tcBorders>
              <w:bottom w:val="single" w:sz="8" w:color="CFF0FC"/>
            </w:tcBorders>
          </w:tcPr>
          <w:p>
            <w:pPr>
              <w:ind w:left="220"/>
              <w:spacing w:after="0"/>
              <w:rPr>
                <w:sz w:val="20"/>
                <w:szCs w:val="20"/>
                <w:color w:val="auto"/>
              </w:rPr>
            </w:pPr>
            <w:r>
              <w:rPr>
                <w:rFonts w:ascii="Times New Roman" w:cs="Times New Roman" w:eastAsia="Times New Roman" w:hAnsi="Times New Roman"/>
                <w:sz w:val="18"/>
                <w:szCs w:val="18"/>
                <w:color w:val="auto"/>
              </w:rPr>
              <w:t xml:space="preserve">Stock-based compensation </w:t>
            </w:r>
            <w:r>
              <w:rPr>
                <w:rFonts w:ascii="Times New Roman" w:cs="Times New Roman" w:eastAsia="Times New Roman" w:hAnsi="Times New Roman"/>
                <w:sz w:val="23"/>
                <w:szCs w:val="23"/>
                <w:color w:val="auto"/>
                <w:vertAlign w:val="superscript"/>
              </w:rPr>
              <w:t>(vi)</w:t>
            </w:r>
          </w:p>
        </w:tc>
        <w:tc>
          <w:tcPr>
            <w:tcW w:w="30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721</w:t>
            </w:r>
          </w:p>
        </w:tc>
        <w:tc>
          <w:tcPr>
            <w:tcW w:w="80" w:type="dxa"/>
            <w:vAlign w:val="bottom"/>
            <w:tcBorders>
              <w:bottom w:val="single" w:sz="8" w:color="CFF0FC"/>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4,961</w:t>
            </w:r>
          </w:p>
        </w:tc>
        <w:tc>
          <w:tcPr>
            <w:tcW w:w="100" w:type="dxa"/>
            <w:vAlign w:val="bottom"/>
            <w:tcBorders>
              <w:bottom w:val="single" w:sz="8" w:color="CFF0FC"/>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7,868</w:t>
            </w:r>
          </w:p>
        </w:tc>
        <w:tc>
          <w:tcPr>
            <w:tcW w:w="100" w:type="dxa"/>
            <w:vAlign w:val="bottom"/>
            <w:tcBorders>
              <w:bottom w:val="single" w:sz="8" w:color="CFF0FC"/>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18,696</w:t>
            </w:r>
          </w:p>
        </w:tc>
      </w:tr>
      <w:tr>
        <w:trPr>
          <w:trHeight w:val="264"/>
        </w:trPr>
        <w:tc>
          <w:tcPr>
            <w:tcW w:w="47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Total adjustments before income tax effect</w:t>
            </w:r>
          </w:p>
        </w:tc>
        <w:tc>
          <w:tcPr>
            <w:tcW w:w="300" w:type="dxa"/>
            <w:vAlign w:val="bottom"/>
            <w:shd w:val="clear" w:color="auto" w:fill="CFF0FC"/>
          </w:tcPr>
          <w:p>
            <w:pPr>
              <w:spacing w:after="0"/>
              <w:rPr>
                <w:sz w:val="22"/>
                <w:szCs w:val="22"/>
                <w:color w:val="auto"/>
              </w:rPr>
            </w:pPr>
          </w:p>
        </w:tc>
        <w:tc>
          <w:tcPr>
            <w:tcW w:w="1260" w:type="dxa"/>
            <w:vAlign w:val="bottom"/>
            <w:shd w:val="clear" w:color="auto" w:fill="CFF0FC"/>
          </w:tcPr>
          <w:p>
            <w:pPr>
              <w:jc w:val="right"/>
              <w:ind w:right="132"/>
              <w:spacing w:after="0"/>
              <w:rPr>
                <w:sz w:val="20"/>
                <w:szCs w:val="20"/>
                <w:color w:val="auto"/>
              </w:rPr>
            </w:pPr>
            <w:r>
              <w:rPr>
                <w:rFonts w:ascii="Times New Roman" w:cs="Times New Roman" w:eastAsia="Times New Roman" w:hAnsi="Times New Roman"/>
                <w:sz w:val="18"/>
                <w:szCs w:val="18"/>
                <w:color w:val="auto"/>
              </w:rPr>
              <w:t>18,982</w:t>
            </w:r>
          </w:p>
        </w:tc>
        <w:tc>
          <w:tcPr>
            <w:tcW w:w="80" w:type="dxa"/>
            <w:vAlign w:val="bottom"/>
            <w:shd w:val="clear" w:color="auto" w:fill="CFF0FC"/>
          </w:tcPr>
          <w:p>
            <w:pPr>
              <w:spacing w:after="0"/>
              <w:rPr>
                <w:sz w:val="22"/>
                <w:szCs w:val="22"/>
                <w:color w:val="auto"/>
              </w:rPr>
            </w:pPr>
          </w:p>
        </w:tc>
        <w:tc>
          <w:tcPr>
            <w:tcW w:w="380" w:type="dxa"/>
            <w:vAlign w:val="bottom"/>
            <w:shd w:val="clear" w:color="auto" w:fill="CFF0FC"/>
          </w:tcPr>
          <w:p>
            <w:pPr>
              <w:spacing w:after="0"/>
              <w:rPr>
                <w:sz w:val="22"/>
                <w:szCs w:val="22"/>
                <w:color w:val="auto"/>
              </w:rPr>
            </w:pPr>
          </w:p>
        </w:tc>
        <w:tc>
          <w:tcPr>
            <w:tcW w:w="1180" w:type="dxa"/>
            <w:vAlign w:val="bottom"/>
            <w:shd w:val="clear" w:color="auto" w:fill="CFF0FC"/>
          </w:tcPr>
          <w:p>
            <w:pPr>
              <w:jc w:val="right"/>
              <w:ind w:right="131"/>
              <w:spacing w:after="0"/>
              <w:rPr>
                <w:sz w:val="20"/>
                <w:szCs w:val="20"/>
                <w:color w:val="auto"/>
              </w:rPr>
            </w:pPr>
            <w:r>
              <w:rPr>
                <w:rFonts w:ascii="Times New Roman" w:cs="Times New Roman" w:eastAsia="Times New Roman" w:hAnsi="Times New Roman"/>
                <w:sz w:val="18"/>
                <w:szCs w:val="18"/>
                <w:color w:val="auto"/>
              </w:rPr>
              <w:t>19,370</w:t>
            </w:r>
          </w:p>
        </w:tc>
        <w:tc>
          <w:tcPr>
            <w:tcW w:w="10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240" w:type="dxa"/>
            <w:vAlign w:val="bottom"/>
            <w:shd w:val="clear" w:color="auto" w:fill="CFF0FC"/>
          </w:tcPr>
          <w:p>
            <w:pPr>
              <w:jc w:val="right"/>
              <w:ind w:right="132"/>
              <w:spacing w:after="0"/>
              <w:rPr>
                <w:sz w:val="20"/>
                <w:szCs w:val="20"/>
                <w:color w:val="auto"/>
              </w:rPr>
            </w:pPr>
            <w:r>
              <w:rPr>
                <w:rFonts w:ascii="Times New Roman" w:cs="Times New Roman" w:eastAsia="Times New Roman" w:hAnsi="Times New Roman"/>
                <w:sz w:val="18"/>
                <w:szCs w:val="18"/>
                <w:color w:val="auto"/>
              </w:rPr>
              <w:t>147,413</w:t>
            </w:r>
          </w:p>
        </w:tc>
        <w:tc>
          <w:tcPr>
            <w:tcW w:w="10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1200" w:type="dxa"/>
            <w:vAlign w:val="bottom"/>
            <w:shd w:val="clear" w:color="auto" w:fill="CFF0FC"/>
          </w:tcPr>
          <w:p>
            <w:pPr>
              <w:jc w:val="right"/>
              <w:ind w:right="131"/>
              <w:spacing w:after="0"/>
              <w:rPr>
                <w:sz w:val="20"/>
                <w:szCs w:val="20"/>
                <w:color w:val="auto"/>
              </w:rPr>
            </w:pPr>
            <w:r>
              <w:rPr>
                <w:rFonts w:ascii="Times New Roman" w:cs="Times New Roman" w:eastAsia="Times New Roman" w:hAnsi="Times New Roman"/>
                <w:sz w:val="18"/>
                <w:szCs w:val="18"/>
                <w:color w:val="auto"/>
              </w:rPr>
              <w:t>65,917</w:t>
            </w:r>
          </w:p>
        </w:tc>
      </w:tr>
      <w:tr>
        <w:trPr>
          <w:trHeight w:val="263"/>
        </w:trPr>
        <w:tc>
          <w:tcPr>
            <w:tcW w:w="4720" w:type="dxa"/>
            <w:vAlign w:val="bottom"/>
            <w:tcBorders>
              <w:bottom w:val="single" w:sz="8" w:color="CFF0FC"/>
            </w:tcBorders>
          </w:tcPr>
          <w:p>
            <w:pPr>
              <w:ind w:left="220"/>
              <w:spacing w:after="0"/>
              <w:rPr>
                <w:sz w:val="20"/>
                <w:szCs w:val="20"/>
                <w:color w:val="auto"/>
              </w:rPr>
            </w:pPr>
            <w:r>
              <w:rPr>
                <w:rFonts w:ascii="Times New Roman" w:cs="Times New Roman" w:eastAsia="Times New Roman" w:hAnsi="Times New Roman"/>
                <w:sz w:val="18"/>
                <w:szCs w:val="18"/>
                <w:color w:val="auto"/>
              </w:rPr>
              <w:t>Income tax effect on adjustments</w:t>
            </w:r>
          </w:p>
        </w:tc>
        <w:tc>
          <w:tcPr>
            <w:tcW w:w="3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(5,315)</w:t>
            </w:r>
          </w:p>
        </w:tc>
        <w:tc>
          <w:tcPr>
            <w:tcW w:w="80" w:type="dxa"/>
            <w:vAlign w:val="bottom"/>
            <w:tcBorders>
              <w:bottom w:val="single" w:sz="8" w:color="CFF0FC"/>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(5,611)</w:t>
            </w:r>
          </w:p>
        </w:tc>
        <w:tc>
          <w:tcPr>
            <w:tcW w:w="100" w:type="dxa"/>
            <w:vAlign w:val="bottom"/>
            <w:tcBorders>
              <w:bottom w:val="single" w:sz="8" w:color="CFF0FC"/>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(15,198)</w:t>
            </w:r>
          </w:p>
        </w:tc>
        <w:tc>
          <w:tcPr>
            <w:tcW w:w="100" w:type="dxa"/>
            <w:vAlign w:val="bottom"/>
            <w:tcBorders>
              <w:bottom w:val="single" w:sz="8" w:color="CFF0FC"/>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(19,096)</w:t>
            </w:r>
          </w:p>
        </w:tc>
      </w:tr>
      <w:tr>
        <w:trPr>
          <w:trHeight w:val="270"/>
        </w:trPr>
        <w:tc>
          <w:tcPr>
            <w:tcW w:w="47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Total adjustments after income tax effect</w:t>
            </w:r>
          </w:p>
        </w:tc>
        <w:tc>
          <w:tcPr>
            <w:tcW w:w="300" w:type="dxa"/>
            <w:vAlign w:val="bottom"/>
            <w:tcBorders>
              <w:bottom w:val="single" w:sz="8" w:color="auto"/>
            </w:tcBorders>
            <w:shd w:val="clear" w:color="auto" w:fill="CFF0FC"/>
          </w:tcPr>
          <w:p>
            <w:pPr>
              <w:spacing w:after="0"/>
              <w:rPr>
                <w:sz w:val="23"/>
                <w:szCs w:val="23"/>
                <w:color w:val="auto"/>
              </w:rPr>
            </w:pPr>
          </w:p>
        </w:tc>
        <w:tc>
          <w:tcPr>
            <w:tcW w:w="1260" w:type="dxa"/>
            <w:vAlign w:val="bottom"/>
            <w:tcBorders>
              <w:bottom w:val="single" w:sz="8" w:color="auto"/>
            </w:tcBorders>
            <w:shd w:val="clear" w:color="auto" w:fill="CFF0FC"/>
          </w:tcPr>
          <w:p>
            <w:pPr>
              <w:jc w:val="right"/>
              <w:ind w:right="132"/>
              <w:spacing w:after="0"/>
              <w:rPr>
                <w:sz w:val="20"/>
                <w:szCs w:val="20"/>
                <w:color w:val="auto"/>
              </w:rPr>
            </w:pPr>
            <w:r>
              <w:rPr>
                <w:rFonts w:ascii="Times New Roman" w:cs="Times New Roman" w:eastAsia="Times New Roman" w:hAnsi="Times New Roman"/>
                <w:sz w:val="18"/>
                <w:szCs w:val="18"/>
                <w:color w:val="auto"/>
              </w:rPr>
              <w:t>13,667</w:t>
            </w:r>
          </w:p>
        </w:tc>
        <w:tc>
          <w:tcPr>
            <w:tcW w:w="80" w:type="dxa"/>
            <w:vAlign w:val="bottom"/>
            <w:shd w:val="clear" w:color="auto" w:fill="CFF0FC"/>
          </w:tcPr>
          <w:p>
            <w:pPr>
              <w:spacing w:after="0"/>
              <w:rPr>
                <w:sz w:val="23"/>
                <w:szCs w:val="23"/>
                <w:color w:val="auto"/>
              </w:rPr>
            </w:pPr>
          </w:p>
        </w:tc>
        <w:tc>
          <w:tcPr>
            <w:tcW w:w="380" w:type="dxa"/>
            <w:vAlign w:val="bottom"/>
            <w:tcBorders>
              <w:bottom w:val="single" w:sz="8" w:color="auto"/>
            </w:tcBorders>
            <w:shd w:val="clear" w:color="auto" w:fill="CFF0FC"/>
          </w:tcPr>
          <w:p>
            <w:pPr>
              <w:spacing w:after="0"/>
              <w:rPr>
                <w:sz w:val="23"/>
                <w:szCs w:val="23"/>
                <w:color w:val="auto"/>
              </w:rPr>
            </w:pPr>
          </w:p>
        </w:tc>
        <w:tc>
          <w:tcPr>
            <w:tcW w:w="1180" w:type="dxa"/>
            <w:vAlign w:val="bottom"/>
            <w:tcBorders>
              <w:bottom w:val="single" w:sz="8" w:color="auto"/>
            </w:tcBorders>
            <w:shd w:val="clear" w:color="auto" w:fill="CFF0FC"/>
          </w:tcPr>
          <w:p>
            <w:pPr>
              <w:jc w:val="right"/>
              <w:ind w:right="131"/>
              <w:spacing w:after="0"/>
              <w:rPr>
                <w:sz w:val="20"/>
                <w:szCs w:val="20"/>
                <w:color w:val="auto"/>
              </w:rPr>
            </w:pPr>
            <w:r>
              <w:rPr>
                <w:rFonts w:ascii="Times New Roman" w:cs="Times New Roman" w:eastAsia="Times New Roman" w:hAnsi="Times New Roman"/>
                <w:sz w:val="18"/>
                <w:szCs w:val="18"/>
                <w:color w:val="auto"/>
              </w:rPr>
              <w:t>13,759</w:t>
            </w:r>
          </w:p>
        </w:tc>
        <w:tc>
          <w:tcPr>
            <w:tcW w:w="100" w:type="dxa"/>
            <w:vAlign w:val="bottom"/>
            <w:shd w:val="clear" w:color="auto" w:fill="CFF0FC"/>
          </w:tcPr>
          <w:p>
            <w:pPr>
              <w:spacing w:after="0"/>
              <w:rPr>
                <w:sz w:val="23"/>
                <w:szCs w:val="23"/>
                <w:color w:val="auto"/>
              </w:rPr>
            </w:pPr>
          </w:p>
        </w:tc>
        <w:tc>
          <w:tcPr>
            <w:tcW w:w="320" w:type="dxa"/>
            <w:vAlign w:val="bottom"/>
            <w:tcBorders>
              <w:bottom w:val="single" w:sz="8" w:color="auto"/>
            </w:tcBorders>
            <w:shd w:val="clear" w:color="auto" w:fill="CFF0FC"/>
          </w:tcPr>
          <w:p>
            <w:pPr>
              <w:spacing w:after="0"/>
              <w:rPr>
                <w:sz w:val="23"/>
                <w:szCs w:val="23"/>
                <w:color w:val="auto"/>
              </w:rPr>
            </w:pPr>
          </w:p>
        </w:tc>
        <w:tc>
          <w:tcPr>
            <w:tcW w:w="1240" w:type="dxa"/>
            <w:vAlign w:val="bottom"/>
            <w:tcBorders>
              <w:bottom w:val="single" w:sz="8" w:color="auto"/>
            </w:tcBorders>
            <w:shd w:val="clear" w:color="auto" w:fill="CFF0FC"/>
          </w:tcPr>
          <w:p>
            <w:pPr>
              <w:jc w:val="right"/>
              <w:ind w:right="132"/>
              <w:spacing w:after="0"/>
              <w:rPr>
                <w:sz w:val="20"/>
                <w:szCs w:val="20"/>
                <w:color w:val="auto"/>
              </w:rPr>
            </w:pPr>
            <w:r>
              <w:rPr>
                <w:rFonts w:ascii="Times New Roman" w:cs="Times New Roman" w:eastAsia="Times New Roman" w:hAnsi="Times New Roman"/>
                <w:sz w:val="18"/>
                <w:szCs w:val="18"/>
                <w:color w:val="auto"/>
              </w:rPr>
              <w:t>132,215</w:t>
            </w:r>
          </w:p>
        </w:tc>
        <w:tc>
          <w:tcPr>
            <w:tcW w:w="100" w:type="dxa"/>
            <w:vAlign w:val="bottom"/>
            <w:shd w:val="clear" w:color="auto" w:fill="CFF0FC"/>
          </w:tcPr>
          <w:p>
            <w:pPr>
              <w:spacing w:after="0"/>
              <w:rPr>
                <w:sz w:val="23"/>
                <w:szCs w:val="23"/>
                <w:color w:val="auto"/>
              </w:rPr>
            </w:pPr>
          </w:p>
        </w:tc>
        <w:tc>
          <w:tcPr>
            <w:tcW w:w="360" w:type="dxa"/>
            <w:vAlign w:val="bottom"/>
            <w:tcBorders>
              <w:bottom w:val="single" w:sz="8" w:color="auto"/>
            </w:tcBorders>
            <w:shd w:val="clear" w:color="auto" w:fill="CFF0FC"/>
          </w:tcPr>
          <w:p>
            <w:pPr>
              <w:spacing w:after="0"/>
              <w:rPr>
                <w:sz w:val="23"/>
                <w:szCs w:val="23"/>
                <w:color w:val="auto"/>
              </w:rPr>
            </w:pPr>
          </w:p>
        </w:tc>
        <w:tc>
          <w:tcPr>
            <w:tcW w:w="1200" w:type="dxa"/>
            <w:vAlign w:val="bottom"/>
            <w:tcBorders>
              <w:bottom w:val="single" w:sz="8" w:color="auto"/>
            </w:tcBorders>
            <w:shd w:val="clear" w:color="auto" w:fill="CFF0FC"/>
          </w:tcPr>
          <w:p>
            <w:pPr>
              <w:jc w:val="right"/>
              <w:ind w:right="131"/>
              <w:spacing w:after="0"/>
              <w:rPr>
                <w:sz w:val="20"/>
                <w:szCs w:val="20"/>
                <w:color w:val="auto"/>
              </w:rPr>
            </w:pPr>
            <w:r>
              <w:rPr>
                <w:rFonts w:ascii="Times New Roman" w:cs="Times New Roman" w:eastAsia="Times New Roman" w:hAnsi="Times New Roman"/>
                <w:sz w:val="18"/>
                <w:szCs w:val="18"/>
                <w:color w:val="auto"/>
              </w:rPr>
              <w:t>46,821</w:t>
            </w:r>
          </w:p>
        </w:tc>
      </w:tr>
      <w:tr>
        <w:trPr>
          <w:trHeight w:val="257"/>
        </w:trPr>
        <w:tc>
          <w:tcPr>
            <w:tcW w:w="4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Adjusted Net Income</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54,055</w:t>
            </w:r>
          </w:p>
        </w:tc>
        <w:tc>
          <w:tcPr>
            <w:tcW w:w="80" w:type="dxa"/>
            <w:vAlign w:val="bottom"/>
          </w:tcPr>
          <w:p>
            <w:pPr>
              <w:spacing w:after="0"/>
              <w:rPr>
                <w:sz w:val="22"/>
                <w:szCs w:val="22"/>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60,598</w:t>
            </w:r>
          </w:p>
        </w:tc>
        <w:tc>
          <w:tcPr>
            <w:tcW w:w="100" w:type="dxa"/>
            <w:vAlign w:val="bottom"/>
          </w:tcPr>
          <w:p>
            <w:pPr>
              <w:spacing w:after="0"/>
              <w:rPr>
                <w:sz w:val="22"/>
                <w:szCs w:val="22"/>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151,169</w:t>
            </w:r>
          </w:p>
        </w:tc>
        <w:tc>
          <w:tcPr>
            <w:tcW w:w="100" w:type="dxa"/>
            <w:vAlign w:val="bottom"/>
          </w:tcPr>
          <w:p>
            <w:pPr>
              <w:spacing w:after="0"/>
              <w:rPr>
                <w:sz w:val="22"/>
                <w:szCs w:val="22"/>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164,574</w:t>
            </w:r>
          </w:p>
        </w:tc>
      </w:tr>
      <w:tr>
        <w:trPr>
          <w:trHeight w:val="27"/>
        </w:trPr>
        <w:tc>
          <w:tcPr>
            <w:tcW w:w="47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6"/>
        </w:trPr>
        <w:tc>
          <w:tcPr>
            <w:tcW w:w="4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70"/>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EPS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0.36</w:t>
            </w:r>
          </w:p>
        </w:tc>
        <w:tc>
          <w:tcPr>
            <w:tcW w:w="80" w:type="dxa"/>
            <w:vAlign w:val="bottom"/>
            <w:shd w:val="clear" w:color="auto" w:fill="CCEEFF"/>
          </w:tcPr>
          <w:p>
            <w:pPr>
              <w:spacing w:after="0"/>
              <w:rPr>
                <w:sz w:val="23"/>
                <w:szCs w:val="23"/>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0.37</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0.99</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1.02</w:t>
            </w:r>
          </w:p>
        </w:tc>
      </w:tr>
      <w:tr>
        <w:trPr>
          <w:trHeight w:val="263"/>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weighted average shares outstanding</w:t>
            </w:r>
          </w:p>
        </w:tc>
        <w:tc>
          <w:tcPr>
            <w:tcW w:w="30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152,120</w:t>
            </w: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161,861</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152,988</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161,824</w:t>
            </w:r>
          </w:p>
        </w:tc>
      </w:tr>
      <w:tr>
        <w:trPr>
          <w:trHeight w:val="277"/>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Annual estimated effective income tax rate </w:t>
            </w:r>
            <w:r>
              <w:rPr>
                <w:rFonts w:ascii="Times New Roman" w:cs="Times New Roman" w:eastAsia="Times New Roman" w:hAnsi="Times New Roman"/>
                <w:sz w:val="23"/>
                <w:szCs w:val="23"/>
                <w:color w:val="auto"/>
                <w:vertAlign w:val="superscript"/>
              </w:rPr>
              <w:t>(vii)</w:t>
            </w:r>
          </w:p>
        </w:tc>
        <w:tc>
          <w:tcPr>
            <w:tcW w:w="30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8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r>
    </w:tbl>
    <w:p>
      <w:pPr>
        <w:spacing w:after="0" w:line="200" w:lineRule="exact"/>
        <w:rPr>
          <w:sz w:val="20"/>
          <w:szCs w:val="20"/>
          <w:color w:val="auto"/>
        </w:rPr>
      </w:pPr>
    </w:p>
    <w:p>
      <w:pPr>
        <w:spacing w:after="0" w:line="304" w:lineRule="exact"/>
        <w:rPr>
          <w:sz w:val="20"/>
          <w:szCs w:val="20"/>
          <w:color w:val="auto"/>
        </w:rPr>
      </w:pPr>
    </w:p>
    <w:p>
      <w:pPr>
        <w:ind w:left="900" w:hanging="503"/>
        <w:spacing w:after="0"/>
        <w:tabs>
          <w:tab w:leader="none" w:pos="900" w:val="left"/>
        </w:tabs>
        <w:numPr>
          <w:ilvl w:val="0"/>
          <w:numId w:val="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Transaction and other related expenses for the periods presented primarily related to deal costs incurred for potential acquisitions.</w:t>
      </w:r>
    </w:p>
    <w:p>
      <w:pPr>
        <w:spacing w:after="0" w:line="132" w:lineRule="exact"/>
        <w:rPr>
          <w:rFonts w:ascii="Times New Roman" w:cs="Times New Roman" w:eastAsia="Times New Roman" w:hAnsi="Times New Roman"/>
          <w:sz w:val="19"/>
          <w:szCs w:val="19"/>
          <w:color w:val="auto"/>
        </w:rPr>
      </w:pPr>
    </w:p>
    <w:p>
      <w:pPr>
        <w:ind w:left="920" w:hanging="523"/>
        <w:spacing w:after="0" w:line="269" w:lineRule="auto"/>
        <w:tabs>
          <w:tab w:leader="none" w:pos="913"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Transformation expenses for the 2026 periods consist of severance and other employee separation costs. Transformation expenses for the nine-month period in 2025 represent a non-cash benefit in relation to a building lease.</w:t>
      </w:r>
    </w:p>
    <w:p>
      <w:pPr>
        <w:spacing w:after="0" w:line="64" w:lineRule="exact"/>
        <w:rPr>
          <w:rFonts w:ascii="Times New Roman" w:cs="Times New Roman" w:eastAsia="Times New Roman" w:hAnsi="Times New Roman"/>
          <w:sz w:val="20"/>
          <w:szCs w:val="20"/>
          <w:color w:val="auto"/>
        </w:rPr>
      </w:pPr>
    </w:p>
    <w:p>
      <w:pPr>
        <w:jc w:val="both"/>
        <w:ind w:left="920" w:hanging="523"/>
        <w:spacing w:after="0" w:line="253" w:lineRule="auto"/>
        <w:tabs>
          <w:tab w:leader="none" w:pos="914"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the three months ended September 30, 2026 this consists of the quarterly adjustment relating to the equity securities to remeasure to fair value at the end of the reporting period. For the nine months ended September 30, 2026 this relates to a legal settlement finalized in the first quarter of 2026 in the form of cash and equity securities, an adjustment relating to the equity securities to remeasure to fair value at the end of the reporting period, and directly associated legal costs incurred during the quarter. For the 2025 periods, this relates to adjustments to loss contingencies.</w:t>
      </w:r>
    </w:p>
    <w:p>
      <w:pPr>
        <w:spacing w:after="0" w:line="83" w:lineRule="exact"/>
        <w:rPr>
          <w:rFonts w:ascii="Times New Roman" w:cs="Times New Roman" w:eastAsia="Times New Roman" w:hAnsi="Times New Roman"/>
          <w:sz w:val="20"/>
          <w:szCs w:val="20"/>
          <w:color w:val="auto"/>
        </w:rPr>
      </w:pPr>
    </w:p>
    <w:p>
      <w:pPr>
        <w:ind w:left="920" w:hanging="523"/>
        <w:spacing w:after="0"/>
        <w:tabs>
          <w:tab w:leader="none" w:pos="92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relates to the non-cash impairment of goodwill in our Parking Solutions segment further discussed above.</w:t>
      </w:r>
    </w:p>
    <w:p>
      <w:pPr>
        <w:sectPr>
          <w:pgSz w:w="11900" w:h="16838" w:orient="portrait"/>
          <w:cols w:equalWidth="0" w:num="1">
            <w:col w:w="11240"/>
          </w:cols>
          <w:pgMar w:left="320" w:top="76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240"/>
          </w:cols>
          <w:pgMar w:left="320" w:top="760" w:right="339" w:bottom="1440" w:gutter="0" w:footer="0" w:header="0"/>
          <w:type w:val="continuous"/>
        </w:sectPr>
      </w:pPr>
    </w:p>
    <w:bookmarkStart w:id="17" w:name="page18"/>
    <w:bookmarkEnd w:id="17"/>
    <w:p>
      <w:pPr>
        <w:ind w:left="10180"/>
        <w:spacing w:after="0"/>
        <w:rPr>
          <w:sz w:val="20"/>
          <w:szCs w:val="20"/>
          <w:color w:val="auto"/>
        </w:rPr>
      </w:pPr>
      <w:r>
        <w:rPr>
          <w:rFonts w:ascii="Times New Roman" w:cs="Times New Roman" w:eastAsia="Times New Roman" w:hAnsi="Times New Roman"/>
          <w:sz w:val="21"/>
          <w:szCs w:val="2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920" w:hanging="523"/>
        <w:spacing w:after="0"/>
        <w:tabs>
          <w:tab w:leader="none" w:pos="92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relates to the non-cash impairment of intangible assets in our Parking Solutions segment further discussed above.</w:t>
      </w:r>
    </w:p>
    <w:p>
      <w:pPr>
        <w:spacing w:after="0" w:line="121" w:lineRule="exact"/>
        <w:rPr>
          <w:rFonts w:ascii="Times New Roman" w:cs="Times New Roman" w:eastAsia="Times New Roman" w:hAnsi="Times New Roman"/>
          <w:sz w:val="20"/>
          <w:szCs w:val="20"/>
          <w:color w:val="auto"/>
        </w:rPr>
      </w:pPr>
    </w:p>
    <w:p>
      <w:pPr>
        <w:ind w:left="920" w:hanging="523"/>
        <w:spacing w:after="0" w:line="283" w:lineRule="auto"/>
        <w:tabs>
          <w:tab w:leader="none" w:pos="917"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Stock-based compensation represents the non-cash charge related to the issuance of awards under the Verra Mobility Corporation Amended and Restated 2018 Equity Incentive Plan.</w:t>
      </w:r>
    </w:p>
    <w:p>
      <w:pPr>
        <w:spacing w:after="0" w:line="38" w:lineRule="exact"/>
        <w:rPr>
          <w:rFonts w:ascii="Times New Roman" w:cs="Times New Roman" w:eastAsia="Times New Roman" w:hAnsi="Times New Roman"/>
          <w:sz w:val="20"/>
          <w:szCs w:val="20"/>
          <w:color w:val="auto"/>
        </w:rPr>
      </w:pPr>
    </w:p>
    <w:p>
      <w:pPr>
        <w:jc w:val="both"/>
        <w:ind w:left="920" w:hanging="523"/>
        <w:spacing w:after="0" w:line="261" w:lineRule="auto"/>
        <w:tabs>
          <w:tab w:leader="none" w:pos="918"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annual estimated effective tax rate used above excludes discrete items as they do not impact taxable income. This rate differs from the period-to-date effective tax rate used on our condensed consolidated statements of operations which includes the discrete items.</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 xml:space="preserve">RECONCILIATION OF TOTAL DEBT, NET TO NET DEBT AND NET LEVERAGE </w:t>
      </w:r>
      <w:r>
        <w:rPr>
          <w:rFonts w:ascii="Times New Roman" w:cs="Times New Roman" w:eastAsia="Times New Roman" w:hAnsi="Times New Roman"/>
          <w:sz w:val="20"/>
          <w:szCs w:val="20"/>
          <w:color w:val="auto"/>
        </w:rPr>
        <w:t>(Unaudited)</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1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thousands)</w:t>
            </w:r>
          </w:p>
        </w:tc>
        <w:tc>
          <w:tcPr>
            <w:tcW w:w="200" w:type="dxa"/>
            <w:vAlign w:val="bottom"/>
          </w:tcPr>
          <w:p>
            <w:pPr>
              <w:spacing w:after="0"/>
              <w:rPr>
                <w:sz w:val="13"/>
                <w:szCs w:val="13"/>
                <w:color w:val="auto"/>
              </w:rPr>
            </w:pPr>
          </w:p>
        </w:tc>
        <w:tc>
          <w:tcPr>
            <w:tcW w:w="13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3"/>
                <w:szCs w:val="13"/>
                <w:color w:val="auto"/>
              </w:rPr>
            </w:pPr>
          </w:p>
        </w:tc>
        <w:tc>
          <w:tcPr>
            <w:tcW w:w="126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81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Pr>
          <w:p>
            <w:pPr>
              <w:jc w:val="right"/>
              <w:ind w:right="514"/>
              <w:spacing w:after="0" w:line="127" w:lineRule="exact"/>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jc w:val="right"/>
              <w:ind w:right="514"/>
              <w:spacing w:after="0" w:line="127" w:lineRule="exact"/>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34"/>
        </w:trPr>
        <w:tc>
          <w:tcPr>
            <w:tcW w:w="20" w:type="dxa"/>
            <w:vAlign w:val="bottom"/>
            <w:tcBorders>
              <w:bottom w:val="single" w:sz="8" w:color="CFF0FC"/>
            </w:tcBorders>
          </w:tcPr>
          <w:p>
            <w:pPr>
              <w:spacing w:after="0"/>
              <w:rPr>
                <w:sz w:val="2"/>
                <w:szCs w:val="2"/>
                <w:color w:val="auto"/>
              </w:rPr>
            </w:pPr>
          </w:p>
        </w:tc>
        <w:tc>
          <w:tcPr>
            <w:tcW w:w="980" w:type="dxa"/>
            <w:vAlign w:val="bottom"/>
            <w:tcBorders>
              <w:top w:val="single" w:sz="8" w:color="auto"/>
              <w:bottom w:val="single" w:sz="8" w:color="CFF0FC"/>
            </w:tcBorders>
          </w:tcPr>
          <w:p>
            <w:pPr>
              <w:spacing w:after="0"/>
              <w:rPr>
                <w:sz w:val="2"/>
                <w:szCs w:val="2"/>
                <w:color w:val="auto"/>
              </w:rPr>
            </w:pPr>
          </w:p>
        </w:tc>
        <w:tc>
          <w:tcPr>
            <w:tcW w:w="7180" w:type="dxa"/>
            <w:vAlign w:val="bottom"/>
            <w:tcBorders>
              <w:bottom w:val="single" w:sz="8" w:color="CFF0F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20" w:type="dxa"/>
            <w:vAlign w:val="bottom"/>
            <w:shd w:val="clear" w:color="auto" w:fill="CFF0FC"/>
          </w:tcPr>
          <w:p>
            <w:pPr>
              <w:spacing w:after="0"/>
              <w:rPr>
                <w:sz w:val="22"/>
                <w:szCs w:val="22"/>
                <w:color w:val="auto"/>
              </w:rPr>
            </w:pPr>
          </w:p>
        </w:tc>
        <w:tc>
          <w:tcPr>
            <w:tcW w:w="81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debt, net</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1,032,562</w:t>
            </w:r>
          </w:p>
        </w:tc>
        <w:tc>
          <w:tcPr>
            <w:tcW w:w="100" w:type="dxa"/>
            <w:vAlign w:val="bottom"/>
            <w:shd w:val="clear" w:color="auto" w:fill="CFF0FC"/>
          </w:tcPr>
          <w:p>
            <w:pPr>
              <w:spacing w:after="0"/>
              <w:rPr>
                <w:sz w:val="22"/>
                <w:szCs w:val="22"/>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1,028,045</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Original issue discounts</w:t>
            </w: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1,948</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2,193</w:t>
            </w:r>
          </w:p>
        </w:tc>
        <w:tc>
          <w:tcPr>
            <w:tcW w:w="0" w:type="dxa"/>
            <w:vAlign w:val="bottom"/>
          </w:tcPr>
          <w:p>
            <w:pPr>
              <w:spacing w:after="0"/>
              <w:rPr>
                <w:sz w:val="1"/>
                <w:szCs w:val="1"/>
                <w:color w:val="auto"/>
              </w:rPr>
            </w:pPr>
          </w:p>
        </w:tc>
      </w:tr>
      <w:tr>
        <w:trPr>
          <w:trHeight w:val="277"/>
        </w:trPr>
        <w:tc>
          <w:tcPr>
            <w:tcW w:w="20" w:type="dxa"/>
            <w:vAlign w:val="bottom"/>
            <w:shd w:val="clear" w:color="auto" w:fill="CFF0FC"/>
          </w:tcPr>
          <w:p>
            <w:pPr>
              <w:spacing w:after="0"/>
              <w:rPr>
                <w:sz w:val="24"/>
                <w:szCs w:val="24"/>
                <w:color w:val="auto"/>
              </w:rPr>
            </w:pPr>
          </w:p>
        </w:tc>
        <w:tc>
          <w:tcPr>
            <w:tcW w:w="81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Unamortized deferred financing costs</w:t>
            </w:r>
          </w:p>
        </w:tc>
        <w:tc>
          <w:tcPr>
            <w:tcW w:w="200" w:type="dxa"/>
            <w:vAlign w:val="bottom"/>
            <w:tcBorders>
              <w:bottom w:val="single" w:sz="8" w:color="auto"/>
            </w:tcBorders>
            <w:shd w:val="clear" w:color="auto" w:fill="CFF0FC"/>
          </w:tcPr>
          <w:p>
            <w:pPr>
              <w:spacing w:after="0"/>
              <w:rPr>
                <w:sz w:val="24"/>
                <w:szCs w:val="24"/>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5,810</w:t>
            </w:r>
          </w:p>
        </w:tc>
        <w:tc>
          <w:tcPr>
            <w:tcW w:w="100" w:type="dxa"/>
            <w:vAlign w:val="bottom"/>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spacing w:after="0"/>
              <w:rPr>
                <w:sz w:val="24"/>
                <w:szCs w:val="24"/>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6,844</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debt, excluding original issue discounts and unamortized deferred financing costs</w:t>
            </w: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1,040,320</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1,037,082</w:t>
            </w:r>
          </w:p>
        </w:tc>
        <w:tc>
          <w:tcPr>
            <w:tcW w:w="0" w:type="dxa"/>
            <w:vAlign w:val="bottom"/>
          </w:tcPr>
          <w:p>
            <w:pPr>
              <w:spacing w:after="0"/>
              <w:rPr>
                <w:sz w:val="1"/>
                <w:szCs w:val="1"/>
                <w:color w:val="auto"/>
              </w:rPr>
            </w:pPr>
          </w:p>
        </w:tc>
      </w:tr>
      <w:tr>
        <w:trPr>
          <w:trHeight w:val="270"/>
        </w:trPr>
        <w:tc>
          <w:tcPr>
            <w:tcW w:w="20" w:type="dxa"/>
            <w:vAlign w:val="bottom"/>
            <w:shd w:val="clear" w:color="auto" w:fill="CFF0FC"/>
          </w:tcPr>
          <w:p>
            <w:pPr>
              <w:spacing w:after="0"/>
              <w:rPr>
                <w:sz w:val="23"/>
                <w:szCs w:val="23"/>
                <w:color w:val="auto"/>
              </w:rPr>
            </w:pPr>
          </w:p>
        </w:tc>
        <w:tc>
          <w:tcPr>
            <w:tcW w:w="81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tcBorders>
              <w:bottom w:val="single" w:sz="8" w:color="auto"/>
            </w:tcBorders>
            <w:shd w:val="clear" w:color="auto" w:fill="CFF0FC"/>
          </w:tcPr>
          <w:p>
            <w:pPr>
              <w:spacing w:after="0"/>
              <w:rPr>
                <w:sz w:val="23"/>
                <w:szCs w:val="23"/>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(136,972)</w:t>
            </w:r>
          </w:p>
        </w:tc>
        <w:tc>
          <w:tcPr>
            <w:tcW w:w="100" w:type="dxa"/>
            <w:vAlign w:val="bottom"/>
            <w:shd w:val="clear" w:color="auto" w:fill="CFF0FC"/>
          </w:tcPr>
          <w:p>
            <w:pPr>
              <w:spacing w:after="0"/>
              <w:rPr>
                <w:sz w:val="23"/>
                <w:szCs w:val="23"/>
                <w:color w:val="auto"/>
              </w:rPr>
            </w:pPr>
          </w:p>
        </w:tc>
        <w:tc>
          <w:tcPr>
            <w:tcW w:w="220" w:type="dxa"/>
            <w:vAlign w:val="bottom"/>
            <w:tcBorders>
              <w:bottom w:val="single" w:sz="8" w:color="auto"/>
            </w:tcBorders>
            <w:shd w:val="clear" w:color="auto" w:fill="CFF0FC"/>
          </w:tcPr>
          <w:p>
            <w:pPr>
              <w:spacing w:after="0"/>
              <w:rPr>
                <w:sz w:val="23"/>
                <w:szCs w:val="23"/>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(65,272)</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816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Net Debt</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903,348</w:t>
            </w:r>
          </w:p>
        </w:tc>
        <w:tc>
          <w:tcPr>
            <w:tcW w:w="100" w:type="dxa"/>
            <w:vAlign w:val="bottom"/>
          </w:tcPr>
          <w:p>
            <w:pPr>
              <w:spacing w:after="0"/>
              <w:rPr>
                <w:sz w:val="23"/>
                <w:szCs w:val="23"/>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971,810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81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Net Leverage</w:t>
            </w:r>
          </w:p>
        </w:tc>
        <w:tc>
          <w:tcPr>
            <w:tcW w:w="200" w:type="dxa"/>
            <w:vAlign w:val="bottom"/>
            <w:shd w:val="clear" w:color="auto" w:fill="CCEEFF"/>
          </w:tcPr>
          <w:p>
            <w:pPr>
              <w:spacing w:after="0"/>
              <w:rPr>
                <w:sz w:val="23"/>
                <w:szCs w:val="23"/>
                <w:color w:val="auto"/>
              </w:rPr>
            </w:pP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2.2x</w:t>
            </w: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2.3x</w:t>
            </w:r>
          </w:p>
        </w:tc>
        <w:tc>
          <w:tcPr>
            <w:tcW w:w="0" w:type="dxa"/>
            <w:vAlign w:val="bottom"/>
          </w:tcPr>
          <w:p>
            <w:pPr>
              <w:spacing w:after="0"/>
              <w:rPr>
                <w:sz w:val="1"/>
                <w:szCs w:val="1"/>
                <w:color w:val="auto"/>
              </w:rPr>
            </w:pPr>
          </w:p>
        </w:tc>
      </w:tr>
      <w:tr>
        <w:trPr>
          <w:trHeight w:val="325"/>
        </w:trPr>
        <w:tc>
          <w:tcPr>
            <w:tcW w:w="20" w:type="dxa"/>
            <w:vAlign w:val="bottom"/>
          </w:tcPr>
          <w:p>
            <w:pPr>
              <w:spacing w:after="0"/>
              <w:rPr>
                <w:sz w:val="24"/>
                <w:szCs w:val="24"/>
                <w:color w:val="auto"/>
              </w:rPr>
            </w:pPr>
          </w:p>
        </w:tc>
        <w:tc>
          <w:tcPr>
            <w:tcW w:w="8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Trailing twelve months adjusted EBITDA </w:t>
            </w:r>
            <w:r>
              <w:rPr>
                <w:rFonts w:ascii="Times New Roman" w:cs="Times New Roman" w:eastAsia="Times New Roman" w:hAnsi="Times New Roman"/>
                <w:sz w:val="23"/>
                <w:szCs w:val="23"/>
                <w:color w:val="auto"/>
                <w:vertAlign w:val="superscript"/>
              </w:rPr>
              <w:t>(i)</w:t>
            </w:r>
          </w:p>
        </w:tc>
        <w:tc>
          <w:tcPr>
            <w:tcW w:w="20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402,415</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415,905</w:t>
            </w:r>
          </w:p>
        </w:tc>
        <w:tc>
          <w:tcPr>
            <w:tcW w:w="0" w:type="dxa"/>
            <w:vAlign w:val="bottom"/>
          </w:tcPr>
          <w:p>
            <w:pPr>
              <w:spacing w:after="0"/>
              <w:rPr>
                <w:sz w:val="1"/>
                <w:szCs w:val="1"/>
                <w:color w:val="auto"/>
              </w:rPr>
            </w:pPr>
          </w:p>
        </w:tc>
      </w:tr>
    </w:tbl>
    <w:p>
      <w:pPr>
        <w:spacing w:after="0" w:line="300" w:lineRule="exact"/>
        <w:rPr>
          <w:sz w:val="20"/>
          <w:szCs w:val="20"/>
          <w:color w:val="auto"/>
        </w:rPr>
      </w:pPr>
    </w:p>
    <w:p>
      <w:pPr>
        <w:ind w:left="920" w:hanging="523"/>
        <w:spacing w:after="0" w:line="283" w:lineRule="auto"/>
        <w:tabs>
          <w:tab w:leader="none" w:pos="912"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Trailing Twelve Months or “TTM” refers to the trailing four quarters and is calculated by adding the sum of the current quarter’s and the prior three quarters’ being measured.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240"/>
          </w:cols>
          <w:pgMar w:left="320" w:top="760" w:right="339" w:bottom="1440" w:gutter="0" w:footer="0" w:header="0"/>
        </w:sectPr>
      </w:pPr>
    </w:p>
    <w:bookmarkStart w:id="18" w:name="page19"/>
    <w:bookmarkEnd w:id="18"/>
    <w:p>
      <w:pPr>
        <w:jc w:val="right"/>
        <w:spacing w:after="0"/>
        <w:rPr>
          <w:sz w:val="20"/>
          <w:szCs w:val="20"/>
          <w:color w:val="auto"/>
        </w:rPr>
      </w:pPr>
      <w:r>
        <w:rPr>
          <w:rFonts w:ascii="Times New Roman" w:cs="Times New Roman" w:eastAsia="Times New Roman" w:hAnsi="Times New Roman"/>
          <w:sz w:val="22"/>
          <w:szCs w:val="22"/>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left="340" w:right="1080"/>
        <w:spacing w:after="0" w:line="287" w:lineRule="auto"/>
        <w:rPr>
          <w:sz w:val="20"/>
          <w:szCs w:val="20"/>
          <w:color w:val="auto"/>
        </w:rPr>
      </w:pPr>
      <w:r>
        <w:rPr>
          <w:rFonts w:ascii="Times New Roman" w:cs="Times New Roman" w:eastAsia="Times New Roman" w:hAnsi="Times New Roman"/>
          <w:sz w:val="20"/>
          <w:szCs w:val="20"/>
          <w:b w:val="1"/>
          <w:bCs w:val="1"/>
          <w:color w:val="auto"/>
        </w:rPr>
        <w:t xml:space="preserve">QUARTERLY RESULTS AND RECONCILIATION OF NET INCOME (LOSS) TO ADJUSTED EBITDA </w:t>
      </w:r>
      <w:r>
        <w:rPr>
          <w:rFonts w:ascii="Times New Roman" w:cs="Times New Roman" w:eastAsia="Times New Roman" w:hAnsi="Times New Roman"/>
          <w:sz w:val="20"/>
          <w:szCs w:val="20"/>
          <w:color w:val="auto"/>
        </w:rPr>
        <w:t>(Unaudited)</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2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millions)</w:t>
            </w:r>
          </w:p>
        </w:tc>
        <w:tc>
          <w:tcPr>
            <w:tcW w:w="120" w:type="dxa"/>
            <w:vAlign w:val="bottom"/>
          </w:tcPr>
          <w:p>
            <w:pPr>
              <w:spacing w:after="0"/>
              <w:rPr>
                <w:sz w:val="13"/>
                <w:szCs w:val="13"/>
                <w:color w:val="auto"/>
              </w:rPr>
            </w:pPr>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Q1 2025</w:t>
            </w:r>
          </w:p>
        </w:tc>
        <w:tc>
          <w:tcPr>
            <w:tcW w:w="120" w:type="dxa"/>
            <w:vAlign w:val="bottom"/>
          </w:tcPr>
          <w:p>
            <w:pPr>
              <w:spacing w:after="0"/>
              <w:rPr>
                <w:sz w:val="13"/>
                <w:szCs w:val="13"/>
                <w:color w:val="auto"/>
              </w:rPr>
            </w:pP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Q2 2025</w:t>
            </w:r>
          </w:p>
        </w:tc>
        <w:tc>
          <w:tcPr>
            <w:tcW w:w="120" w:type="dxa"/>
            <w:vAlign w:val="bottom"/>
          </w:tcPr>
          <w:p>
            <w:pPr>
              <w:spacing w:after="0"/>
              <w:rPr>
                <w:sz w:val="13"/>
                <w:szCs w:val="13"/>
                <w:color w:val="auto"/>
              </w:rPr>
            </w:pPr>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Q3 2025</w:t>
            </w:r>
          </w:p>
        </w:tc>
        <w:tc>
          <w:tcPr>
            <w:tcW w:w="120" w:type="dxa"/>
            <w:vAlign w:val="bottom"/>
          </w:tcPr>
          <w:p>
            <w:pPr>
              <w:spacing w:after="0"/>
              <w:rPr>
                <w:sz w:val="13"/>
                <w:szCs w:val="13"/>
                <w:color w:val="auto"/>
              </w:rPr>
            </w:pP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Q4 2025</w:t>
            </w:r>
          </w:p>
        </w:tc>
        <w:tc>
          <w:tcPr>
            <w:tcW w:w="90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TTM 2025</w:t>
            </w:r>
          </w:p>
        </w:tc>
        <w:tc>
          <w:tcPr>
            <w:tcW w:w="120" w:type="dxa"/>
            <w:vAlign w:val="bottom"/>
          </w:tcPr>
          <w:p>
            <w:pPr>
              <w:spacing w:after="0"/>
              <w:rPr>
                <w:sz w:val="13"/>
                <w:szCs w:val="13"/>
                <w:color w:val="auto"/>
              </w:rPr>
            </w:pP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Q1 2026</w:t>
            </w:r>
          </w:p>
        </w:tc>
        <w:tc>
          <w:tcPr>
            <w:tcW w:w="140" w:type="dxa"/>
            <w:vAlign w:val="bottom"/>
          </w:tcPr>
          <w:p>
            <w:pPr>
              <w:spacing w:after="0"/>
              <w:rPr>
                <w:sz w:val="13"/>
                <w:szCs w:val="13"/>
                <w:color w:val="auto"/>
              </w:rPr>
            </w:pP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Q2 2026</w:t>
            </w:r>
          </w:p>
        </w:tc>
        <w:tc>
          <w:tcPr>
            <w:tcW w:w="120" w:type="dxa"/>
            <w:vAlign w:val="bottom"/>
          </w:tcPr>
          <w:p>
            <w:pPr>
              <w:spacing w:after="0"/>
              <w:rPr>
                <w:sz w:val="13"/>
                <w:szCs w:val="13"/>
                <w:color w:val="auto"/>
              </w:rPr>
            </w:pPr>
          </w:p>
        </w:tc>
        <w:tc>
          <w:tcPr>
            <w:tcW w:w="680" w:type="dxa"/>
            <w:vAlign w:val="bottom"/>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Q3 2026</w:t>
            </w:r>
          </w:p>
        </w:tc>
        <w:tc>
          <w:tcPr>
            <w:tcW w:w="80" w:type="dxa"/>
            <w:vAlign w:val="bottom"/>
          </w:tcPr>
          <w:p>
            <w:pPr>
              <w:spacing w:after="0"/>
              <w:rPr>
                <w:sz w:val="13"/>
                <w:szCs w:val="13"/>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TTM 2026</w:t>
            </w:r>
          </w:p>
        </w:tc>
      </w:tr>
      <w:tr>
        <w:trPr>
          <w:trHeight w:val="34"/>
        </w:trPr>
        <w:tc>
          <w:tcPr>
            <w:tcW w:w="20" w:type="dxa"/>
            <w:vAlign w:val="bottom"/>
            <w:tcBorders>
              <w:bottom w:val="single" w:sz="8" w:color="CFF0FC"/>
            </w:tcBorders>
          </w:tcPr>
          <w:p>
            <w:pPr>
              <w:spacing w:after="0"/>
              <w:rPr>
                <w:sz w:val="2"/>
                <w:szCs w:val="2"/>
                <w:color w:val="auto"/>
              </w:rPr>
            </w:pPr>
          </w:p>
        </w:tc>
        <w:tc>
          <w:tcPr>
            <w:tcW w:w="860" w:type="dxa"/>
            <w:vAlign w:val="bottom"/>
            <w:tcBorders>
              <w:top w:val="single" w:sz="8" w:color="auto"/>
              <w:bottom w:val="single" w:sz="8" w:color="CFF0FC"/>
            </w:tcBorders>
          </w:tcPr>
          <w:p>
            <w:pPr>
              <w:spacing w:after="0"/>
              <w:rPr>
                <w:sz w:val="2"/>
                <w:szCs w:val="2"/>
                <w:color w:val="auto"/>
              </w:rPr>
            </w:pPr>
          </w:p>
        </w:tc>
        <w:tc>
          <w:tcPr>
            <w:tcW w:w="2340" w:type="dxa"/>
            <w:vAlign w:val="bottom"/>
            <w:tcBorders>
              <w:bottom w:val="single" w:sz="8" w:color="CFF0FC"/>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63"/>
        </w:trPr>
        <w:tc>
          <w:tcPr>
            <w:tcW w:w="20" w:type="dxa"/>
            <w:vAlign w:val="bottom"/>
            <w:shd w:val="clear" w:color="auto" w:fill="CFF0FC"/>
          </w:tcPr>
          <w:p>
            <w:pPr>
              <w:spacing w:after="0"/>
              <w:rPr>
                <w:sz w:val="22"/>
                <w:szCs w:val="22"/>
                <w:color w:val="auto"/>
              </w:rPr>
            </w:pPr>
          </w:p>
        </w:tc>
        <w:tc>
          <w:tcPr>
            <w:tcW w:w="32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100" w:type="dxa"/>
            <w:vAlign w:val="bottom"/>
            <w:shd w:val="clear" w:color="auto" w:fill="CFF0FC"/>
          </w:tcPr>
          <w:p>
            <w:pPr>
              <w:spacing w:after="0"/>
              <w:rPr>
                <w:sz w:val="22"/>
                <w:szCs w:val="22"/>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100" w:type="dxa"/>
            <w:vAlign w:val="bottom"/>
            <w:shd w:val="clear" w:color="auto" w:fill="CFF0FC"/>
          </w:tcPr>
          <w:p>
            <w:pPr>
              <w:spacing w:after="0"/>
              <w:rPr>
                <w:sz w:val="22"/>
                <w:szCs w:val="22"/>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100" w:type="dxa"/>
            <w:vAlign w:val="bottom"/>
            <w:shd w:val="clear" w:color="auto" w:fill="CFF0FC"/>
          </w:tcPr>
          <w:p>
            <w:pPr>
              <w:spacing w:after="0"/>
              <w:rPr>
                <w:sz w:val="22"/>
                <w:szCs w:val="22"/>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80" w:type="dxa"/>
            <w:vAlign w:val="bottom"/>
            <w:shd w:val="clear" w:color="auto" w:fill="CFF0FC"/>
          </w:tcPr>
          <w:p>
            <w:pPr>
              <w:spacing w:after="0"/>
              <w:rPr>
                <w:sz w:val="22"/>
                <w:szCs w:val="22"/>
                <w:color w:val="auto"/>
              </w:rPr>
            </w:pPr>
          </w:p>
        </w:tc>
        <w:tc>
          <w:tcPr>
            <w:tcW w:w="22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136.6</w:t>
            </w:r>
          </w:p>
        </w:tc>
        <w:tc>
          <w:tcPr>
            <w:tcW w:w="100" w:type="dxa"/>
            <w:vAlign w:val="bottom"/>
            <w:shd w:val="clear" w:color="auto" w:fill="CFF0FC"/>
          </w:tcPr>
          <w:p>
            <w:pPr>
              <w:spacing w:after="0"/>
              <w:rPr>
                <w:sz w:val="22"/>
                <w:szCs w:val="22"/>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80" w:type="dxa"/>
            <w:vAlign w:val="bottom"/>
            <w:shd w:val="clear" w:color="auto" w:fill="CFF0FC"/>
          </w:tcPr>
          <w:p>
            <w:pPr>
              <w:spacing w:after="0"/>
              <w:rPr>
                <w:sz w:val="22"/>
                <w:szCs w:val="22"/>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100" w:type="dxa"/>
            <w:vAlign w:val="bottom"/>
            <w:shd w:val="clear" w:color="auto" w:fill="CFF0FC"/>
          </w:tcPr>
          <w:p>
            <w:pPr>
              <w:spacing w:after="0"/>
              <w:rPr>
                <w:sz w:val="22"/>
                <w:szCs w:val="22"/>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30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w:t>
            </w:r>
          </w:p>
        </w:tc>
      </w:tr>
      <w:tr>
        <w:trPr>
          <w:trHeight w:val="263"/>
        </w:trPr>
        <w:tc>
          <w:tcPr>
            <w:tcW w:w="20" w:type="dxa"/>
            <w:vAlign w:val="bottom"/>
          </w:tcPr>
          <w:p>
            <w:pPr>
              <w:spacing w:after="0"/>
              <w:rPr>
                <w:sz w:val="22"/>
                <w:szCs w:val="22"/>
                <w:color w:val="auto"/>
              </w:rPr>
            </w:pPr>
          </w:p>
        </w:tc>
        <w:tc>
          <w:tcPr>
            <w:tcW w:w="3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1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w:t>
            </w:r>
          </w:p>
        </w:tc>
      </w:tr>
      <w:tr>
        <w:trPr>
          <w:trHeight w:val="277"/>
        </w:trPr>
        <w:tc>
          <w:tcPr>
            <w:tcW w:w="20" w:type="dxa"/>
            <w:vAlign w:val="bottom"/>
            <w:shd w:val="clear" w:color="auto" w:fill="CFF0FC"/>
          </w:tcPr>
          <w:p>
            <w:pPr>
              <w:spacing w:after="0"/>
              <w:rPr>
                <w:sz w:val="24"/>
                <w:szCs w:val="24"/>
                <w:color w:val="auto"/>
              </w:rPr>
            </w:pPr>
          </w:p>
        </w:tc>
        <w:tc>
          <w:tcPr>
            <w:tcW w:w="32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120" w:type="dxa"/>
            <w:vAlign w:val="bottom"/>
            <w:shd w:val="clear" w:color="auto" w:fill="CFF0FC"/>
          </w:tcPr>
          <w:p>
            <w:pPr>
              <w:spacing w:after="0"/>
              <w:rPr>
                <w:sz w:val="24"/>
                <w:szCs w:val="2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shd w:val="clear" w:color="auto" w:fill="CFF0FC"/>
          </w:tcPr>
          <w:p>
            <w:pPr>
              <w:spacing w:after="0"/>
              <w:rPr>
                <w:sz w:val="24"/>
                <w:szCs w:val="24"/>
                <w:color w:val="auto"/>
              </w:rPr>
            </w:pPr>
          </w:p>
        </w:tc>
        <w:tc>
          <w:tcPr>
            <w:tcW w:w="120" w:type="dxa"/>
            <w:vAlign w:val="bottom"/>
            <w:shd w:val="clear" w:color="auto" w:fill="CFF0FC"/>
          </w:tcPr>
          <w:p>
            <w:pPr>
              <w:spacing w:after="0"/>
              <w:rPr>
                <w:sz w:val="24"/>
                <w:szCs w:val="2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shd w:val="clear" w:color="auto" w:fill="CFF0FC"/>
          </w:tcPr>
          <w:p>
            <w:pPr>
              <w:spacing w:after="0"/>
              <w:rPr>
                <w:sz w:val="24"/>
                <w:szCs w:val="24"/>
                <w:color w:val="auto"/>
              </w:rPr>
            </w:pPr>
          </w:p>
        </w:tc>
        <w:tc>
          <w:tcPr>
            <w:tcW w:w="120" w:type="dxa"/>
            <w:vAlign w:val="bottom"/>
            <w:shd w:val="clear" w:color="auto" w:fill="CFF0FC"/>
          </w:tcPr>
          <w:p>
            <w:pPr>
              <w:spacing w:after="0"/>
              <w:rPr>
                <w:sz w:val="24"/>
                <w:szCs w:val="2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00" w:type="dxa"/>
            <w:vAlign w:val="bottom"/>
            <w:shd w:val="clear" w:color="auto" w:fill="CFF0FC"/>
          </w:tcPr>
          <w:p>
            <w:pPr>
              <w:spacing w:after="0"/>
              <w:rPr>
                <w:sz w:val="24"/>
                <w:szCs w:val="24"/>
                <w:color w:val="auto"/>
              </w:rPr>
            </w:pPr>
          </w:p>
        </w:tc>
        <w:tc>
          <w:tcPr>
            <w:tcW w:w="120" w:type="dxa"/>
            <w:vAlign w:val="bottom"/>
            <w:shd w:val="clear" w:color="auto" w:fill="CFF0FC"/>
          </w:tcPr>
          <w:p>
            <w:pPr>
              <w:spacing w:after="0"/>
              <w:rPr>
                <w:sz w:val="24"/>
                <w:szCs w:val="2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80" w:type="dxa"/>
            <w:vAlign w:val="bottom"/>
            <w:shd w:val="clear" w:color="auto" w:fill="CFF0FC"/>
          </w:tcPr>
          <w:p>
            <w:pPr>
              <w:spacing w:after="0"/>
              <w:rPr>
                <w:sz w:val="24"/>
                <w:szCs w:val="24"/>
                <w:color w:val="auto"/>
              </w:rPr>
            </w:pPr>
          </w:p>
        </w:tc>
        <w:tc>
          <w:tcPr>
            <w:tcW w:w="220" w:type="dxa"/>
            <w:vAlign w:val="bottom"/>
            <w:shd w:val="clear" w:color="auto" w:fill="CFF0FC"/>
          </w:tcPr>
          <w:p>
            <w:pPr>
              <w:spacing w:after="0"/>
              <w:rPr>
                <w:sz w:val="24"/>
                <w:szCs w:val="24"/>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100" w:type="dxa"/>
            <w:vAlign w:val="bottom"/>
            <w:shd w:val="clear" w:color="auto" w:fill="CFF0FC"/>
          </w:tcPr>
          <w:p>
            <w:pPr>
              <w:spacing w:after="0"/>
              <w:rPr>
                <w:sz w:val="24"/>
                <w:szCs w:val="24"/>
                <w:color w:val="auto"/>
              </w:rPr>
            </w:pPr>
          </w:p>
        </w:tc>
        <w:tc>
          <w:tcPr>
            <w:tcW w:w="120" w:type="dxa"/>
            <w:vAlign w:val="bottom"/>
            <w:shd w:val="clear" w:color="auto" w:fill="CFF0FC"/>
          </w:tcPr>
          <w:p>
            <w:pPr>
              <w:spacing w:after="0"/>
              <w:rPr>
                <w:sz w:val="24"/>
                <w:szCs w:val="2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80" w:type="dxa"/>
            <w:vAlign w:val="bottom"/>
            <w:shd w:val="clear" w:color="auto" w:fill="CFF0FC"/>
          </w:tcPr>
          <w:p>
            <w:pPr>
              <w:spacing w:after="0"/>
              <w:rPr>
                <w:sz w:val="24"/>
                <w:szCs w:val="24"/>
                <w:color w:val="auto"/>
              </w:rPr>
            </w:pPr>
          </w:p>
        </w:tc>
        <w:tc>
          <w:tcPr>
            <w:tcW w:w="140" w:type="dxa"/>
            <w:vAlign w:val="bottom"/>
            <w:shd w:val="clear" w:color="auto" w:fill="CFF0FC"/>
          </w:tcPr>
          <w:p>
            <w:pPr>
              <w:spacing w:after="0"/>
              <w:rPr>
                <w:sz w:val="24"/>
                <w:szCs w:val="2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shd w:val="clear" w:color="auto" w:fill="CFF0FC"/>
          </w:tcPr>
          <w:p>
            <w:pPr>
              <w:spacing w:after="0"/>
              <w:rPr>
                <w:sz w:val="24"/>
                <w:szCs w:val="24"/>
                <w:color w:val="auto"/>
              </w:rPr>
            </w:pPr>
          </w:p>
        </w:tc>
        <w:tc>
          <w:tcPr>
            <w:tcW w:w="120" w:type="dxa"/>
            <w:vAlign w:val="bottom"/>
            <w:shd w:val="clear" w:color="auto" w:fill="CFF0FC"/>
          </w:tcPr>
          <w:p>
            <w:pPr>
              <w:spacing w:after="0"/>
              <w:rPr>
                <w:sz w:val="24"/>
                <w:szCs w:val="2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w:t>
            </w:r>
          </w:p>
        </w:tc>
      </w:tr>
      <w:tr>
        <w:trPr>
          <w:trHeight w:val="263"/>
        </w:trPr>
        <w:tc>
          <w:tcPr>
            <w:tcW w:w="20" w:type="dxa"/>
            <w:vAlign w:val="bottom"/>
            <w:tcBorders>
              <w:bottom w:val="single" w:sz="8" w:color="CFF0FC"/>
            </w:tcBorders>
          </w:tcPr>
          <w:p>
            <w:pPr>
              <w:spacing w:after="0"/>
              <w:rPr>
                <w:sz w:val="22"/>
                <w:szCs w:val="22"/>
                <w:color w:val="auto"/>
              </w:rPr>
            </w:pPr>
          </w:p>
        </w:tc>
        <w:tc>
          <w:tcPr>
            <w:tcW w:w="3200" w:type="dxa"/>
            <w:vAlign w:val="bottom"/>
            <w:tcBorders>
              <w:bottom w:val="single" w:sz="8" w:color="CFF0FC"/>
            </w:tcBorders>
            <w:gridSpan w:val="2"/>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100" w:type="dxa"/>
            <w:vAlign w:val="bottom"/>
            <w:tcBorders>
              <w:bottom w:val="single" w:sz="8" w:color="CFF0FC"/>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100" w:type="dxa"/>
            <w:vAlign w:val="bottom"/>
            <w:tcBorders>
              <w:bottom w:val="single" w:sz="8" w:color="CFF0FC"/>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100" w:type="dxa"/>
            <w:vAlign w:val="bottom"/>
            <w:tcBorders>
              <w:bottom w:val="single" w:sz="8" w:color="CFF0FC"/>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8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114.2</w:t>
            </w:r>
          </w:p>
        </w:tc>
        <w:tc>
          <w:tcPr>
            <w:tcW w:w="100" w:type="dxa"/>
            <w:vAlign w:val="bottom"/>
            <w:tcBorders>
              <w:bottom w:val="single" w:sz="8" w:color="CFF0FC"/>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80" w:type="dxa"/>
            <w:vAlign w:val="bottom"/>
            <w:tcBorders>
              <w:bottom w:val="single" w:sz="8" w:color="CFF0FC"/>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100" w:type="dxa"/>
            <w:vAlign w:val="bottom"/>
            <w:tcBorders>
              <w:bottom w:val="single" w:sz="8" w:color="CFF0FC"/>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8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112.9</w:t>
            </w:r>
          </w:p>
        </w:tc>
      </w:tr>
      <w:tr>
        <w:trPr>
          <w:trHeight w:val="270"/>
        </w:trPr>
        <w:tc>
          <w:tcPr>
            <w:tcW w:w="20" w:type="dxa"/>
            <w:vAlign w:val="bottom"/>
            <w:shd w:val="clear" w:color="auto" w:fill="CFF0FC"/>
          </w:tcPr>
          <w:p>
            <w:pPr>
              <w:spacing w:after="0"/>
              <w:rPr>
                <w:sz w:val="23"/>
                <w:szCs w:val="23"/>
                <w:color w:val="auto"/>
              </w:rPr>
            </w:pPr>
          </w:p>
        </w:tc>
        <w:tc>
          <w:tcPr>
            <w:tcW w:w="320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b w:val="1"/>
                <w:bCs w:val="1"/>
                <w:color w:val="auto"/>
              </w:rPr>
              <w:t>EBITDA</w:t>
            </w:r>
          </w:p>
        </w:tc>
        <w:tc>
          <w:tcPr>
            <w:tcW w:w="120" w:type="dxa"/>
            <w:vAlign w:val="bottom"/>
            <w:shd w:val="clear" w:color="auto" w:fill="CFF0FC"/>
          </w:tcPr>
          <w:p>
            <w:pPr>
              <w:spacing w:after="0"/>
              <w:rPr>
                <w:sz w:val="23"/>
                <w:szCs w:val="23"/>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89.0</w:t>
            </w:r>
          </w:p>
        </w:tc>
        <w:tc>
          <w:tcPr>
            <w:tcW w:w="100" w:type="dxa"/>
            <w:vAlign w:val="bottom"/>
            <w:shd w:val="clear" w:color="auto" w:fill="CFF0FC"/>
          </w:tcPr>
          <w:p>
            <w:pPr>
              <w:spacing w:after="0"/>
              <w:rPr>
                <w:sz w:val="23"/>
                <w:szCs w:val="23"/>
                <w:color w:val="auto"/>
              </w:rPr>
            </w:pPr>
          </w:p>
        </w:tc>
        <w:tc>
          <w:tcPr>
            <w:tcW w:w="120" w:type="dxa"/>
            <w:vAlign w:val="bottom"/>
            <w:shd w:val="clear" w:color="auto" w:fill="CFF0FC"/>
          </w:tcPr>
          <w:p>
            <w:pPr>
              <w:spacing w:after="0"/>
              <w:rPr>
                <w:sz w:val="23"/>
                <w:szCs w:val="23"/>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98.3</w:t>
            </w:r>
          </w:p>
        </w:tc>
        <w:tc>
          <w:tcPr>
            <w:tcW w:w="100" w:type="dxa"/>
            <w:vAlign w:val="bottom"/>
            <w:shd w:val="clear" w:color="auto" w:fill="CFF0FC"/>
          </w:tcPr>
          <w:p>
            <w:pPr>
              <w:spacing w:after="0"/>
              <w:rPr>
                <w:sz w:val="23"/>
                <w:szCs w:val="23"/>
                <w:color w:val="auto"/>
              </w:rPr>
            </w:pPr>
          </w:p>
        </w:tc>
        <w:tc>
          <w:tcPr>
            <w:tcW w:w="120" w:type="dxa"/>
            <w:vAlign w:val="bottom"/>
            <w:shd w:val="clear" w:color="auto" w:fill="CFF0FC"/>
          </w:tcPr>
          <w:p>
            <w:pPr>
              <w:spacing w:after="0"/>
              <w:rPr>
                <w:sz w:val="23"/>
                <w:szCs w:val="23"/>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109.6</w:t>
            </w:r>
          </w:p>
        </w:tc>
        <w:tc>
          <w:tcPr>
            <w:tcW w:w="100" w:type="dxa"/>
            <w:vAlign w:val="bottom"/>
            <w:shd w:val="clear" w:color="auto" w:fill="CFF0FC"/>
          </w:tcPr>
          <w:p>
            <w:pPr>
              <w:spacing w:after="0"/>
              <w:rPr>
                <w:sz w:val="23"/>
                <w:szCs w:val="23"/>
                <w:color w:val="auto"/>
              </w:rPr>
            </w:pPr>
          </w:p>
        </w:tc>
        <w:tc>
          <w:tcPr>
            <w:tcW w:w="120" w:type="dxa"/>
            <w:vAlign w:val="bottom"/>
            <w:shd w:val="clear" w:color="auto" w:fill="CFF0FC"/>
          </w:tcPr>
          <w:p>
            <w:pPr>
              <w:spacing w:after="0"/>
              <w:rPr>
                <w:sz w:val="23"/>
                <w:szCs w:val="23"/>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76.8</w:t>
            </w:r>
          </w:p>
        </w:tc>
        <w:tc>
          <w:tcPr>
            <w:tcW w:w="80" w:type="dxa"/>
            <w:vAlign w:val="bottom"/>
            <w:shd w:val="clear" w:color="auto" w:fill="CFF0FC"/>
          </w:tcPr>
          <w:p>
            <w:pPr>
              <w:spacing w:after="0"/>
              <w:rPr>
                <w:sz w:val="23"/>
                <w:szCs w:val="23"/>
                <w:color w:val="auto"/>
              </w:rPr>
            </w:pPr>
          </w:p>
        </w:tc>
        <w:tc>
          <w:tcPr>
            <w:tcW w:w="220" w:type="dxa"/>
            <w:vAlign w:val="bottom"/>
            <w:shd w:val="clear" w:color="auto" w:fill="CFF0FC"/>
          </w:tcPr>
          <w:p>
            <w:pPr>
              <w:spacing w:after="0"/>
              <w:rPr>
                <w:sz w:val="23"/>
                <w:szCs w:val="23"/>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373.7</w:t>
            </w:r>
          </w:p>
        </w:tc>
        <w:tc>
          <w:tcPr>
            <w:tcW w:w="100" w:type="dxa"/>
            <w:vAlign w:val="bottom"/>
            <w:shd w:val="clear" w:color="auto" w:fill="CFF0FC"/>
          </w:tcPr>
          <w:p>
            <w:pPr>
              <w:spacing w:after="0"/>
              <w:rPr>
                <w:sz w:val="23"/>
                <w:szCs w:val="23"/>
                <w:color w:val="auto"/>
              </w:rPr>
            </w:pPr>
          </w:p>
        </w:tc>
        <w:tc>
          <w:tcPr>
            <w:tcW w:w="120" w:type="dxa"/>
            <w:vAlign w:val="bottom"/>
            <w:shd w:val="clear" w:color="auto" w:fill="CFF0FC"/>
          </w:tcPr>
          <w:p>
            <w:pPr>
              <w:spacing w:after="0"/>
              <w:rPr>
                <w:sz w:val="23"/>
                <w:szCs w:val="23"/>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85.1</w:t>
            </w:r>
          </w:p>
        </w:tc>
        <w:tc>
          <w:tcPr>
            <w:tcW w:w="80" w:type="dxa"/>
            <w:vAlign w:val="bottom"/>
            <w:shd w:val="clear" w:color="auto" w:fill="CFF0FC"/>
          </w:tcPr>
          <w:p>
            <w:pPr>
              <w:spacing w:after="0"/>
              <w:rPr>
                <w:sz w:val="23"/>
                <w:szCs w:val="23"/>
                <w:color w:val="auto"/>
              </w:rPr>
            </w:pPr>
          </w:p>
        </w:tc>
        <w:tc>
          <w:tcPr>
            <w:tcW w:w="140" w:type="dxa"/>
            <w:vAlign w:val="bottom"/>
            <w:shd w:val="clear" w:color="auto" w:fill="CFF0FC"/>
          </w:tcPr>
          <w:p>
            <w:pPr>
              <w:spacing w:after="0"/>
              <w:rPr>
                <w:sz w:val="23"/>
                <w:szCs w:val="23"/>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FF0FC"/>
          </w:tcPr>
          <w:p>
            <w:pPr>
              <w:spacing w:after="0"/>
              <w:rPr>
                <w:sz w:val="23"/>
                <w:szCs w:val="23"/>
                <w:color w:val="auto"/>
              </w:rPr>
            </w:pPr>
          </w:p>
        </w:tc>
        <w:tc>
          <w:tcPr>
            <w:tcW w:w="120" w:type="dxa"/>
            <w:vAlign w:val="bottom"/>
            <w:shd w:val="clear" w:color="auto" w:fill="CFF0FC"/>
          </w:tcPr>
          <w:p>
            <w:pPr>
              <w:spacing w:after="0"/>
              <w:rPr>
                <w:sz w:val="23"/>
                <w:szCs w:val="23"/>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96.5</w:t>
            </w:r>
          </w:p>
        </w:tc>
        <w:tc>
          <w:tcPr>
            <w:tcW w:w="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260.2</w:t>
            </w:r>
          </w:p>
        </w:tc>
      </w:tr>
      <w:tr>
        <w:trPr>
          <w:trHeight w:val="270"/>
        </w:trPr>
        <w:tc>
          <w:tcPr>
            <w:tcW w:w="20" w:type="dxa"/>
            <w:vAlign w:val="bottom"/>
          </w:tcPr>
          <w:p>
            <w:pPr>
              <w:spacing w:after="0"/>
              <w:rPr>
                <w:sz w:val="23"/>
                <w:szCs w:val="23"/>
                <w:color w:val="auto"/>
              </w:rPr>
            </w:pPr>
          </w:p>
        </w:tc>
        <w:tc>
          <w:tcPr>
            <w:tcW w:w="3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Transaction and other related expenses </w:t>
            </w:r>
            <w:r>
              <w:rPr>
                <w:rFonts w:ascii="Times New Roman" w:cs="Times New Roman" w:eastAsia="Times New Roman" w:hAnsi="Times New Roman"/>
                <w:sz w:val="23"/>
                <w:szCs w:val="23"/>
                <w:color w:val="auto"/>
                <w:vertAlign w:val="superscript"/>
              </w:rPr>
              <w:t>(i)</w:t>
            </w:r>
          </w:p>
        </w:tc>
        <w:tc>
          <w:tcPr>
            <w:tcW w:w="120" w:type="dxa"/>
            <w:vAlign w:val="bottom"/>
          </w:tcPr>
          <w:p>
            <w:pPr>
              <w:spacing w:after="0"/>
              <w:rPr>
                <w:sz w:val="23"/>
                <w:szCs w:val="23"/>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3"/>
                <w:szCs w:val="23"/>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70"/>
        </w:trPr>
        <w:tc>
          <w:tcPr>
            <w:tcW w:w="20" w:type="dxa"/>
            <w:vAlign w:val="bottom"/>
            <w:shd w:val="clear" w:color="auto" w:fill="CFF0FC"/>
          </w:tcPr>
          <w:p>
            <w:pPr>
              <w:spacing w:after="0"/>
              <w:rPr>
                <w:sz w:val="23"/>
                <w:szCs w:val="23"/>
                <w:color w:val="auto"/>
              </w:rPr>
            </w:pPr>
          </w:p>
        </w:tc>
        <w:tc>
          <w:tcPr>
            <w:tcW w:w="32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Transformation expenses </w:t>
            </w:r>
            <w:r>
              <w:rPr>
                <w:rFonts w:ascii="Times New Roman" w:cs="Times New Roman" w:eastAsia="Times New Roman" w:hAnsi="Times New Roman"/>
                <w:sz w:val="23"/>
                <w:szCs w:val="23"/>
                <w:color w:val="auto"/>
                <w:vertAlign w:val="superscript"/>
              </w:rPr>
              <w:t>(ii)</w:t>
            </w:r>
          </w:p>
        </w:tc>
        <w:tc>
          <w:tcPr>
            <w:tcW w:w="120" w:type="dxa"/>
            <w:vAlign w:val="bottom"/>
            <w:shd w:val="clear" w:color="auto" w:fill="CFF0FC"/>
          </w:tcPr>
          <w:p>
            <w:pPr>
              <w:spacing w:after="0"/>
              <w:rPr>
                <w:sz w:val="23"/>
                <w:szCs w:val="23"/>
                <w:color w:val="auto"/>
              </w:rPr>
            </w:pPr>
          </w:p>
        </w:tc>
        <w:tc>
          <w:tcPr>
            <w:tcW w:w="7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3"/>
                <w:szCs w:val="23"/>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FF0FC"/>
          </w:tcPr>
          <w:p>
            <w:pPr>
              <w:spacing w:after="0"/>
              <w:rPr>
                <w:sz w:val="23"/>
                <w:szCs w:val="23"/>
                <w:color w:val="auto"/>
              </w:rPr>
            </w:pPr>
          </w:p>
        </w:tc>
        <w:tc>
          <w:tcPr>
            <w:tcW w:w="120" w:type="dxa"/>
            <w:vAlign w:val="bottom"/>
            <w:shd w:val="clear" w:color="auto" w:fill="CFF0FC"/>
          </w:tcPr>
          <w:p>
            <w:pPr>
              <w:spacing w:after="0"/>
              <w:rPr>
                <w:sz w:val="23"/>
                <w:szCs w:val="23"/>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FF0FC"/>
          </w:tcPr>
          <w:p>
            <w:pPr>
              <w:spacing w:after="0"/>
              <w:rPr>
                <w:sz w:val="23"/>
                <w:szCs w:val="23"/>
                <w:color w:val="auto"/>
              </w:rPr>
            </w:pPr>
          </w:p>
        </w:tc>
        <w:tc>
          <w:tcPr>
            <w:tcW w:w="120" w:type="dxa"/>
            <w:vAlign w:val="bottom"/>
            <w:shd w:val="clear" w:color="auto" w:fill="CFF0FC"/>
          </w:tcPr>
          <w:p>
            <w:pPr>
              <w:spacing w:after="0"/>
              <w:rPr>
                <w:sz w:val="23"/>
                <w:szCs w:val="23"/>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80" w:type="dxa"/>
            <w:vAlign w:val="bottom"/>
            <w:shd w:val="clear" w:color="auto" w:fill="CFF0FC"/>
          </w:tcPr>
          <w:p>
            <w:pPr>
              <w:spacing w:after="0"/>
              <w:rPr>
                <w:sz w:val="23"/>
                <w:szCs w:val="23"/>
                <w:color w:val="auto"/>
              </w:rPr>
            </w:pPr>
          </w:p>
        </w:tc>
        <w:tc>
          <w:tcPr>
            <w:tcW w:w="220" w:type="dxa"/>
            <w:vAlign w:val="bottom"/>
            <w:shd w:val="clear" w:color="auto" w:fill="CFF0FC"/>
          </w:tcPr>
          <w:p>
            <w:pPr>
              <w:spacing w:after="0"/>
              <w:rPr>
                <w:sz w:val="23"/>
                <w:szCs w:val="23"/>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shd w:val="clear" w:color="auto" w:fill="CFF0FC"/>
          </w:tcPr>
          <w:p>
            <w:pPr>
              <w:spacing w:after="0"/>
              <w:rPr>
                <w:sz w:val="23"/>
                <w:szCs w:val="23"/>
                <w:color w:val="auto"/>
              </w:rPr>
            </w:pPr>
          </w:p>
        </w:tc>
        <w:tc>
          <w:tcPr>
            <w:tcW w:w="120" w:type="dxa"/>
            <w:vAlign w:val="bottom"/>
            <w:shd w:val="clear" w:color="auto" w:fill="CFF0FC"/>
          </w:tcPr>
          <w:p>
            <w:pPr>
              <w:spacing w:after="0"/>
              <w:rPr>
                <w:sz w:val="23"/>
                <w:szCs w:val="23"/>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80" w:type="dxa"/>
            <w:vAlign w:val="bottom"/>
            <w:shd w:val="clear" w:color="auto" w:fill="CFF0FC"/>
          </w:tcPr>
          <w:p>
            <w:pPr>
              <w:spacing w:after="0"/>
              <w:rPr>
                <w:sz w:val="23"/>
                <w:szCs w:val="23"/>
                <w:color w:val="auto"/>
              </w:rPr>
            </w:pPr>
          </w:p>
        </w:tc>
        <w:tc>
          <w:tcPr>
            <w:tcW w:w="140" w:type="dxa"/>
            <w:vAlign w:val="bottom"/>
            <w:shd w:val="clear" w:color="auto" w:fill="CFF0FC"/>
          </w:tcPr>
          <w:p>
            <w:pPr>
              <w:spacing w:after="0"/>
              <w:rPr>
                <w:sz w:val="23"/>
                <w:szCs w:val="23"/>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shd w:val="clear" w:color="auto" w:fill="CFF0FC"/>
          </w:tcPr>
          <w:p>
            <w:pPr>
              <w:spacing w:after="0"/>
              <w:rPr>
                <w:sz w:val="23"/>
                <w:szCs w:val="23"/>
                <w:color w:val="auto"/>
              </w:rPr>
            </w:pPr>
          </w:p>
        </w:tc>
        <w:tc>
          <w:tcPr>
            <w:tcW w:w="120" w:type="dxa"/>
            <w:vAlign w:val="bottom"/>
            <w:shd w:val="clear" w:color="auto" w:fill="CFF0FC"/>
          </w:tcPr>
          <w:p>
            <w:pPr>
              <w:spacing w:after="0"/>
              <w:rPr>
                <w:sz w:val="23"/>
                <w:szCs w:val="23"/>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r>
      <w:tr>
        <w:trPr>
          <w:trHeight w:val="270"/>
        </w:trPr>
        <w:tc>
          <w:tcPr>
            <w:tcW w:w="20" w:type="dxa"/>
            <w:vAlign w:val="bottom"/>
          </w:tcPr>
          <w:p>
            <w:pPr>
              <w:spacing w:after="0"/>
              <w:rPr>
                <w:sz w:val="23"/>
                <w:szCs w:val="23"/>
                <w:color w:val="auto"/>
              </w:rPr>
            </w:pPr>
          </w:p>
        </w:tc>
        <w:tc>
          <w:tcPr>
            <w:tcW w:w="3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Legal accrual/settlement </w:t>
            </w:r>
            <w:r>
              <w:rPr>
                <w:rFonts w:ascii="Times New Roman" w:cs="Times New Roman" w:eastAsia="Times New Roman" w:hAnsi="Times New Roman"/>
                <w:sz w:val="23"/>
                <w:szCs w:val="23"/>
                <w:color w:val="auto"/>
                <w:vertAlign w:val="superscript"/>
              </w:rPr>
              <w:t>(iii)</w:t>
            </w:r>
          </w:p>
        </w:tc>
        <w:tc>
          <w:tcPr>
            <w:tcW w:w="120" w:type="dxa"/>
            <w:vAlign w:val="bottom"/>
          </w:tcPr>
          <w:p>
            <w:pPr>
              <w:spacing w:after="0"/>
              <w:rPr>
                <w:sz w:val="23"/>
                <w:szCs w:val="23"/>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3"/>
                <w:szCs w:val="23"/>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70"/>
        </w:trPr>
        <w:tc>
          <w:tcPr>
            <w:tcW w:w="20" w:type="dxa"/>
            <w:vAlign w:val="bottom"/>
            <w:shd w:val="clear" w:color="auto" w:fill="CFF0FC"/>
          </w:tcPr>
          <w:p>
            <w:pPr>
              <w:spacing w:after="0"/>
              <w:rPr>
                <w:sz w:val="23"/>
                <w:szCs w:val="23"/>
                <w:color w:val="auto"/>
              </w:rPr>
            </w:pPr>
          </w:p>
        </w:tc>
        <w:tc>
          <w:tcPr>
            <w:tcW w:w="32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Goodwill impairment </w:t>
            </w:r>
            <w:r>
              <w:rPr>
                <w:rFonts w:ascii="Times New Roman" w:cs="Times New Roman" w:eastAsia="Times New Roman" w:hAnsi="Times New Roman"/>
                <w:sz w:val="23"/>
                <w:szCs w:val="23"/>
                <w:color w:val="auto"/>
                <w:vertAlign w:val="superscript"/>
              </w:rPr>
              <w:t>(iv)</w:t>
            </w:r>
          </w:p>
        </w:tc>
        <w:tc>
          <w:tcPr>
            <w:tcW w:w="120" w:type="dxa"/>
            <w:vAlign w:val="bottom"/>
            <w:shd w:val="clear" w:color="auto" w:fill="CFF0FC"/>
          </w:tcPr>
          <w:p>
            <w:pPr>
              <w:spacing w:after="0"/>
              <w:rPr>
                <w:sz w:val="23"/>
                <w:szCs w:val="23"/>
                <w:color w:val="auto"/>
              </w:rPr>
            </w:pPr>
          </w:p>
        </w:tc>
        <w:tc>
          <w:tcPr>
            <w:tcW w:w="7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3"/>
                <w:szCs w:val="23"/>
                <w:color w:val="auto"/>
              </w:rPr>
            </w:pPr>
          </w:p>
        </w:tc>
        <w:tc>
          <w:tcPr>
            <w:tcW w:w="7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3"/>
                <w:szCs w:val="23"/>
                <w:color w:val="auto"/>
              </w:rPr>
            </w:pPr>
          </w:p>
        </w:tc>
        <w:tc>
          <w:tcPr>
            <w:tcW w:w="7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3"/>
                <w:szCs w:val="23"/>
                <w:color w:val="auto"/>
              </w:rPr>
            </w:pPr>
          </w:p>
        </w:tc>
        <w:tc>
          <w:tcPr>
            <w:tcW w:w="7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3"/>
                <w:szCs w:val="23"/>
                <w:color w:val="auto"/>
              </w:rPr>
            </w:pPr>
          </w:p>
        </w:tc>
        <w:tc>
          <w:tcPr>
            <w:tcW w:w="6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3"/>
                <w:szCs w:val="23"/>
                <w:color w:val="auto"/>
              </w:rPr>
            </w:pPr>
          </w:p>
        </w:tc>
        <w:tc>
          <w:tcPr>
            <w:tcW w:w="7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3"/>
                <w:szCs w:val="23"/>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64.0</w:t>
            </w:r>
          </w:p>
        </w:tc>
        <w:tc>
          <w:tcPr>
            <w:tcW w:w="100" w:type="dxa"/>
            <w:vAlign w:val="bottom"/>
            <w:shd w:val="clear" w:color="auto" w:fill="CFF0FC"/>
          </w:tcPr>
          <w:p>
            <w:pPr>
              <w:spacing w:after="0"/>
              <w:rPr>
                <w:sz w:val="23"/>
                <w:szCs w:val="23"/>
                <w:color w:val="auto"/>
              </w:rPr>
            </w:pPr>
          </w:p>
        </w:tc>
        <w:tc>
          <w:tcPr>
            <w:tcW w:w="120" w:type="dxa"/>
            <w:vAlign w:val="bottom"/>
            <w:shd w:val="clear" w:color="auto" w:fill="CFF0FC"/>
          </w:tcPr>
          <w:p>
            <w:pPr>
              <w:spacing w:after="0"/>
              <w:rPr>
                <w:sz w:val="23"/>
                <w:szCs w:val="23"/>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w:t>
            </w:r>
          </w:p>
        </w:tc>
      </w:tr>
      <w:tr>
        <w:trPr>
          <w:trHeight w:val="270"/>
        </w:trPr>
        <w:tc>
          <w:tcPr>
            <w:tcW w:w="20" w:type="dxa"/>
            <w:vAlign w:val="bottom"/>
          </w:tcPr>
          <w:p>
            <w:pPr>
              <w:spacing w:after="0"/>
              <w:rPr>
                <w:sz w:val="23"/>
                <w:szCs w:val="23"/>
                <w:color w:val="auto"/>
              </w:rPr>
            </w:pPr>
          </w:p>
        </w:tc>
        <w:tc>
          <w:tcPr>
            <w:tcW w:w="3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Impairment of intangible assets </w:t>
            </w:r>
            <w:r>
              <w:rPr>
                <w:rFonts w:ascii="Times New Roman" w:cs="Times New Roman" w:eastAsia="Times New Roman" w:hAnsi="Times New Roman"/>
                <w:sz w:val="23"/>
                <w:szCs w:val="23"/>
                <w:color w:val="auto"/>
                <w:vertAlign w:val="superscript"/>
              </w:rPr>
              <w:t>(v)</w:t>
            </w:r>
          </w:p>
        </w:tc>
        <w:tc>
          <w:tcPr>
            <w:tcW w:w="120" w:type="dxa"/>
            <w:vAlign w:val="bottom"/>
          </w:tcPr>
          <w:p>
            <w:pPr>
              <w:spacing w:after="0"/>
              <w:rPr>
                <w:sz w:val="23"/>
                <w:szCs w:val="23"/>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3"/>
                <w:szCs w:val="23"/>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3"/>
                <w:szCs w:val="23"/>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3"/>
                <w:szCs w:val="23"/>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3"/>
                <w:szCs w:val="23"/>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3"/>
                <w:szCs w:val="23"/>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w:t>
            </w:r>
          </w:p>
        </w:tc>
      </w:tr>
      <w:tr>
        <w:trPr>
          <w:trHeight w:val="270"/>
        </w:trPr>
        <w:tc>
          <w:tcPr>
            <w:tcW w:w="20" w:type="dxa"/>
            <w:vAlign w:val="bottom"/>
            <w:shd w:val="clear" w:color="auto" w:fill="CFF0FC"/>
          </w:tcPr>
          <w:p>
            <w:pPr>
              <w:spacing w:after="0"/>
              <w:rPr>
                <w:sz w:val="23"/>
                <w:szCs w:val="23"/>
                <w:color w:val="auto"/>
              </w:rPr>
            </w:pPr>
          </w:p>
        </w:tc>
        <w:tc>
          <w:tcPr>
            <w:tcW w:w="32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120" w:type="dxa"/>
            <w:vAlign w:val="bottom"/>
            <w:shd w:val="clear" w:color="auto" w:fill="CFF0FC"/>
          </w:tcPr>
          <w:p>
            <w:pPr>
              <w:spacing w:after="0"/>
              <w:rPr>
                <w:sz w:val="23"/>
                <w:szCs w:val="23"/>
                <w:color w:val="auto"/>
              </w:rPr>
            </w:pPr>
          </w:p>
        </w:tc>
        <w:tc>
          <w:tcPr>
            <w:tcW w:w="7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3"/>
                <w:szCs w:val="23"/>
                <w:color w:val="auto"/>
              </w:rPr>
            </w:pPr>
          </w:p>
        </w:tc>
        <w:tc>
          <w:tcPr>
            <w:tcW w:w="7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3"/>
                <w:szCs w:val="23"/>
                <w:color w:val="auto"/>
              </w:rPr>
            </w:pPr>
          </w:p>
        </w:tc>
        <w:tc>
          <w:tcPr>
            <w:tcW w:w="7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3"/>
                <w:szCs w:val="23"/>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shd w:val="clear" w:color="auto" w:fill="CFF0FC"/>
          </w:tcPr>
          <w:p>
            <w:pPr>
              <w:spacing w:after="0"/>
              <w:rPr>
                <w:sz w:val="23"/>
                <w:szCs w:val="23"/>
                <w:color w:val="auto"/>
              </w:rPr>
            </w:pPr>
          </w:p>
        </w:tc>
        <w:tc>
          <w:tcPr>
            <w:tcW w:w="220" w:type="dxa"/>
            <w:vAlign w:val="bottom"/>
            <w:shd w:val="clear" w:color="auto" w:fill="CFF0FC"/>
          </w:tcPr>
          <w:p>
            <w:pPr>
              <w:spacing w:after="0"/>
              <w:rPr>
                <w:sz w:val="23"/>
                <w:szCs w:val="23"/>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FF0FC"/>
          </w:tcPr>
          <w:p>
            <w:pPr>
              <w:spacing w:after="0"/>
              <w:rPr>
                <w:sz w:val="23"/>
                <w:szCs w:val="23"/>
                <w:color w:val="auto"/>
              </w:rPr>
            </w:pPr>
          </w:p>
        </w:tc>
        <w:tc>
          <w:tcPr>
            <w:tcW w:w="120" w:type="dxa"/>
            <w:vAlign w:val="bottom"/>
            <w:shd w:val="clear" w:color="auto" w:fill="CFF0FC"/>
          </w:tcPr>
          <w:p>
            <w:pPr>
              <w:spacing w:after="0"/>
              <w:rPr>
                <w:sz w:val="23"/>
                <w:szCs w:val="23"/>
                <w:color w:val="auto"/>
              </w:rPr>
            </w:pPr>
          </w:p>
        </w:tc>
        <w:tc>
          <w:tcPr>
            <w:tcW w:w="7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3"/>
                <w:szCs w:val="23"/>
                <w:color w:val="auto"/>
              </w:rPr>
            </w:pPr>
          </w:p>
        </w:tc>
        <w:tc>
          <w:tcPr>
            <w:tcW w:w="7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3"/>
                <w:szCs w:val="23"/>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25"/>
        </w:trPr>
        <w:tc>
          <w:tcPr>
            <w:tcW w:w="20" w:type="dxa"/>
            <w:vAlign w:val="bottom"/>
          </w:tcPr>
          <w:p>
            <w:pPr>
              <w:spacing w:after="0"/>
              <w:rPr>
                <w:sz w:val="19"/>
                <w:szCs w:val="19"/>
                <w:color w:val="auto"/>
              </w:rPr>
            </w:pPr>
          </w:p>
        </w:tc>
        <w:tc>
          <w:tcPr>
            <w:tcW w:w="3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Tax receivable agreement liability</w:t>
            </w: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41"/>
        </w:trPr>
        <w:tc>
          <w:tcPr>
            <w:tcW w:w="20" w:type="dxa"/>
            <w:vAlign w:val="bottom"/>
          </w:tcPr>
          <w:p>
            <w:pPr>
              <w:spacing w:after="0"/>
              <w:rPr>
                <w:sz w:val="20"/>
                <w:szCs w:val="20"/>
                <w:color w:val="auto"/>
              </w:rPr>
            </w:pPr>
          </w:p>
        </w:tc>
        <w:tc>
          <w:tcPr>
            <w:tcW w:w="3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adjustment</w:t>
            </w:r>
          </w:p>
        </w:tc>
        <w:tc>
          <w:tcPr>
            <w:tcW w:w="120" w:type="dxa"/>
            <w:vAlign w:val="bottom"/>
          </w:tcPr>
          <w:p>
            <w:pPr>
              <w:spacing w:after="0"/>
              <w:rPr>
                <w:sz w:val="20"/>
                <w:szCs w:val="20"/>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r>
      <w:tr>
        <w:trPr>
          <w:trHeight w:val="277"/>
        </w:trPr>
        <w:tc>
          <w:tcPr>
            <w:tcW w:w="20" w:type="dxa"/>
            <w:vAlign w:val="bottom"/>
            <w:shd w:val="clear" w:color="auto" w:fill="CFF0FC"/>
          </w:tcPr>
          <w:p>
            <w:pPr>
              <w:spacing w:after="0"/>
              <w:rPr>
                <w:sz w:val="24"/>
                <w:szCs w:val="24"/>
                <w:color w:val="auto"/>
              </w:rPr>
            </w:pPr>
          </w:p>
        </w:tc>
        <w:tc>
          <w:tcPr>
            <w:tcW w:w="32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Stock-based compensation </w:t>
            </w:r>
            <w:r>
              <w:rPr>
                <w:rFonts w:ascii="Times New Roman" w:cs="Times New Roman" w:eastAsia="Times New Roman" w:hAnsi="Times New Roman"/>
                <w:sz w:val="23"/>
                <w:szCs w:val="23"/>
                <w:color w:val="auto"/>
                <w:vertAlign w:val="superscript"/>
              </w:rPr>
              <w:t>(vi)</w:t>
            </w:r>
          </w:p>
        </w:tc>
        <w:tc>
          <w:tcPr>
            <w:tcW w:w="120" w:type="dxa"/>
            <w:vAlign w:val="bottom"/>
            <w:tcBorders>
              <w:bottom w:val="single" w:sz="8" w:color="auto"/>
            </w:tcBorders>
            <w:shd w:val="clear" w:color="auto" w:fill="CFF0FC"/>
          </w:tcPr>
          <w:p>
            <w:pPr>
              <w:spacing w:after="0"/>
              <w:rPr>
                <w:sz w:val="24"/>
                <w:szCs w:val="24"/>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spacing w:after="0"/>
              <w:rPr>
                <w:sz w:val="24"/>
                <w:szCs w:val="24"/>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spacing w:after="0"/>
              <w:rPr>
                <w:sz w:val="24"/>
                <w:szCs w:val="24"/>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spacing w:after="0"/>
              <w:rPr>
                <w:sz w:val="24"/>
                <w:szCs w:val="24"/>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80" w:type="dxa"/>
            <w:vAlign w:val="bottom"/>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spacing w:after="0"/>
              <w:rPr>
                <w:sz w:val="24"/>
                <w:szCs w:val="24"/>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100" w:type="dxa"/>
            <w:vAlign w:val="bottom"/>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spacing w:after="0"/>
              <w:rPr>
                <w:sz w:val="24"/>
                <w:szCs w:val="24"/>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80" w:type="dxa"/>
            <w:vAlign w:val="bottom"/>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spacing w:after="0"/>
              <w:rPr>
                <w:sz w:val="24"/>
                <w:szCs w:val="24"/>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spacing w:after="0"/>
              <w:rPr>
                <w:sz w:val="24"/>
                <w:szCs w:val="24"/>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80" w:type="dxa"/>
            <w:vAlign w:val="bottom"/>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r>
      <w:tr>
        <w:trPr>
          <w:trHeight w:val="257"/>
        </w:trPr>
        <w:tc>
          <w:tcPr>
            <w:tcW w:w="20" w:type="dxa"/>
            <w:vAlign w:val="bottom"/>
          </w:tcPr>
          <w:p>
            <w:pPr>
              <w:spacing w:after="0"/>
              <w:rPr>
                <w:sz w:val="22"/>
                <w:szCs w:val="22"/>
                <w:color w:val="auto"/>
              </w:rPr>
            </w:pPr>
          </w:p>
        </w:tc>
        <w:tc>
          <w:tcPr>
            <w:tcW w:w="32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95.4</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105.3</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113.3</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101.9</w:t>
            </w:r>
          </w:p>
        </w:tc>
        <w:tc>
          <w:tcPr>
            <w:tcW w:w="80" w:type="dxa"/>
            <w:vAlign w:val="bottom"/>
          </w:tcPr>
          <w:p>
            <w:pPr>
              <w:spacing w:after="0"/>
              <w:rPr>
                <w:sz w:val="22"/>
                <w:szCs w:val="22"/>
                <w:color w:val="auto"/>
              </w:rPr>
            </w:pPr>
          </w:p>
        </w:tc>
        <w:tc>
          <w:tcPr>
            <w:tcW w:w="2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415.9</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86.0</w:t>
            </w:r>
          </w:p>
        </w:tc>
        <w:tc>
          <w:tcPr>
            <w:tcW w:w="8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110.6</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103.9</w:t>
            </w:r>
          </w:p>
        </w:tc>
        <w:tc>
          <w:tcPr>
            <w:tcW w:w="30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402.4</w:t>
            </w:r>
          </w:p>
        </w:tc>
      </w:tr>
      <w:tr>
        <w:trPr>
          <w:trHeight w:val="27"/>
        </w:trPr>
        <w:tc>
          <w:tcPr>
            <w:tcW w:w="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68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66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68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68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top w:val="single" w:sz="8" w:color="auto"/>
              <w:bottom w:val="single" w:sz="8" w:color="auto"/>
            </w:tcBorders>
          </w:tcPr>
          <w:p>
            <w:pPr>
              <w:spacing w:after="0"/>
              <w:rPr>
                <w:sz w:val="2"/>
                <w:szCs w:val="2"/>
                <w:color w:val="auto"/>
              </w:rPr>
            </w:pPr>
          </w:p>
        </w:tc>
        <w:tc>
          <w:tcPr>
            <w:tcW w:w="58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68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66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68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top w:val="single" w:sz="8" w:color="auto"/>
              <w:bottom w:val="single" w:sz="8" w:color="auto"/>
            </w:tcBorders>
          </w:tcPr>
          <w:p>
            <w:pPr>
              <w:spacing w:after="0"/>
              <w:rPr>
                <w:sz w:val="2"/>
                <w:szCs w:val="2"/>
                <w:color w:val="auto"/>
              </w:rPr>
            </w:pPr>
          </w:p>
        </w:tc>
        <w:tc>
          <w:tcPr>
            <w:tcW w:w="580" w:type="dxa"/>
            <w:vAlign w:val="bottom"/>
            <w:tcBorders>
              <w:top w:val="single" w:sz="8" w:color="auto"/>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4248150</wp:posOffset>
            </wp:positionH>
            <wp:positionV relativeFrom="paragraph">
              <wp:posOffset>-1893570</wp:posOffset>
            </wp:positionV>
            <wp:extent cx="6032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2550795</wp:posOffset>
            </wp:positionH>
            <wp:positionV relativeFrom="paragraph">
              <wp:posOffset>-1893570</wp:posOffset>
            </wp:positionV>
            <wp:extent cx="6032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-2588260</wp:posOffset>
            </wp:positionV>
            <wp:extent cx="6032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2550795</wp:posOffset>
            </wp:positionH>
            <wp:positionV relativeFrom="paragraph">
              <wp:posOffset>-2588260</wp:posOffset>
            </wp:positionV>
            <wp:extent cx="6032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ind w:left="920" w:right="120" w:hanging="523"/>
        <w:spacing w:after="0" w:line="283" w:lineRule="auto"/>
        <w:tabs>
          <w:tab w:leader="none" w:pos="912"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Transaction and other related expenses for the periods presented primarily related to deal costs incurred for potential acquisitions and debt modification costs related to the 2025 refinancing on our first lien term loan</w:t>
      </w:r>
    </w:p>
    <w:p>
      <w:pPr>
        <w:spacing w:after="0" w:line="38" w:lineRule="exact"/>
        <w:rPr>
          <w:rFonts w:ascii="Times New Roman" w:cs="Times New Roman" w:eastAsia="Times New Roman" w:hAnsi="Times New Roman"/>
          <w:sz w:val="20"/>
          <w:szCs w:val="20"/>
          <w:color w:val="auto"/>
        </w:rPr>
      </w:pPr>
    </w:p>
    <w:p>
      <w:pPr>
        <w:ind w:left="920" w:right="40" w:hanging="523"/>
        <w:spacing w:after="0" w:line="268" w:lineRule="auto"/>
        <w:tabs>
          <w:tab w:leader="none" w:pos="913"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Transformation expenses for the 2026 periods consist of severance and other employee separation costs. Transformation expenses for the periods in 2025 primarily consist of expenses related to exit activities initiated during the fourth quarter in addition to a non-cash benefit in relation to a building lease for the full year.</w:t>
      </w:r>
    </w:p>
    <w:p>
      <w:pPr>
        <w:spacing w:after="0" w:line="53" w:lineRule="exact"/>
        <w:rPr>
          <w:rFonts w:ascii="Times New Roman" w:cs="Times New Roman" w:eastAsia="Times New Roman" w:hAnsi="Times New Roman"/>
          <w:sz w:val="20"/>
          <w:szCs w:val="20"/>
          <w:color w:val="auto"/>
        </w:rPr>
      </w:pPr>
    </w:p>
    <w:p>
      <w:pPr>
        <w:ind w:left="920" w:right="280" w:hanging="523"/>
        <w:spacing w:after="0" w:line="261" w:lineRule="auto"/>
        <w:tabs>
          <w:tab w:leader="none" w:pos="914"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the 2026 periods, this relates to a legal settlement finalized in the first quarter of 2026 in the form of cash and equity securities, adjustments related to the equity securities to remeasure to fair value at the end of the reporting periods, and directly associated legal costs incurred. For the periods in 2025 this item relates to adjustments to loss contingencies.</w:t>
      </w:r>
    </w:p>
    <w:p>
      <w:pPr>
        <w:spacing w:after="0" w:line="73" w:lineRule="exact"/>
        <w:rPr>
          <w:rFonts w:ascii="Times New Roman" w:cs="Times New Roman" w:eastAsia="Times New Roman" w:hAnsi="Times New Roman"/>
          <w:sz w:val="20"/>
          <w:szCs w:val="20"/>
          <w:color w:val="auto"/>
        </w:rPr>
      </w:pPr>
    </w:p>
    <w:p>
      <w:pPr>
        <w:ind w:left="920" w:hanging="523"/>
        <w:spacing w:after="0"/>
        <w:tabs>
          <w:tab w:leader="none" w:pos="92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relates to the non-cash impairment of goodwill in our Parking Solutions segment further discussed above.</w:t>
      </w:r>
    </w:p>
    <w:p>
      <w:pPr>
        <w:spacing w:after="0" w:line="121" w:lineRule="exact"/>
        <w:rPr>
          <w:rFonts w:ascii="Times New Roman" w:cs="Times New Roman" w:eastAsia="Times New Roman" w:hAnsi="Times New Roman"/>
          <w:sz w:val="20"/>
          <w:szCs w:val="20"/>
          <w:color w:val="auto"/>
        </w:rPr>
      </w:pPr>
    </w:p>
    <w:p>
      <w:pPr>
        <w:ind w:left="920" w:hanging="523"/>
        <w:spacing w:after="0"/>
        <w:tabs>
          <w:tab w:leader="none" w:pos="92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relates to the non-cash impairment of intangible assets in our Parking Solutions segment further discussed above.</w:t>
      </w:r>
    </w:p>
    <w:p>
      <w:pPr>
        <w:spacing w:after="0" w:line="107" w:lineRule="exact"/>
        <w:rPr>
          <w:rFonts w:ascii="Times New Roman" w:cs="Times New Roman" w:eastAsia="Times New Roman" w:hAnsi="Times New Roman"/>
          <w:sz w:val="20"/>
          <w:szCs w:val="20"/>
          <w:color w:val="auto"/>
        </w:rPr>
      </w:pPr>
    </w:p>
    <w:p>
      <w:pPr>
        <w:ind w:left="920" w:right="100" w:hanging="523"/>
        <w:spacing w:after="0" w:line="283" w:lineRule="auto"/>
        <w:tabs>
          <w:tab w:leader="none" w:pos="917"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Stock-based compensation represents the non-cash charge related to the issuance of awards under the Verra Mobility Corporation Amended and Restated 2018 Equity Incentive Plan.</w:t>
      </w: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Investor Relations Contact</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Mark Zindler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9C23F"/>
        </w:rPr>
        <w:t>mark.zindler@verramobility.com</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sectPr>
      <w:pgSz w:w="11900" w:h="16838" w:orient="portrait"/>
      <w:cols w:equalWidth="0" w:num="1">
        <w:col w:w="11240"/>
      </w:cols>
      <w:pgMar w:left="320" w:top="76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1)"/>
      <w:numFmt w:val="lowerLetter"/>
      <w:start w:val="4"/>
    </w:lvl>
  </w:abstractNum>
  <w:abstractNum w:abstractNumId="3">
    <w:nsid w:val="1F16E9E8"/>
    <w:multiLevelType w:val="hybridMultilevel"/>
    <w:lvl w:ilvl="0">
      <w:lvlJc w:val="left"/>
      <w:lvlText w:val="%1"/>
      <w:numFmt w:val="decimal"/>
      <w:start w:val="104"/>
    </w:lvl>
  </w:abstractNum>
  <w:abstractNum w:abstractNumId="4">
    <w:nsid w:val="1190CDE7"/>
    <w:multiLevelType w:val="hybridMultilevel"/>
    <w:lvl w:ilvl="0">
      <w:lvlJc w:val="left"/>
      <w:lvlText w:val="•"/>
      <w:numFmt w:val="bullet"/>
      <w:start w:val="1"/>
    </w:lvl>
  </w:abstractNum>
  <w:abstractNum w:abstractNumId="5">
    <w:nsid w:val="66EF438D"/>
    <w:multiLevelType w:val="hybridMultilevel"/>
    <w:lvl w:ilvl="0">
      <w:lvlJc w:val="left"/>
      <w:lvlText w:val="•"/>
      <w:numFmt w:val="bullet"/>
      <w:start w:val="1"/>
    </w:lvl>
  </w:abstractNum>
  <w:abstractNum w:abstractNumId="6">
    <w:nsid w:val="140E0F76"/>
    <w:multiLevelType w:val="hybridMultilevel"/>
    <w:lvl w:ilvl="0">
      <w:lvlJc w:val="left"/>
      <w:lvlText w:val="*"/>
      <w:numFmt w:val="bullet"/>
      <w:start w:val="1"/>
    </w:lvl>
    <w:lvl w:ilvl="1">
      <w:lvlJc w:val="left"/>
      <w:lvlText w:val="•"/>
      <w:numFmt w:val="bullet"/>
      <w:start w:val="1"/>
    </w:lvl>
  </w:abstractNum>
  <w:abstractNum w:abstractNumId="7">
    <w:nsid w:val="3352255A"/>
    <w:multiLevelType w:val="hybridMultilevel"/>
    <w:lvl w:ilvl="0">
      <w:lvlJc w:val="left"/>
      <w:lvlText w:val="•"/>
      <w:numFmt w:val="bullet"/>
      <w:start w:val="1"/>
    </w:lvl>
  </w:abstractNum>
  <w:abstractNum w:abstractNumId="8">
    <w:nsid w:val="109CF92E"/>
    <w:multiLevelType w:val="hybridMultilevel"/>
    <w:lvl w:ilvl="0">
      <w:lvlJc w:val="left"/>
      <w:lvlText w:val="•"/>
      <w:numFmt w:val="bullet"/>
      <w:start w:val="1"/>
    </w:lvl>
  </w:abstractNum>
  <w:abstractNum w:abstractNumId="9">
    <w:nsid w:val="DED7263"/>
    <w:multiLevelType w:val="hybridMultilevel"/>
    <w:lvl w:ilvl="0">
      <w:lvlJc w:val="left"/>
      <w:lvlText w:val="*"/>
      <w:numFmt w:val="bullet"/>
      <w:start w:val="1"/>
    </w:lvl>
  </w:abstractNum>
  <w:abstractNum w:abstractNumId="10">
    <w:nsid w:val="7FDCC233"/>
    <w:multiLevelType w:val="hybridMultilevel"/>
    <w:lvl w:ilvl="0">
      <w:lvlJc w:val="left"/>
      <w:lvlText w:val="•"/>
      <w:numFmt w:val="bullet"/>
      <w:start w:val="1"/>
    </w:lvl>
  </w:abstractNum>
  <w:abstractNum w:abstractNumId="11">
    <w:nsid w:val="1BEFD79F"/>
    <w:multiLevelType w:val="hybridMultilevel"/>
    <w:lvl w:ilvl="0">
      <w:lvlJc w:val="left"/>
      <w:lvlText w:val="•"/>
      <w:numFmt w:val="bullet"/>
      <w:start w:val="1"/>
    </w:lvl>
  </w:abstractNum>
  <w:abstractNum w:abstractNumId="12">
    <w:nsid w:val="41A7C4C9"/>
    <w:multiLevelType w:val="hybridMultilevel"/>
    <w:lvl w:ilvl="0">
      <w:lvlJc w:val="left"/>
      <w:lvlText w:val="•"/>
      <w:numFmt w:val="bullet"/>
      <w:start w:val="1"/>
    </w:lvl>
  </w:abstractNum>
  <w:abstractNum w:abstractNumId="13">
    <w:nsid w:val="6B68079A"/>
    <w:multiLevelType w:val="hybridMultilevel"/>
    <w:lvl w:ilvl="0">
      <w:lvlJc w:val="left"/>
      <w:lvlText w:val="(%1)"/>
      <w:numFmt w:val="lowerRoman"/>
      <w:start w:val="1"/>
    </w:lvl>
  </w:abstractNum>
  <w:abstractNum w:abstractNumId="14">
    <w:nsid w:val="4E6AFB66"/>
    <w:multiLevelType w:val="hybridMultilevel"/>
    <w:lvl w:ilvl="0">
      <w:lvlJc w:val="left"/>
      <w:lvlText w:val="(%1)"/>
      <w:numFmt w:val="lowerRoman"/>
      <w:start w:val="1"/>
    </w:lvl>
  </w:abstractNum>
  <w:abstractNum w:abstractNumId="15">
    <w:nsid w:val="25E45D32"/>
    <w:multiLevelType w:val="hybridMultilevel"/>
    <w:lvl w:ilvl="0">
      <w:lvlJc w:val="left"/>
      <w:lvlText w:val="(%1)"/>
      <w:numFmt w:val="lowerRoman"/>
      <w:start w:val="5"/>
    </w:lvl>
  </w:abstractNum>
  <w:abstractNum w:abstractNumId="16">
    <w:nsid w:val="519B500D"/>
    <w:multiLevelType w:val="hybridMultilevel"/>
    <w:lvl w:ilvl="0">
      <w:lvlJc w:val="left"/>
      <w:lvlText w:val="(%1)"/>
      <w:numFmt w:val="lowerRoman"/>
      <w:start w:val="1"/>
    </w:lvl>
  </w:abstractNum>
  <w:abstractNum w:abstractNumId="17">
    <w:nsid w:val="431BD7B7"/>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2026-10-30T07:36:53Z</dcterms:created>
  <dcterms:modified xsi:type="dcterms:W3CDTF">2026-10-30T07:36:53Z</dcterms:modified>
</cp:coreProperties>
</file>