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466090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483235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01" w:lineRule="exact"/>
        <w:rPr>
          <w:sz w:val="24"/>
          <w:szCs w:val="24"/>
          <w:color w:val="auto"/>
        </w:rPr>
      </w:pPr>
    </w:p>
    <w:p>
      <w:pPr>
        <w:jc w:val="center"/>
        <w:spacing w:after="0" w:line="368" w:lineRule="exact"/>
        <w:rPr>
          <w:sz w:val="20"/>
          <w:szCs w:val="20"/>
          <w:color w:val="auto"/>
        </w:rPr>
      </w:pPr>
      <w:r>
        <w:rPr>
          <w:rFonts w:ascii="Arial" w:cs="Arial" w:eastAsia="Arial" w:hAnsi="Arial"/>
          <w:sz w:val="32"/>
          <w:szCs w:val="32"/>
          <w:b w:val="1"/>
          <w:bCs w:val="1"/>
          <w:color w:val="auto"/>
        </w:rPr>
        <w:t>FORM 10</w:t>
      </w:r>
      <w:r>
        <w:rPr>
          <w:rFonts w:ascii="MS PGothic" w:cs="MS PGothic" w:eastAsia="MS PGothic" w:hAnsi="MS PGothic"/>
          <w:sz w:val="32"/>
          <w:szCs w:val="32"/>
          <w:b w:val="1"/>
          <w:bCs w:val="1"/>
          <w:color w:val="auto"/>
        </w:rPr>
        <w:t>‑</w:t>
      </w:r>
      <w:r>
        <w:rPr>
          <w:rFonts w:ascii="Arial" w:cs="Arial" w:eastAsia="Arial" w:hAnsi="Arial"/>
          <w:sz w:val="32"/>
          <w:szCs w:val="32"/>
          <w:b w:val="1"/>
          <w:bCs w:val="1"/>
          <w:color w:val="auto"/>
        </w:rPr>
        <w:t>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2852420</wp:posOffset>
            </wp:positionH>
            <wp:positionV relativeFrom="paragraph">
              <wp:posOffset>-232410</wp:posOffset>
            </wp:positionV>
            <wp:extent cx="155194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51940" cy="8890"/>
                    </a:xfrm>
                    <a:prstGeom prst="rect">
                      <a:avLst/>
                    </a:prstGeom>
                    <a:noFill/>
                  </pic:spPr>
                </pic:pic>
              </a:graphicData>
            </a:graphic>
          </wp:anchor>
        </w:drawing>
        <w:drawing>
          <wp:anchor simplePos="0" relativeHeight="251657728" behindDoc="1" locked="0" layoutInCell="0" allowOverlap="1">
            <wp:simplePos x="0" y="0"/>
            <wp:positionH relativeFrom="column">
              <wp:posOffset>2852420</wp:posOffset>
            </wp:positionH>
            <wp:positionV relativeFrom="paragraph">
              <wp:posOffset>92710</wp:posOffset>
            </wp:positionV>
            <wp:extent cx="15519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51940" cy="8890"/>
                    </a:xfrm>
                    <a:prstGeom prst="rect">
                      <a:avLst/>
                    </a:prstGeom>
                    <a:noFill/>
                  </pic:spPr>
                </pic:pic>
              </a:graphicData>
            </a:graphic>
          </wp:anchor>
        </w:drawing>
      </w:r>
    </w:p>
    <w:p>
      <w:pPr>
        <w:spacing w:after="0" w:line="148"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2" w:lineRule="exact"/>
        <w:rPr>
          <w:sz w:val="24"/>
          <w:szCs w:val="24"/>
          <w:color w:val="auto"/>
        </w:rPr>
      </w:pPr>
    </w:p>
    <w:p>
      <w:pPr>
        <w:ind w:left="3980" w:right="1700" w:hanging="3972"/>
        <w:spacing w:after="0" w:line="266" w:lineRule="auto"/>
        <w:tabs>
          <w:tab w:leader="none" w:pos="568"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 For the quarterly period ended June 30, 2019</w:t>
      </w:r>
    </w:p>
    <w:p>
      <w:pPr>
        <w:spacing w:after="0" w:line="4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77" w:lineRule="exact"/>
        <w:rPr>
          <w:sz w:val="24"/>
          <w:szCs w:val="24"/>
          <w:color w:val="auto"/>
        </w:rPr>
      </w:pPr>
    </w:p>
    <w:p>
      <w:pPr>
        <w:ind w:left="3260" w:right="1700" w:hanging="3252"/>
        <w:spacing w:after="0" w:line="328" w:lineRule="auto"/>
        <w:tabs>
          <w:tab w:leader="none" w:pos="561"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 For the transition period from ______________ to ___________.</w:t>
      </w:r>
    </w:p>
    <w:p>
      <w:pPr>
        <w:spacing w:after="0" w:line="1" w:lineRule="exact"/>
        <w:rPr>
          <w:rFonts w:ascii="MS PGothic" w:cs="MS PGothic" w:eastAsia="MS PGothic" w:hAnsi="MS PGothic"/>
          <w:sz w:val="18"/>
          <w:szCs w:val="18"/>
          <w:color w:val="auto"/>
          <w:highlight w:val="black"/>
        </w:rPr>
      </w:pPr>
    </w:p>
    <w:p>
      <w:pPr>
        <w:ind w:left="4280"/>
        <w:spacing w:after="0" w:line="207" w:lineRule="exact"/>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Commission File Number: 001</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37979</w:t>
      </w:r>
    </w:p>
    <w:p>
      <w:pPr>
        <w:spacing w:after="0" w:line="133"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VERRA MOBILITY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2852420</wp:posOffset>
            </wp:positionH>
            <wp:positionV relativeFrom="paragraph">
              <wp:posOffset>-311785</wp:posOffset>
            </wp:positionV>
            <wp:extent cx="15519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51940" cy="8890"/>
                    </a:xfrm>
                    <a:prstGeom prst="rect">
                      <a:avLst/>
                    </a:prstGeom>
                    <a:noFill/>
                  </pic:spPr>
                </pic:pic>
              </a:graphicData>
            </a:graphic>
          </wp:anchor>
        </w:drawing>
      </w:r>
    </w:p>
    <w:p>
      <w:pPr>
        <w:spacing w:after="0" w:line="33" w:lineRule="exact"/>
        <w:rPr>
          <w:sz w:val="24"/>
          <w:szCs w:val="24"/>
          <w:color w:val="auto"/>
        </w:rPr>
      </w:pPr>
    </w:p>
    <w:tbl>
      <w:tblPr>
        <w:tblLayout w:type="fixed"/>
        <w:tblInd w:w="1680" w:type="dxa"/>
        <w:tblCellMar>
          <w:top w:w="0" w:type="dxa"/>
          <w:left w:w="0" w:type="dxa"/>
          <w:bottom w:w="0" w:type="dxa"/>
          <w:right w:w="0" w:type="dxa"/>
        </w:tblCellMar>
      </w:tblPr>
      <w:tr>
        <w:trPr>
          <w:trHeight w:val="210"/>
        </w:trPr>
        <w:tc>
          <w:tcPr>
            <w:tcW w:w="6160" w:type="dxa"/>
            <w:vAlign w:val="bottom"/>
            <w:gridSpan w:val="3"/>
          </w:tcPr>
          <w:p>
            <w:pPr>
              <w:jc w:val="center"/>
              <w:ind w:left="1821"/>
              <w:spacing w:after="0"/>
              <w:rPr>
                <w:sz w:val="20"/>
                <w:szCs w:val="20"/>
                <w:color w:val="auto"/>
              </w:rPr>
            </w:pPr>
            <w:r>
              <w:rPr>
                <w:rFonts w:ascii="Arial" w:cs="Arial" w:eastAsia="Arial" w:hAnsi="Arial"/>
                <w:sz w:val="16"/>
                <w:szCs w:val="16"/>
                <w:b w:val="1"/>
                <w:bCs w:val="1"/>
                <w:color w:val="auto"/>
                <w:w w:val="90"/>
              </w:rPr>
              <w:t>(Exact name of Registrant as specified in its charter)</w:t>
            </w:r>
          </w:p>
        </w:tc>
        <w:tc>
          <w:tcPr>
            <w:tcW w:w="1280" w:type="dxa"/>
            <w:vAlign w:val="bottom"/>
          </w:tcPr>
          <w:p>
            <w:pPr>
              <w:spacing w:after="0"/>
              <w:rPr>
                <w:sz w:val="18"/>
                <w:szCs w:val="18"/>
                <w:color w:val="auto"/>
              </w:rPr>
            </w:pPr>
          </w:p>
        </w:tc>
      </w:tr>
      <w:tr>
        <w:trPr>
          <w:trHeight w:val="96"/>
        </w:trPr>
        <w:tc>
          <w:tcPr>
            <w:tcW w:w="6160" w:type="dxa"/>
            <w:vAlign w:val="bottom"/>
            <w:gridSpan w:val="3"/>
          </w:tcPr>
          <w:p>
            <w:pPr>
              <w:spacing w:after="0"/>
              <w:rPr>
                <w:sz w:val="8"/>
                <w:szCs w:val="8"/>
                <w:color w:val="auto"/>
              </w:rPr>
            </w:pPr>
          </w:p>
        </w:tc>
        <w:tc>
          <w:tcPr>
            <w:tcW w:w="1280" w:type="dxa"/>
            <w:vAlign w:val="bottom"/>
          </w:tcPr>
          <w:p>
            <w:pPr>
              <w:spacing w:after="0"/>
              <w:rPr>
                <w:sz w:val="8"/>
                <w:szCs w:val="8"/>
                <w:color w:val="auto"/>
              </w:rPr>
            </w:pPr>
          </w:p>
        </w:tc>
      </w:tr>
      <w:tr>
        <w:trPr>
          <w:trHeight w:val="204"/>
        </w:trPr>
        <w:tc>
          <w:tcPr>
            <w:tcW w:w="2820" w:type="dxa"/>
            <w:vAlign w:val="bottom"/>
          </w:tcPr>
          <w:p>
            <w:pPr>
              <w:jc w:val="center"/>
              <w:ind w:right="441"/>
              <w:spacing w:after="0"/>
              <w:rPr>
                <w:sz w:val="20"/>
                <w:szCs w:val="20"/>
                <w:color w:val="auto"/>
              </w:rPr>
            </w:pPr>
            <w:r>
              <w:rPr>
                <w:rFonts w:ascii="Arial" w:cs="Arial" w:eastAsia="Arial" w:hAnsi="Arial"/>
                <w:sz w:val="16"/>
                <w:szCs w:val="16"/>
                <w:b w:val="1"/>
                <w:bCs w:val="1"/>
                <w:color w:val="auto"/>
                <w:w w:val="93"/>
              </w:rPr>
              <w:t>Delaware</w:t>
            </w:r>
          </w:p>
        </w:tc>
        <w:tc>
          <w:tcPr>
            <w:tcW w:w="2440" w:type="dxa"/>
            <w:vAlign w:val="bottom"/>
            <w:tcBorders>
              <w:top w:val="single" w:sz="8" w:color="auto"/>
            </w:tcBorders>
          </w:tcPr>
          <w:p>
            <w:pPr>
              <w:spacing w:after="0"/>
              <w:rPr>
                <w:sz w:val="17"/>
                <w:szCs w:val="17"/>
                <w:color w:val="auto"/>
              </w:rPr>
            </w:pPr>
          </w:p>
        </w:tc>
        <w:tc>
          <w:tcPr>
            <w:tcW w:w="900" w:type="dxa"/>
            <w:vAlign w:val="bottom"/>
          </w:tcPr>
          <w:p>
            <w:pPr>
              <w:spacing w:after="0"/>
              <w:rPr>
                <w:sz w:val="17"/>
                <w:szCs w:val="17"/>
                <w:color w:val="auto"/>
              </w:rPr>
            </w:pPr>
          </w:p>
        </w:tc>
        <w:tc>
          <w:tcPr>
            <w:tcW w:w="1280" w:type="dxa"/>
            <w:vAlign w:val="bottom"/>
          </w:tcPr>
          <w:p>
            <w:pPr>
              <w:jc w:val="center"/>
              <w:ind w:left="144"/>
              <w:spacing w:after="0" w:line="184" w:lineRule="exact"/>
              <w:rPr>
                <w:sz w:val="20"/>
                <w:szCs w:val="20"/>
                <w:color w:val="auto"/>
              </w:rPr>
            </w:pPr>
            <w:r>
              <w:rPr>
                <w:rFonts w:ascii="Arial" w:cs="Arial" w:eastAsia="Arial" w:hAnsi="Arial"/>
                <w:sz w:val="16"/>
                <w:szCs w:val="16"/>
                <w:b w:val="1"/>
                <w:bCs w:val="1"/>
                <w:color w:val="auto"/>
                <w:w w:val="91"/>
              </w:rPr>
              <w:t>81</w:t>
            </w:r>
            <w:r>
              <w:rPr>
                <w:rFonts w:ascii="MS PGothic" w:cs="MS PGothic" w:eastAsia="MS PGothic" w:hAnsi="MS PGothic"/>
                <w:sz w:val="16"/>
                <w:szCs w:val="16"/>
                <w:b w:val="1"/>
                <w:bCs w:val="1"/>
                <w:color w:val="auto"/>
                <w:w w:val="91"/>
              </w:rPr>
              <w:t>‑</w:t>
            </w:r>
            <w:r>
              <w:rPr>
                <w:rFonts w:ascii="Arial" w:cs="Arial" w:eastAsia="Arial" w:hAnsi="Arial"/>
                <w:sz w:val="16"/>
                <w:szCs w:val="16"/>
                <w:b w:val="1"/>
                <w:bCs w:val="1"/>
                <w:color w:val="auto"/>
                <w:w w:val="91"/>
              </w:rPr>
              <w:t>3563824</w:t>
            </w:r>
          </w:p>
        </w:tc>
      </w:tr>
      <w:tr>
        <w:trPr>
          <w:trHeight w:val="163"/>
        </w:trPr>
        <w:tc>
          <w:tcPr>
            <w:tcW w:w="6160" w:type="dxa"/>
            <w:vAlign w:val="bottom"/>
            <w:gridSpan w:val="3"/>
          </w:tcPr>
          <w:p>
            <w:pPr>
              <w:jc w:val="center"/>
              <w:ind w:right="3860"/>
              <w:spacing w:after="0"/>
              <w:rPr>
                <w:sz w:val="20"/>
                <w:szCs w:val="20"/>
                <w:color w:val="auto"/>
              </w:rPr>
            </w:pPr>
            <w:r>
              <w:rPr>
                <w:rFonts w:ascii="Arial" w:cs="Arial" w:eastAsia="Arial" w:hAnsi="Arial"/>
                <w:sz w:val="14"/>
                <w:szCs w:val="14"/>
                <w:color w:val="auto"/>
                <w:w w:val="94"/>
              </w:rPr>
              <w:t>(</w:t>
            </w:r>
            <w:r>
              <w:rPr>
                <w:rFonts w:ascii="Arial" w:cs="Arial" w:eastAsia="Arial" w:hAnsi="Arial"/>
                <w:sz w:val="14"/>
                <w:szCs w:val="14"/>
                <w:i w:val="1"/>
                <w:iCs w:val="1"/>
                <w:color w:val="auto"/>
                <w:w w:val="94"/>
              </w:rPr>
              <w:t>State of</w:t>
            </w:r>
          </w:p>
        </w:tc>
        <w:tc>
          <w:tcPr>
            <w:tcW w:w="1280" w:type="dxa"/>
            <w:vAlign w:val="bottom"/>
          </w:tcPr>
          <w:p>
            <w:pPr>
              <w:jc w:val="center"/>
              <w:ind w:left="164"/>
              <w:spacing w:after="0"/>
              <w:rPr>
                <w:sz w:val="20"/>
                <w:szCs w:val="20"/>
                <w:color w:val="auto"/>
              </w:rPr>
            </w:pPr>
            <w:r>
              <w:rPr>
                <w:rFonts w:ascii="Arial" w:cs="Arial" w:eastAsia="Arial" w:hAnsi="Arial"/>
                <w:sz w:val="14"/>
                <w:szCs w:val="14"/>
                <w:color w:val="auto"/>
                <w:w w:val="93"/>
              </w:rPr>
              <w:t>(</w:t>
            </w:r>
            <w:r>
              <w:rPr>
                <w:rFonts w:ascii="Arial" w:cs="Arial" w:eastAsia="Arial" w:hAnsi="Arial"/>
                <w:sz w:val="14"/>
                <w:szCs w:val="14"/>
                <w:i w:val="1"/>
                <w:iCs w:val="1"/>
                <w:color w:val="auto"/>
                <w:w w:val="93"/>
              </w:rPr>
              <w:t>I.R.S. Employer</w:t>
            </w:r>
          </w:p>
        </w:tc>
      </w:tr>
      <w:tr>
        <w:trPr>
          <w:trHeight w:val="182"/>
        </w:trPr>
        <w:tc>
          <w:tcPr>
            <w:tcW w:w="6160" w:type="dxa"/>
            <w:vAlign w:val="bottom"/>
            <w:gridSpan w:val="3"/>
          </w:tcPr>
          <w:p>
            <w:pPr>
              <w:jc w:val="center"/>
              <w:ind w:right="3860"/>
              <w:spacing w:after="0"/>
              <w:rPr>
                <w:sz w:val="20"/>
                <w:szCs w:val="20"/>
                <w:color w:val="auto"/>
              </w:rPr>
            </w:pPr>
            <w:r>
              <w:rPr>
                <w:rFonts w:ascii="Arial" w:cs="Arial" w:eastAsia="Arial" w:hAnsi="Arial"/>
                <w:sz w:val="14"/>
                <w:szCs w:val="14"/>
                <w:i w:val="1"/>
                <w:iCs w:val="1"/>
                <w:color w:val="auto"/>
              </w:rPr>
              <w:t>incorporation</w:t>
            </w:r>
            <w:r>
              <w:rPr>
                <w:rFonts w:ascii="Arial" w:cs="Arial" w:eastAsia="Arial" w:hAnsi="Arial"/>
                <w:sz w:val="14"/>
                <w:szCs w:val="14"/>
                <w:color w:val="auto"/>
              </w:rPr>
              <w:t>)</w:t>
            </w:r>
          </w:p>
        </w:tc>
        <w:tc>
          <w:tcPr>
            <w:tcW w:w="1280" w:type="dxa"/>
            <w:vAlign w:val="bottom"/>
          </w:tcPr>
          <w:p>
            <w:pPr>
              <w:jc w:val="center"/>
              <w:ind w:left="144"/>
              <w:spacing w:after="0"/>
              <w:rPr>
                <w:sz w:val="20"/>
                <w:szCs w:val="20"/>
                <w:color w:val="auto"/>
              </w:rPr>
            </w:pPr>
            <w:r>
              <w:rPr>
                <w:rFonts w:ascii="Arial" w:cs="Arial" w:eastAsia="Arial" w:hAnsi="Arial"/>
                <w:sz w:val="14"/>
                <w:szCs w:val="14"/>
                <w:i w:val="1"/>
                <w:iCs w:val="1"/>
                <w:color w:val="auto"/>
                <w:w w:val="97"/>
              </w:rPr>
              <w:t>Identification No.</w:t>
            </w:r>
            <w:r>
              <w:rPr>
                <w:rFonts w:ascii="Arial" w:cs="Arial" w:eastAsia="Arial" w:hAnsi="Arial"/>
                <w:sz w:val="14"/>
                <w:szCs w:val="14"/>
                <w:color w:val="auto"/>
                <w:w w:val="97"/>
              </w:rPr>
              <w:t>)</w:t>
            </w:r>
          </w:p>
        </w:tc>
      </w:tr>
      <w:tr>
        <w:trPr>
          <w:trHeight w:val="398"/>
        </w:trPr>
        <w:tc>
          <w:tcPr>
            <w:tcW w:w="6160" w:type="dxa"/>
            <w:vAlign w:val="bottom"/>
            <w:gridSpan w:val="3"/>
          </w:tcPr>
          <w:p>
            <w:pPr>
              <w:jc w:val="center"/>
              <w:ind w:right="3860"/>
              <w:spacing w:after="0"/>
              <w:rPr>
                <w:sz w:val="20"/>
                <w:szCs w:val="20"/>
                <w:color w:val="auto"/>
              </w:rPr>
            </w:pPr>
            <w:r>
              <w:rPr>
                <w:rFonts w:ascii="Arial" w:cs="Arial" w:eastAsia="Arial" w:hAnsi="Arial"/>
                <w:sz w:val="16"/>
                <w:szCs w:val="16"/>
                <w:b w:val="1"/>
                <w:bCs w:val="1"/>
                <w:color w:val="auto"/>
                <w:w w:val="91"/>
              </w:rPr>
              <w:t>1150 North Alma School Road</w:t>
            </w:r>
          </w:p>
        </w:tc>
        <w:tc>
          <w:tcPr>
            <w:tcW w:w="1280" w:type="dxa"/>
            <w:vAlign w:val="bottom"/>
          </w:tcPr>
          <w:p>
            <w:pPr>
              <w:jc w:val="right"/>
              <w:ind w:right="244"/>
              <w:spacing w:after="0"/>
              <w:rPr>
                <w:sz w:val="20"/>
                <w:szCs w:val="20"/>
                <w:color w:val="auto"/>
              </w:rPr>
            </w:pPr>
            <w:r>
              <w:rPr>
                <w:rFonts w:ascii="Arial" w:cs="Arial" w:eastAsia="Arial" w:hAnsi="Arial"/>
                <w:sz w:val="16"/>
                <w:szCs w:val="16"/>
                <w:b w:val="1"/>
                <w:bCs w:val="1"/>
                <w:color w:val="auto"/>
              </w:rPr>
              <w:t>85201</w:t>
            </w:r>
          </w:p>
        </w:tc>
      </w:tr>
      <w:tr>
        <w:trPr>
          <w:trHeight w:val="217"/>
        </w:trPr>
        <w:tc>
          <w:tcPr>
            <w:tcW w:w="6160" w:type="dxa"/>
            <w:vAlign w:val="bottom"/>
            <w:gridSpan w:val="3"/>
          </w:tcPr>
          <w:p>
            <w:pPr>
              <w:jc w:val="center"/>
              <w:ind w:right="3860"/>
              <w:spacing w:after="0"/>
              <w:rPr>
                <w:sz w:val="20"/>
                <w:szCs w:val="20"/>
                <w:color w:val="auto"/>
              </w:rPr>
            </w:pPr>
            <w:r>
              <w:rPr>
                <w:rFonts w:ascii="Arial" w:cs="Arial" w:eastAsia="Arial" w:hAnsi="Arial"/>
                <w:sz w:val="16"/>
                <w:szCs w:val="16"/>
                <w:b w:val="1"/>
                <w:bCs w:val="1"/>
                <w:color w:val="auto"/>
                <w:w w:val="94"/>
              </w:rPr>
              <w:t>Mesa, Arizona</w:t>
            </w:r>
          </w:p>
        </w:tc>
        <w:tc>
          <w:tcPr>
            <w:tcW w:w="1280" w:type="dxa"/>
            <w:vAlign w:val="bottom"/>
          </w:tcPr>
          <w:p>
            <w:pPr>
              <w:jc w:val="center"/>
              <w:ind w:left="144"/>
              <w:spacing w:after="0"/>
              <w:rPr>
                <w:sz w:val="20"/>
                <w:szCs w:val="20"/>
                <w:color w:val="auto"/>
              </w:rPr>
            </w:pPr>
            <w:r>
              <w:rPr>
                <w:rFonts w:ascii="Arial" w:cs="Arial" w:eastAsia="Arial" w:hAnsi="Arial"/>
                <w:sz w:val="14"/>
                <w:szCs w:val="14"/>
                <w:color w:val="auto"/>
                <w:w w:val="93"/>
              </w:rPr>
              <w:t>(</w:t>
            </w:r>
            <w:r>
              <w:rPr>
                <w:rFonts w:ascii="Arial" w:cs="Arial" w:eastAsia="Arial" w:hAnsi="Arial"/>
                <w:sz w:val="14"/>
                <w:szCs w:val="14"/>
                <w:i w:val="1"/>
                <w:iCs w:val="1"/>
                <w:color w:val="auto"/>
                <w:w w:val="93"/>
              </w:rPr>
              <w:t>Zip Code</w:t>
            </w:r>
            <w:r>
              <w:rPr>
                <w:rFonts w:ascii="Arial" w:cs="Arial" w:eastAsia="Arial" w:hAnsi="Arial"/>
                <w:sz w:val="14"/>
                <w:szCs w:val="14"/>
                <w:color w:val="auto"/>
                <w:w w:val="93"/>
              </w:rPr>
              <w:t>)</w:t>
            </w:r>
          </w:p>
        </w:tc>
      </w:tr>
      <w:tr>
        <w:trPr>
          <w:trHeight w:val="182"/>
        </w:trPr>
        <w:tc>
          <w:tcPr>
            <w:tcW w:w="6160" w:type="dxa"/>
            <w:vAlign w:val="bottom"/>
            <w:gridSpan w:val="3"/>
          </w:tcPr>
          <w:p>
            <w:pPr>
              <w:jc w:val="center"/>
              <w:ind w:right="3840"/>
              <w:spacing w:after="0"/>
              <w:rPr>
                <w:sz w:val="20"/>
                <w:szCs w:val="20"/>
                <w:color w:val="auto"/>
              </w:rPr>
            </w:pPr>
            <w:r>
              <w:rPr>
                <w:rFonts w:ascii="Arial" w:cs="Arial" w:eastAsia="Arial" w:hAnsi="Arial"/>
                <w:sz w:val="14"/>
                <w:szCs w:val="14"/>
                <w:color w:val="auto"/>
                <w:w w:val="94"/>
              </w:rPr>
              <w:t>(</w:t>
            </w:r>
            <w:r>
              <w:rPr>
                <w:rFonts w:ascii="Arial" w:cs="Arial" w:eastAsia="Arial" w:hAnsi="Arial"/>
                <w:sz w:val="14"/>
                <w:szCs w:val="14"/>
                <w:i w:val="1"/>
                <w:iCs w:val="1"/>
                <w:color w:val="auto"/>
                <w:w w:val="94"/>
              </w:rPr>
              <w:t>Address of Principal Executive Offices</w:t>
            </w:r>
            <w:r>
              <w:rPr>
                <w:rFonts w:ascii="Arial" w:cs="Arial" w:eastAsia="Arial" w:hAnsi="Arial"/>
                <w:sz w:val="14"/>
                <w:szCs w:val="14"/>
                <w:color w:val="auto"/>
                <w:w w:val="94"/>
              </w:rPr>
              <w:t>)</w:t>
            </w:r>
          </w:p>
        </w:tc>
        <w:tc>
          <w:tcPr>
            <w:tcW w:w="1280" w:type="dxa"/>
            <w:vAlign w:val="bottom"/>
          </w:tcPr>
          <w:p>
            <w:pPr>
              <w:spacing w:after="0"/>
              <w:rPr>
                <w:sz w:val="15"/>
                <w:szCs w:val="15"/>
                <w:color w:val="auto"/>
              </w:rPr>
            </w:pPr>
          </w:p>
        </w:tc>
      </w:tr>
      <w:tr>
        <w:trPr>
          <w:trHeight w:val="241"/>
        </w:trPr>
        <w:tc>
          <w:tcPr>
            <w:tcW w:w="5260" w:type="dxa"/>
            <w:vAlign w:val="bottom"/>
            <w:gridSpan w:val="2"/>
          </w:tcPr>
          <w:p>
            <w:pPr>
              <w:jc w:val="center"/>
              <w:ind w:left="2721"/>
              <w:spacing w:after="0"/>
              <w:rPr>
                <w:sz w:val="20"/>
                <w:szCs w:val="20"/>
                <w:color w:val="auto"/>
              </w:rPr>
            </w:pPr>
            <w:r>
              <w:rPr>
                <w:rFonts w:ascii="Arial" w:cs="Arial" w:eastAsia="Arial" w:hAnsi="Arial"/>
                <w:sz w:val="16"/>
                <w:szCs w:val="16"/>
                <w:b w:val="1"/>
                <w:bCs w:val="1"/>
                <w:color w:val="auto"/>
                <w:w w:val="93"/>
              </w:rPr>
              <w:t>(480) 443-7000</w:t>
            </w:r>
          </w:p>
        </w:tc>
        <w:tc>
          <w:tcPr>
            <w:tcW w:w="90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230"/>
        </w:trPr>
        <w:tc>
          <w:tcPr>
            <w:tcW w:w="6160" w:type="dxa"/>
            <w:vAlign w:val="bottom"/>
            <w:gridSpan w:val="3"/>
          </w:tcPr>
          <w:p>
            <w:pPr>
              <w:jc w:val="center"/>
              <w:ind w:left="1821"/>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i w:val="1"/>
                <w:iCs w:val="1"/>
                <w:color w:val="auto"/>
                <w:w w:val="90"/>
              </w:rPr>
              <w:t>Registrant’s telephone number, including area code</w:t>
            </w:r>
            <w:r>
              <w:rPr>
                <w:rFonts w:ascii="Arial" w:cs="Arial" w:eastAsia="Arial" w:hAnsi="Arial"/>
                <w:sz w:val="18"/>
                <w:szCs w:val="18"/>
                <w:color w:val="auto"/>
                <w:w w:val="90"/>
              </w:rPr>
              <w:t>)</w:t>
            </w:r>
          </w:p>
        </w:tc>
        <w:tc>
          <w:tcPr>
            <w:tcW w:w="1280" w:type="dxa"/>
            <w:vAlign w:val="bottom"/>
          </w:tcPr>
          <w:p>
            <w:pPr>
              <w:spacing w:after="0"/>
              <w:rPr>
                <w:sz w:val="20"/>
                <w:szCs w:val="20"/>
                <w:color w:val="auto"/>
              </w:rPr>
            </w:pPr>
          </w:p>
        </w:tc>
      </w:tr>
    </w:tbl>
    <w:p>
      <w:pPr>
        <w:spacing w:after="0" w:line="71" w:lineRule="exact"/>
        <w:rPr>
          <w:sz w:val="24"/>
          <w:szCs w:val="24"/>
          <w:color w:val="auto"/>
        </w:rPr>
      </w:pPr>
    </w:p>
    <w:p>
      <w:pPr>
        <w:spacing w:after="0" w:line="206"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w:t>
      </w:r>
    </w:p>
    <w:p>
      <w:pPr>
        <w:spacing w:after="0" w:line="1"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02" w:lineRule="exact"/>
        <w:rPr>
          <w:sz w:val="24"/>
          <w:szCs w:val="24"/>
          <w:color w:val="auto"/>
        </w:rPr>
      </w:pPr>
    </w:p>
    <w:p>
      <w:pPr>
        <w:spacing w:after="0" w:line="214"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59" w:lineRule="exact"/>
        <w:rPr>
          <w:sz w:val="24"/>
          <w:szCs w:val="24"/>
          <w:color w:val="auto"/>
        </w:rPr>
      </w:pPr>
    </w:p>
    <w:p>
      <w:pPr>
        <w:jc w:val="both"/>
        <w:spacing w:after="0" w:line="205" w:lineRule="exact"/>
        <w:rPr>
          <w:sz w:val="20"/>
          <w:szCs w:val="20"/>
          <w:color w:val="auto"/>
        </w:rPr>
      </w:pPr>
      <w:r>
        <w:rPr>
          <w:rFonts w:ascii="Arial" w:cs="Arial" w:eastAsia="Arial" w:hAnsi="Arial"/>
          <w:sz w:val="15"/>
          <w:szCs w:val="15"/>
          <w:color w:val="auto"/>
        </w:rPr>
        <w:t>Indicate by check mark whether the registrant is a large accelerated filer, an accelerated filer, a non-accelerated filer, a smaller reporting company, or an emerging growth company. See the definition of “large accelerated filer”, “accelerated filer”, “smaller reporting company,” and “emerging growth company” in Rule 12b</w:t>
      </w:r>
      <w:r>
        <w:rPr>
          <w:rFonts w:ascii="MS PGothic" w:cs="MS PGothic" w:eastAsia="MS PGothic" w:hAnsi="MS PGothic"/>
          <w:sz w:val="15"/>
          <w:szCs w:val="15"/>
          <w:color w:val="auto"/>
        </w:rPr>
        <w:t>‑</w:t>
      </w:r>
      <w:r>
        <w:rPr>
          <w:rFonts w:ascii="Arial" w:cs="Arial" w:eastAsia="Arial" w:hAnsi="Arial"/>
          <w:sz w:val="15"/>
          <w:szCs w:val="15"/>
          <w:color w:val="auto"/>
        </w:rPr>
        <w:t>2 of the Exchange Act:</w:t>
      </w:r>
    </w:p>
    <w:p>
      <w:pPr>
        <w:spacing w:after="0" w:line="48" w:lineRule="exact"/>
        <w:rPr>
          <w:sz w:val="24"/>
          <w:szCs w:val="24"/>
          <w:color w:val="auto"/>
        </w:rPr>
      </w:pPr>
    </w:p>
    <w:tbl>
      <w:tblPr>
        <w:tblLayout w:type="fixed"/>
        <w:tblInd w:w="0" w:type="dxa"/>
        <w:tblCellMar>
          <w:top w:w="0" w:type="dxa"/>
          <w:left w:w="0" w:type="dxa"/>
          <w:bottom w:w="0" w:type="dxa"/>
          <w:right w:w="0" w:type="dxa"/>
        </w:tblCellMar>
      </w:tblPr>
      <w:tr>
        <w:trPr>
          <w:trHeight w:val="203"/>
        </w:trPr>
        <w:tc>
          <w:tcPr>
            <w:tcW w:w="172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7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440" w:type="dxa"/>
            <w:vAlign w:val="bottom"/>
          </w:tcPr>
          <w:p>
            <w:pPr>
              <w:ind w:left="3320"/>
              <w:spacing w:after="0"/>
              <w:rPr>
                <w:sz w:val="20"/>
                <w:szCs w:val="20"/>
                <w:color w:val="auto"/>
              </w:rPr>
            </w:pPr>
            <w:r>
              <w:rPr>
                <w:rFonts w:ascii="Arial" w:cs="Arial" w:eastAsia="Arial" w:hAnsi="Arial"/>
                <w:sz w:val="16"/>
                <w:szCs w:val="16"/>
                <w:color w:val="auto"/>
              </w:rPr>
              <w:t>Accelerated filer</w:t>
            </w:r>
          </w:p>
        </w:tc>
        <w:tc>
          <w:tcPr>
            <w:tcW w:w="500" w:type="dxa"/>
            <w:vAlign w:val="bottom"/>
          </w:tcPr>
          <w:p>
            <w:pPr>
              <w:ind w:left="3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03"/>
        </w:trPr>
        <w:tc>
          <w:tcPr>
            <w:tcW w:w="1720" w:type="dxa"/>
            <w:vAlign w:val="bottom"/>
          </w:tcPr>
          <w:p>
            <w:pPr>
              <w:spacing w:after="0"/>
              <w:rPr>
                <w:sz w:val="20"/>
                <w:szCs w:val="20"/>
                <w:color w:val="auto"/>
              </w:rPr>
            </w:pPr>
            <w:r>
              <w:rPr>
                <w:rFonts w:ascii="Arial" w:cs="Arial" w:eastAsia="Arial" w:hAnsi="Arial"/>
                <w:sz w:val="16"/>
                <w:szCs w:val="16"/>
                <w:color w:val="auto"/>
              </w:rPr>
              <w:t>Non-accelerated filer</w:t>
            </w:r>
          </w:p>
        </w:tc>
        <w:tc>
          <w:tcPr>
            <w:tcW w:w="37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440" w:type="dxa"/>
            <w:vAlign w:val="bottom"/>
          </w:tcPr>
          <w:p>
            <w:pPr>
              <w:ind w:left="3320"/>
              <w:spacing w:after="0"/>
              <w:rPr>
                <w:sz w:val="20"/>
                <w:szCs w:val="20"/>
                <w:color w:val="auto"/>
              </w:rPr>
            </w:pPr>
            <w:r>
              <w:rPr>
                <w:rFonts w:ascii="Arial" w:cs="Arial" w:eastAsia="Arial" w:hAnsi="Arial"/>
                <w:sz w:val="16"/>
                <w:szCs w:val="16"/>
                <w:color w:val="auto"/>
              </w:rPr>
              <w:t>Smaller reporting company</w:t>
            </w:r>
          </w:p>
        </w:tc>
        <w:tc>
          <w:tcPr>
            <w:tcW w:w="500" w:type="dxa"/>
            <w:vAlign w:val="bottom"/>
          </w:tcPr>
          <w:p>
            <w:pPr>
              <w:ind w:left="3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4"/>
        </w:trPr>
        <w:tc>
          <w:tcPr>
            <w:tcW w:w="1720" w:type="dxa"/>
            <w:vAlign w:val="bottom"/>
          </w:tcPr>
          <w:p>
            <w:pPr>
              <w:spacing w:after="0"/>
              <w:rPr>
                <w:sz w:val="22"/>
                <w:szCs w:val="22"/>
                <w:color w:val="auto"/>
              </w:rPr>
            </w:pPr>
          </w:p>
        </w:tc>
        <w:tc>
          <w:tcPr>
            <w:tcW w:w="3700" w:type="dxa"/>
            <w:vAlign w:val="bottom"/>
          </w:tcPr>
          <w:p>
            <w:pPr>
              <w:spacing w:after="0"/>
              <w:rPr>
                <w:sz w:val="22"/>
                <w:szCs w:val="22"/>
                <w:color w:val="auto"/>
              </w:rPr>
            </w:pPr>
          </w:p>
        </w:tc>
        <w:tc>
          <w:tcPr>
            <w:tcW w:w="5440" w:type="dxa"/>
            <w:vAlign w:val="bottom"/>
          </w:tcPr>
          <w:p>
            <w:pPr>
              <w:ind w:left="3320"/>
              <w:spacing w:after="0"/>
              <w:rPr>
                <w:sz w:val="20"/>
                <w:szCs w:val="20"/>
                <w:color w:val="auto"/>
              </w:rPr>
            </w:pPr>
            <w:r>
              <w:rPr>
                <w:rFonts w:ascii="Arial" w:cs="Arial" w:eastAsia="Arial" w:hAnsi="Arial"/>
                <w:sz w:val="16"/>
                <w:szCs w:val="16"/>
                <w:color w:val="auto"/>
              </w:rPr>
              <w:t>Emerging growth company</w:t>
            </w:r>
          </w:p>
        </w:tc>
        <w:tc>
          <w:tcPr>
            <w:tcW w:w="500" w:type="dxa"/>
            <w:vAlign w:val="bottom"/>
          </w:tcPr>
          <w:p>
            <w:pPr>
              <w:ind w:left="36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46" w:lineRule="exact"/>
        <w:rPr>
          <w:sz w:val="24"/>
          <w:szCs w:val="24"/>
          <w:color w:val="auto"/>
        </w:rPr>
      </w:pPr>
    </w:p>
    <w:p>
      <w:pPr>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6"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Indicate by check mark whether the registrant is a shell company (as defined in Rule 12b</w:t>
      </w:r>
      <w:r>
        <w:rPr>
          <w:rFonts w:ascii="MS PGothic" w:cs="MS PGothic" w:eastAsia="MS PGothic" w:hAnsi="MS PGothic"/>
          <w:sz w:val="16"/>
          <w:szCs w:val="16"/>
          <w:color w:val="auto"/>
        </w:rPr>
        <w:t>‑</w:t>
      </w:r>
      <w:r>
        <w:rPr>
          <w:rFonts w:ascii="Arial" w:cs="Arial" w:eastAsia="Arial" w:hAnsi="Arial"/>
          <w:sz w:val="16"/>
          <w:szCs w:val="16"/>
          <w:color w:val="auto"/>
        </w:rPr>
        <w:t xml:space="preserve">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w:t>
      </w:r>
      <w:r>
        <w:rPr>
          <w:rFonts w:ascii="MS PGothic" w:cs="MS PGothic" w:eastAsia="MS PGothic" w:hAnsi="MS PGothic"/>
          <w:sz w:val="16"/>
          <w:szCs w:val="16"/>
          <w:color w:val="auto"/>
        </w:rPr>
        <w:t>☒</w:t>
      </w:r>
    </w:p>
    <w:p>
      <w:pPr>
        <w:spacing w:after="0" w:line="125"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26" w:lineRule="exact"/>
        <w:rPr>
          <w:sz w:val="24"/>
          <w:szCs w:val="24"/>
          <w:color w:val="auto"/>
        </w:rPr>
      </w:pPr>
    </w:p>
    <w:tbl>
      <w:tblPr>
        <w:tblLayout w:type="fixed"/>
        <w:tblInd w:w="0" w:type="dxa"/>
        <w:tblCellMar>
          <w:top w:w="0" w:type="dxa"/>
          <w:left w:w="0" w:type="dxa"/>
          <w:bottom w:w="0" w:type="dxa"/>
          <w:right w:w="0" w:type="dxa"/>
        </w:tblCellMar>
      </w:tblPr>
      <w:tr>
        <w:trPr>
          <w:trHeight w:val="182"/>
        </w:trPr>
        <w:tc>
          <w:tcPr>
            <w:tcW w:w="4640" w:type="dxa"/>
            <w:vAlign w:val="bottom"/>
            <w:gridSpan w:val="2"/>
          </w:tcPr>
          <w:p>
            <w:pPr>
              <w:jc w:val="center"/>
              <w:ind w:right="160"/>
              <w:spacing w:after="0"/>
              <w:rPr>
                <w:sz w:val="20"/>
                <w:szCs w:val="20"/>
                <w:color w:val="auto"/>
              </w:rPr>
            </w:pPr>
            <w:r>
              <w:rPr>
                <w:rFonts w:ascii="Arial" w:cs="Arial" w:eastAsia="Arial" w:hAnsi="Arial"/>
                <w:sz w:val="14"/>
                <w:szCs w:val="14"/>
                <w:i w:val="1"/>
                <w:iCs w:val="1"/>
                <w:color w:val="auto"/>
                <w:w w:val="92"/>
              </w:rPr>
              <w:t>(Title of each class)</w:t>
            </w:r>
          </w:p>
        </w:tc>
        <w:tc>
          <w:tcPr>
            <w:tcW w:w="2240" w:type="dxa"/>
            <w:vAlign w:val="bottom"/>
            <w:gridSpan w:val="2"/>
          </w:tcPr>
          <w:p>
            <w:pPr>
              <w:jc w:val="center"/>
              <w:ind w:right="160"/>
              <w:spacing w:after="0"/>
              <w:rPr>
                <w:sz w:val="20"/>
                <w:szCs w:val="20"/>
                <w:color w:val="auto"/>
              </w:rPr>
            </w:pPr>
            <w:r>
              <w:rPr>
                <w:rFonts w:ascii="Arial" w:cs="Arial" w:eastAsia="Arial" w:hAnsi="Arial"/>
                <w:sz w:val="14"/>
                <w:szCs w:val="14"/>
                <w:i w:val="1"/>
                <w:iCs w:val="1"/>
                <w:color w:val="auto"/>
                <w:w w:val="95"/>
              </w:rPr>
              <w:t>(Trading symbol)</w:t>
            </w:r>
          </w:p>
        </w:tc>
        <w:tc>
          <w:tcPr>
            <w:tcW w:w="4540" w:type="dxa"/>
            <w:vAlign w:val="bottom"/>
          </w:tcPr>
          <w:p>
            <w:pPr>
              <w:jc w:val="center"/>
              <w:spacing w:after="0"/>
              <w:rPr>
                <w:sz w:val="20"/>
                <w:szCs w:val="20"/>
                <w:color w:val="auto"/>
              </w:rPr>
            </w:pPr>
            <w:r>
              <w:rPr>
                <w:rFonts w:ascii="Arial" w:cs="Arial" w:eastAsia="Arial" w:hAnsi="Arial"/>
                <w:sz w:val="14"/>
                <w:szCs w:val="14"/>
                <w:i w:val="1"/>
                <w:iCs w:val="1"/>
                <w:color w:val="auto"/>
                <w:w w:val="91"/>
              </w:rPr>
              <w:t>(Name of each exchange on which registered)</w:t>
            </w:r>
          </w:p>
        </w:tc>
        <w:tc>
          <w:tcPr>
            <w:tcW w:w="0" w:type="dxa"/>
            <w:vAlign w:val="bottom"/>
          </w:tcPr>
          <w:p>
            <w:pPr>
              <w:spacing w:after="0"/>
              <w:rPr>
                <w:sz w:val="1"/>
                <w:szCs w:val="1"/>
                <w:color w:val="auto"/>
              </w:rPr>
            </w:pPr>
          </w:p>
        </w:tc>
      </w:tr>
      <w:tr>
        <w:trPr>
          <w:trHeight w:val="26"/>
        </w:trPr>
        <w:tc>
          <w:tcPr>
            <w:tcW w:w="4480" w:type="dxa"/>
            <w:vAlign w:val="bottom"/>
            <w:tcBorders>
              <w:bottom w:val="single" w:sz="8" w:color="auto"/>
            </w:tcBorders>
          </w:tcPr>
          <w:p>
            <w:pPr>
              <w:spacing w:after="0"/>
              <w:rPr>
                <w:sz w:val="2"/>
                <w:szCs w:val="2"/>
                <w:color w:val="auto"/>
              </w:rPr>
            </w:pPr>
          </w:p>
        </w:tc>
        <w:tc>
          <w:tcPr>
            <w:tcW w:w="160" w:type="dxa"/>
            <w:vAlign w:val="bottom"/>
            <w:vMerge w:val="restart"/>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160" w:type="dxa"/>
            <w:vAlign w:val="bottom"/>
            <w:vMerge w:val="restart"/>
          </w:tcPr>
          <w:p>
            <w:pPr>
              <w:spacing w:after="0"/>
              <w:rPr>
                <w:sz w:val="2"/>
                <w:szCs w:val="2"/>
                <w:color w:val="auto"/>
              </w:rPr>
            </w:pPr>
          </w:p>
        </w:tc>
        <w:tc>
          <w:tcPr>
            <w:tcW w:w="4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4480" w:type="dxa"/>
            <w:vAlign w:val="bottom"/>
          </w:tcPr>
          <w:p>
            <w:pPr>
              <w:jc w:val="center"/>
              <w:spacing w:after="0"/>
              <w:rPr>
                <w:sz w:val="20"/>
                <w:szCs w:val="20"/>
                <w:color w:val="auto"/>
              </w:rPr>
            </w:pPr>
            <w:r>
              <w:rPr>
                <w:rFonts w:ascii="Arial" w:cs="Arial" w:eastAsia="Arial" w:hAnsi="Arial"/>
                <w:sz w:val="16"/>
                <w:szCs w:val="16"/>
                <w:b w:val="1"/>
                <w:bCs w:val="1"/>
                <w:color w:val="auto"/>
                <w:w w:val="90"/>
              </w:rPr>
              <w:t>Class A common stock, par value $0.0001 per share</w:t>
            </w:r>
          </w:p>
        </w:tc>
        <w:tc>
          <w:tcPr>
            <w:tcW w:w="160" w:type="dxa"/>
            <w:vAlign w:val="bottom"/>
            <w:vMerge w:val="continue"/>
          </w:tcPr>
          <w:p>
            <w:pPr>
              <w:spacing w:after="0"/>
              <w:rPr>
                <w:sz w:val="17"/>
                <w:szCs w:val="17"/>
                <w:color w:val="auto"/>
              </w:rPr>
            </w:pPr>
          </w:p>
        </w:tc>
        <w:tc>
          <w:tcPr>
            <w:tcW w:w="2080" w:type="dxa"/>
            <w:vAlign w:val="bottom"/>
          </w:tcPr>
          <w:p>
            <w:pPr>
              <w:jc w:val="center"/>
              <w:spacing w:after="0"/>
              <w:rPr>
                <w:sz w:val="20"/>
                <w:szCs w:val="20"/>
                <w:color w:val="auto"/>
              </w:rPr>
            </w:pPr>
            <w:r>
              <w:rPr>
                <w:rFonts w:ascii="Arial" w:cs="Arial" w:eastAsia="Arial" w:hAnsi="Arial"/>
                <w:sz w:val="16"/>
                <w:szCs w:val="16"/>
                <w:b w:val="1"/>
                <w:bCs w:val="1"/>
                <w:color w:val="auto"/>
              </w:rPr>
              <w:t>VRRM</w:t>
            </w:r>
          </w:p>
        </w:tc>
        <w:tc>
          <w:tcPr>
            <w:tcW w:w="160" w:type="dxa"/>
            <w:vAlign w:val="bottom"/>
            <w:vMerge w:val="continue"/>
          </w:tcPr>
          <w:p>
            <w:pPr>
              <w:spacing w:after="0"/>
              <w:rPr>
                <w:sz w:val="17"/>
                <w:szCs w:val="17"/>
                <w:color w:val="auto"/>
              </w:rPr>
            </w:pPr>
          </w:p>
        </w:tc>
        <w:tc>
          <w:tcPr>
            <w:tcW w:w="4540" w:type="dxa"/>
            <w:vAlign w:val="bottom"/>
          </w:tcPr>
          <w:p>
            <w:pPr>
              <w:jc w:val="center"/>
              <w:spacing w:after="0"/>
              <w:rPr>
                <w:sz w:val="20"/>
                <w:szCs w:val="20"/>
                <w:color w:val="auto"/>
              </w:rPr>
            </w:pPr>
            <w:r>
              <w:rPr>
                <w:rFonts w:ascii="Arial" w:cs="Arial" w:eastAsia="Arial" w:hAnsi="Arial"/>
                <w:sz w:val="16"/>
                <w:szCs w:val="16"/>
                <w:b w:val="1"/>
                <w:bCs w:val="1"/>
                <w:color w:val="auto"/>
                <w:w w:val="95"/>
              </w:rPr>
              <w:t>Nasdaq Capital Market</w:t>
            </w:r>
          </w:p>
        </w:tc>
        <w:tc>
          <w:tcPr>
            <w:tcW w:w="0" w:type="dxa"/>
            <w:vAlign w:val="bottom"/>
          </w:tcPr>
          <w:p>
            <w:pPr>
              <w:spacing w:after="0"/>
              <w:rPr>
                <w:sz w:val="1"/>
                <w:szCs w:val="1"/>
                <w:color w:val="auto"/>
              </w:rPr>
            </w:pPr>
          </w:p>
        </w:tc>
      </w:tr>
    </w:tbl>
    <w:p>
      <w:pPr>
        <w:spacing w:after="0" w:line="144" w:lineRule="exact"/>
        <w:rPr>
          <w:sz w:val="24"/>
          <w:szCs w:val="24"/>
          <w:color w:val="auto"/>
        </w:rPr>
      </w:pPr>
    </w:p>
    <w:p>
      <w:pPr>
        <w:spacing w:after="0"/>
        <w:rPr>
          <w:sz w:val="20"/>
          <w:szCs w:val="20"/>
          <w:color w:val="auto"/>
        </w:rPr>
      </w:pPr>
      <w:r>
        <w:rPr>
          <w:rFonts w:ascii="Arial" w:cs="Arial" w:eastAsia="Arial" w:hAnsi="Arial"/>
          <w:sz w:val="16"/>
          <w:szCs w:val="16"/>
          <w:color w:val="auto"/>
        </w:rPr>
        <w:t>As of August 1, 2019, there were 158,609,946 shares of the Company’s Class A common stock, par value $0.0001 per share, issued and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78105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95250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751205</wp:posOffset>
            </wp:positionV>
            <wp:extent cx="728916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774" w:right="239" w:bottom="1440" w:gutter="0" w:footer="0" w:header="0"/>
        </w:sectPr>
      </w:pPr>
    </w:p>
    <w:bookmarkStart w:id="1" w:name="page2"/>
    <w:bookmarkEnd w:id="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540" w:type="dxa"/>
            <w:vAlign w:val="bottom"/>
            <w:gridSpan w:val="8"/>
          </w:tcPr>
          <w:p>
            <w:pPr>
              <w:jc w:val="center"/>
              <w:ind w:right="1800"/>
              <w:spacing w:after="0"/>
              <w:rPr>
                <w:sz w:val="20"/>
                <w:szCs w:val="20"/>
                <w:color w:val="auto"/>
              </w:rPr>
            </w:pPr>
            <w:r>
              <w:rPr>
                <w:rFonts w:ascii="Arial" w:cs="Arial" w:eastAsia="Arial" w:hAnsi="Arial"/>
                <w:sz w:val="18"/>
                <w:szCs w:val="18"/>
                <w:b w:val="1"/>
                <w:bCs w:val="1"/>
                <w:color w:val="auto"/>
              </w:rPr>
              <w:t>VERRA MOBILITY CORPORATION</w:t>
            </w:r>
          </w:p>
        </w:tc>
        <w:tc>
          <w:tcPr>
            <w:tcW w:w="2060" w:type="dxa"/>
            <w:vAlign w:val="bottom"/>
          </w:tcPr>
          <w:p>
            <w:pPr>
              <w:spacing w:after="0"/>
              <w:rPr>
                <w:sz w:val="20"/>
                <w:szCs w:val="20"/>
                <w:color w:val="auto"/>
              </w:rPr>
            </w:pPr>
          </w:p>
        </w:tc>
      </w:tr>
      <w:tr>
        <w:trPr>
          <w:trHeight w:val="379"/>
        </w:trPr>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80" w:type="dxa"/>
            <w:vAlign w:val="bottom"/>
            <w:gridSpan w:val="6"/>
          </w:tcPr>
          <w:p>
            <w:pPr>
              <w:jc w:val="center"/>
              <w:ind w:right="2860"/>
              <w:spacing w:after="0"/>
              <w:rPr>
                <w:sz w:val="20"/>
                <w:szCs w:val="20"/>
                <w:color w:val="auto"/>
              </w:rPr>
            </w:pPr>
            <w:r>
              <w:rPr>
                <w:rFonts w:ascii="Arial" w:cs="Arial" w:eastAsia="Arial" w:hAnsi="Arial"/>
                <w:sz w:val="18"/>
                <w:szCs w:val="18"/>
                <w:b w:val="1"/>
                <w:bCs w:val="1"/>
                <w:color w:val="auto"/>
                <w:w w:val="99"/>
              </w:rPr>
              <w:t>FORM 10-Q</w:t>
            </w:r>
          </w:p>
        </w:tc>
        <w:tc>
          <w:tcPr>
            <w:tcW w:w="2060" w:type="dxa"/>
            <w:vAlign w:val="bottom"/>
          </w:tcPr>
          <w:p>
            <w:pPr>
              <w:spacing w:after="0"/>
              <w:rPr>
                <w:sz w:val="24"/>
                <w:szCs w:val="24"/>
                <w:color w:val="auto"/>
              </w:rPr>
            </w:pPr>
          </w:p>
        </w:tc>
      </w:tr>
      <w:tr>
        <w:trPr>
          <w:trHeight w:val="405"/>
        </w:trPr>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540" w:type="dxa"/>
            <w:vAlign w:val="bottom"/>
            <w:gridSpan w:val="8"/>
          </w:tcPr>
          <w:p>
            <w:pPr>
              <w:jc w:val="center"/>
              <w:ind w:right="1800"/>
              <w:spacing w:after="0"/>
              <w:rPr>
                <w:sz w:val="20"/>
                <w:szCs w:val="20"/>
                <w:color w:val="auto"/>
              </w:rPr>
            </w:pPr>
            <w:r>
              <w:rPr>
                <w:rFonts w:ascii="Arial" w:cs="Arial" w:eastAsia="Arial" w:hAnsi="Arial"/>
                <w:sz w:val="18"/>
                <w:szCs w:val="18"/>
                <w:b w:val="1"/>
                <w:bCs w:val="1"/>
                <w:color w:val="auto"/>
                <w:w w:val="98"/>
              </w:rPr>
              <w:t>FOR THE QUARTER ENDED JUNE 30, 2019</w:t>
            </w:r>
          </w:p>
        </w:tc>
        <w:tc>
          <w:tcPr>
            <w:tcW w:w="2060" w:type="dxa"/>
            <w:vAlign w:val="bottom"/>
          </w:tcPr>
          <w:p>
            <w:pPr>
              <w:spacing w:after="0"/>
              <w:rPr>
                <w:sz w:val="24"/>
                <w:szCs w:val="24"/>
                <w:color w:val="auto"/>
              </w:rPr>
            </w:pPr>
          </w:p>
        </w:tc>
      </w:tr>
      <w:tr>
        <w:trPr>
          <w:trHeight w:val="392"/>
        </w:trPr>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760" w:type="dxa"/>
            <w:vAlign w:val="bottom"/>
            <w:gridSpan w:val="7"/>
          </w:tcPr>
          <w:p>
            <w:pPr>
              <w:jc w:val="center"/>
              <w:ind w:right="2560"/>
              <w:spacing w:after="0"/>
              <w:rPr>
                <w:sz w:val="20"/>
                <w:szCs w:val="20"/>
                <w:color w:val="auto"/>
              </w:rPr>
            </w:pPr>
            <w:r>
              <w:rPr>
                <w:rFonts w:ascii="Arial" w:cs="Arial" w:eastAsia="Arial" w:hAnsi="Arial"/>
                <w:sz w:val="18"/>
                <w:szCs w:val="18"/>
                <w:b w:val="1"/>
                <w:bCs w:val="1"/>
                <w:color w:val="auto"/>
                <w:w w:val="98"/>
              </w:rPr>
              <w:t>TABLE OF CONTENTS</w:t>
            </w:r>
          </w:p>
        </w:tc>
        <w:tc>
          <w:tcPr>
            <w:tcW w:w="2060" w:type="dxa"/>
            <w:vAlign w:val="bottom"/>
          </w:tcPr>
          <w:p>
            <w:pPr>
              <w:spacing w:after="0"/>
              <w:rPr>
                <w:sz w:val="24"/>
                <w:szCs w:val="24"/>
                <w:color w:val="auto"/>
              </w:rPr>
            </w:pPr>
          </w:p>
        </w:tc>
      </w:tr>
      <w:tr>
        <w:trPr>
          <w:trHeight w:val="419"/>
        </w:trPr>
        <w:tc>
          <w:tcPr>
            <w:tcW w:w="9380" w:type="dxa"/>
            <w:vAlign w:val="bottom"/>
            <w:gridSpan w:val="22"/>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PART I—FINANCIAL INFORMATION</w:t>
              </w:r>
            </w:hyperlink>
          </w:p>
        </w:tc>
        <w:tc>
          <w:tcPr>
            <w:tcW w:w="20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23"/>
        </w:trPr>
        <w:tc>
          <w:tcPr>
            <w:tcW w:w="340" w:type="dxa"/>
            <w:vAlign w:val="bottom"/>
            <w:tcBorders>
              <w:top w:val="single" w:sz="8" w:color="0000EE"/>
            </w:tcBorders>
          </w:tcPr>
          <w:p>
            <w:pPr>
              <w:spacing w:after="0"/>
              <w:rPr>
                <w:sz w:val="19"/>
                <w:szCs w:val="19"/>
                <w:color w:val="auto"/>
              </w:rPr>
            </w:pPr>
          </w:p>
        </w:tc>
        <w:tc>
          <w:tcPr>
            <w:tcW w:w="2820" w:type="dxa"/>
            <w:vAlign w:val="bottom"/>
            <w:tcBorders>
              <w:top w:val="single" w:sz="8" w:color="0000EE"/>
            </w:tcBorders>
            <w:gridSpan w:val="11"/>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Item 1. Financial Statements</w:t>
              </w:r>
            </w:hyperlink>
            <w:r>
              <w:rPr>
                <w:rFonts w:ascii="Arial" w:cs="Arial" w:eastAsia="Arial" w:hAnsi="Arial"/>
                <w:sz w:val="18"/>
                <w:szCs w:val="18"/>
                <w:u w:val="single" w:color="auto"/>
                <w:color w:val="000000"/>
              </w:rPr>
              <w:t>.</w:t>
            </w:r>
          </w:p>
        </w:tc>
        <w:tc>
          <w:tcPr>
            <w:tcW w:w="6220" w:type="dxa"/>
            <w:vAlign w:val="bottom"/>
            <w:gridSpan w:val="10"/>
          </w:tcPr>
          <w:p>
            <w:pPr>
              <w:spacing w:after="0"/>
              <w:rPr>
                <w:sz w:val="19"/>
                <w:szCs w:val="19"/>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0"/>
        </w:trPr>
        <w:tc>
          <w:tcPr>
            <w:tcW w:w="34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r>
        <w:trPr>
          <w:trHeight w:val="223"/>
        </w:trPr>
        <w:tc>
          <w:tcPr>
            <w:tcW w:w="3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480" w:type="dxa"/>
            <w:vAlign w:val="bottom"/>
            <w:gridSpan w:val="20"/>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Condensed Consolidated Balance Sheets</w:t>
              </w:r>
            </w:hyperlink>
          </w:p>
        </w:tc>
        <w:tc>
          <w:tcPr>
            <w:tcW w:w="20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0"/>
        </w:trPr>
        <w:tc>
          <w:tcPr>
            <w:tcW w:w="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r>
        <w:trPr>
          <w:trHeight w:val="223"/>
        </w:trPr>
        <w:tc>
          <w:tcPr>
            <w:tcW w:w="3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240" w:type="dxa"/>
            <w:vAlign w:val="bottom"/>
            <w:tcBorders>
              <w:bottom w:val="single" w:sz="8" w:color="0000EE"/>
            </w:tcBorders>
            <w:gridSpan w:val="18"/>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Condensed Consolidated Statements of Operations and Comprehensive Income (Loss)</w:t>
              </w:r>
            </w:hyperlink>
          </w:p>
        </w:tc>
        <w:tc>
          <w:tcPr>
            <w:tcW w:w="2240" w:type="dxa"/>
            <w:vAlign w:val="bottom"/>
            <w:gridSpan w:val="2"/>
          </w:tcPr>
          <w:p>
            <w:pPr>
              <w:spacing w:after="0"/>
              <w:rPr>
                <w:sz w:val="19"/>
                <w:szCs w:val="19"/>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23"/>
        </w:trPr>
        <w:tc>
          <w:tcPr>
            <w:tcW w:w="3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480" w:type="dxa"/>
            <w:vAlign w:val="bottom"/>
            <w:gridSpan w:val="20"/>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Condensed Consolidated Statements of Stockholders’ Equity</w:t>
              </w:r>
            </w:hyperlink>
          </w:p>
        </w:tc>
        <w:tc>
          <w:tcPr>
            <w:tcW w:w="20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23"/>
        </w:trPr>
        <w:tc>
          <w:tcPr>
            <w:tcW w:w="3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400" w:type="dxa"/>
            <w:vAlign w:val="bottom"/>
            <w:tcBorders>
              <w:top w:val="single" w:sz="8" w:color="0000EE"/>
            </w:tcBorders>
            <w:gridSpan w:val="17"/>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Condensed Consolidated Statements of Cash Flows</w:t>
              </w:r>
            </w:hyperlink>
          </w:p>
        </w:tc>
        <w:tc>
          <w:tcPr>
            <w:tcW w:w="4080" w:type="dxa"/>
            <w:vAlign w:val="bottom"/>
            <w:gridSpan w:val="3"/>
          </w:tcPr>
          <w:p>
            <w:pPr>
              <w:spacing w:after="0"/>
              <w:rPr>
                <w:sz w:val="19"/>
                <w:szCs w:val="19"/>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0"/>
        </w:trPr>
        <w:tc>
          <w:tcPr>
            <w:tcW w:w="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40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3"/>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r>
        <w:trPr>
          <w:trHeight w:val="223"/>
        </w:trPr>
        <w:tc>
          <w:tcPr>
            <w:tcW w:w="3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480" w:type="dxa"/>
            <w:vAlign w:val="bottom"/>
            <w:gridSpan w:val="20"/>
          </w:tcPr>
          <w:p>
            <w:pPr>
              <w:spacing w:after="0"/>
              <w:rPr>
                <w:rFonts w:ascii="Arial" w:cs="Arial" w:eastAsia="Arial" w:hAnsi="Arial"/>
                <w:sz w:val="18"/>
                <w:szCs w:val="18"/>
                <w:color w:val="0000EE"/>
              </w:rPr>
            </w:pPr>
            <w:hyperlink w:anchor="page9">
              <w:r>
                <w:rPr>
                  <w:rFonts w:ascii="Arial" w:cs="Arial" w:eastAsia="Arial" w:hAnsi="Arial"/>
                  <w:sz w:val="18"/>
                  <w:szCs w:val="18"/>
                  <w:color w:val="0000EE"/>
                </w:rPr>
                <w:t>Notes to Condensed Consolidated Financial Statements</w:t>
              </w:r>
            </w:hyperlink>
          </w:p>
        </w:tc>
        <w:tc>
          <w:tcPr>
            <w:tcW w:w="206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0"/>
        </w:trPr>
        <w:tc>
          <w:tcPr>
            <w:tcW w:w="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680" w:type="dxa"/>
            <w:vAlign w:val="bottom"/>
            <w:gridSpan w:val="3"/>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3"/>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r>
        <w:trPr>
          <w:trHeight w:val="223"/>
        </w:trPr>
        <w:tc>
          <w:tcPr>
            <w:tcW w:w="340" w:type="dxa"/>
            <w:vAlign w:val="bottom"/>
          </w:tcPr>
          <w:p>
            <w:pPr>
              <w:spacing w:after="0"/>
              <w:rPr>
                <w:sz w:val="19"/>
                <w:szCs w:val="19"/>
                <w:color w:val="auto"/>
              </w:rPr>
            </w:pPr>
          </w:p>
        </w:tc>
        <w:tc>
          <w:tcPr>
            <w:tcW w:w="9040" w:type="dxa"/>
            <w:vAlign w:val="bottom"/>
            <w:gridSpan w:val="21"/>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Item 2. Management’s Discussion and Analysis of Financial Condition and Results of Operations</w:t>
              </w:r>
            </w:hyperlink>
          </w:p>
        </w:tc>
        <w:tc>
          <w:tcPr>
            <w:tcW w:w="206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23"/>
        </w:trPr>
        <w:tc>
          <w:tcPr>
            <w:tcW w:w="340" w:type="dxa"/>
            <w:vAlign w:val="bottom"/>
          </w:tcPr>
          <w:p>
            <w:pPr>
              <w:spacing w:after="0"/>
              <w:rPr>
                <w:sz w:val="19"/>
                <w:szCs w:val="19"/>
                <w:color w:val="auto"/>
              </w:rPr>
            </w:pPr>
          </w:p>
        </w:tc>
        <w:tc>
          <w:tcPr>
            <w:tcW w:w="4920" w:type="dxa"/>
            <w:vAlign w:val="bottom"/>
            <w:tcBorders>
              <w:top w:val="single" w:sz="8" w:color="0000EE"/>
              <w:bottom w:val="single" w:sz="8" w:color="0000EE"/>
            </w:tcBorders>
            <w:gridSpan w:val="17"/>
          </w:tcPr>
          <w:p>
            <w:pPr>
              <w:spacing w:after="0"/>
              <w:rPr>
                <w:rFonts w:ascii="Arial" w:cs="Arial" w:eastAsia="Arial" w:hAnsi="Arial"/>
                <w:sz w:val="18"/>
                <w:szCs w:val="18"/>
                <w:color w:val="0000EE"/>
                <w:w w:val="92"/>
              </w:rPr>
            </w:pPr>
            <w:hyperlink w:anchor="page46">
              <w:r>
                <w:rPr>
                  <w:rFonts w:ascii="Arial" w:cs="Arial" w:eastAsia="Arial" w:hAnsi="Arial"/>
                  <w:sz w:val="18"/>
                  <w:szCs w:val="18"/>
                  <w:color w:val="0000EE"/>
                  <w:w w:val="92"/>
                </w:rPr>
                <w:t>Item 3. Quantitative and Qualitative Disclosures About Market Risk</w:t>
              </w:r>
            </w:hyperlink>
          </w:p>
        </w:tc>
        <w:tc>
          <w:tcPr>
            <w:tcW w:w="2080" w:type="dxa"/>
            <w:vAlign w:val="bottom"/>
            <w:tcBorders>
              <w:top w:val="single" w:sz="8" w:color="0000EE"/>
            </w:tcBorders>
            <w:gridSpan w:val="3"/>
          </w:tcPr>
          <w:p>
            <w:pPr>
              <w:spacing w:after="0"/>
              <w:rPr>
                <w:sz w:val="19"/>
                <w:szCs w:val="19"/>
                <w:color w:val="auto"/>
              </w:rPr>
            </w:pPr>
          </w:p>
        </w:tc>
        <w:tc>
          <w:tcPr>
            <w:tcW w:w="2040" w:type="dxa"/>
            <w:vAlign w:val="bottom"/>
          </w:tcPr>
          <w:p>
            <w:pPr>
              <w:spacing w:after="0"/>
              <w:rPr>
                <w:sz w:val="19"/>
                <w:szCs w:val="19"/>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23"/>
        </w:trPr>
        <w:tc>
          <w:tcPr>
            <w:tcW w:w="340" w:type="dxa"/>
            <w:vAlign w:val="bottom"/>
          </w:tcPr>
          <w:p>
            <w:pPr>
              <w:spacing w:after="0"/>
              <w:rPr>
                <w:sz w:val="19"/>
                <w:szCs w:val="19"/>
                <w:color w:val="auto"/>
              </w:rPr>
            </w:pPr>
          </w:p>
        </w:tc>
        <w:tc>
          <w:tcPr>
            <w:tcW w:w="2340" w:type="dxa"/>
            <w:vAlign w:val="bottom"/>
            <w:tcBorders>
              <w:bottom w:val="single" w:sz="8" w:color="0000EE"/>
            </w:tcBorders>
            <w:gridSpan w:val="9"/>
          </w:tcPr>
          <w:p>
            <w:pPr>
              <w:spacing w:after="0"/>
              <w:rPr>
                <w:rFonts w:ascii="Arial" w:cs="Arial" w:eastAsia="Arial" w:hAnsi="Arial"/>
                <w:sz w:val="18"/>
                <w:szCs w:val="18"/>
                <w:color w:val="0000EE"/>
                <w:w w:val="89"/>
              </w:rPr>
            </w:pPr>
            <w:hyperlink w:anchor="page46">
              <w:r>
                <w:rPr>
                  <w:rFonts w:ascii="Arial" w:cs="Arial" w:eastAsia="Arial" w:hAnsi="Arial"/>
                  <w:sz w:val="18"/>
                  <w:szCs w:val="18"/>
                  <w:color w:val="0000EE"/>
                  <w:w w:val="89"/>
                </w:rPr>
                <w:t>Item 4. Controls and Procedures</w:t>
              </w:r>
            </w:hyperlink>
          </w:p>
        </w:tc>
        <w:tc>
          <w:tcPr>
            <w:tcW w:w="6700" w:type="dxa"/>
            <w:vAlign w:val="bottom"/>
            <w:gridSpan w:val="12"/>
          </w:tcPr>
          <w:p>
            <w:pPr>
              <w:spacing w:after="0"/>
              <w:rPr>
                <w:sz w:val="19"/>
                <w:szCs w:val="19"/>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23"/>
        </w:trPr>
        <w:tc>
          <w:tcPr>
            <w:tcW w:w="9380" w:type="dxa"/>
            <w:vAlign w:val="bottom"/>
            <w:gridSpan w:val="22"/>
          </w:tcPr>
          <w:p>
            <w:pPr>
              <w:spacing w:after="0"/>
              <w:rPr>
                <w:rFonts w:ascii="Arial" w:cs="Arial" w:eastAsia="Arial" w:hAnsi="Arial"/>
                <w:sz w:val="18"/>
                <w:szCs w:val="18"/>
                <w:b w:val="1"/>
                <w:bCs w:val="1"/>
                <w:color w:val="0000EE"/>
              </w:rPr>
            </w:pPr>
            <w:hyperlink w:anchor="page47">
              <w:r>
                <w:rPr>
                  <w:rFonts w:ascii="Arial" w:cs="Arial" w:eastAsia="Arial" w:hAnsi="Arial"/>
                  <w:sz w:val="18"/>
                  <w:szCs w:val="18"/>
                  <w:b w:val="1"/>
                  <w:bCs w:val="1"/>
                  <w:color w:val="0000EE"/>
                </w:rPr>
                <w:t>PART II—OTHER INFORMATION</w:t>
              </w:r>
            </w:hyperlink>
          </w:p>
        </w:tc>
        <w:tc>
          <w:tcPr>
            <w:tcW w:w="206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23"/>
        </w:trPr>
        <w:tc>
          <w:tcPr>
            <w:tcW w:w="340" w:type="dxa"/>
            <w:vAlign w:val="bottom"/>
            <w:tcBorders>
              <w:top w:val="single" w:sz="8" w:color="0000EE"/>
            </w:tcBorders>
          </w:tcPr>
          <w:p>
            <w:pPr>
              <w:spacing w:after="0"/>
              <w:rPr>
                <w:sz w:val="19"/>
                <w:szCs w:val="19"/>
                <w:color w:val="auto"/>
              </w:rPr>
            </w:pPr>
          </w:p>
        </w:tc>
        <w:tc>
          <w:tcPr>
            <w:tcW w:w="2520" w:type="dxa"/>
            <w:vAlign w:val="bottom"/>
            <w:tcBorders>
              <w:top w:val="single" w:sz="8" w:color="0000EE"/>
            </w:tcBorders>
            <w:gridSpan w:val="10"/>
          </w:tcPr>
          <w:p>
            <w:pPr>
              <w:spacing w:after="0"/>
              <w:rPr>
                <w:rFonts w:ascii="Arial" w:cs="Arial" w:eastAsia="Arial" w:hAnsi="Arial"/>
                <w:sz w:val="18"/>
                <w:szCs w:val="18"/>
                <w:color w:val="0000EE"/>
              </w:rPr>
            </w:pPr>
            <w:hyperlink w:anchor="page47">
              <w:r>
                <w:rPr>
                  <w:rFonts w:ascii="Arial" w:cs="Arial" w:eastAsia="Arial" w:hAnsi="Arial"/>
                  <w:sz w:val="18"/>
                  <w:szCs w:val="18"/>
                  <w:color w:val="0000EE"/>
                </w:rPr>
                <w:t>Item 1. Legal Proceedings</w:t>
              </w:r>
            </w:hyperlink>
          </w:p>
        </w:tc>
        <w:tc>
          <w:tcPr>
            <w:tcW w:w="6520" w:type="dxa"/>
            <w:vAlign w:val="bottom"/>
            <w:gridSpan w:val="11"/>
          </w:tcPr>
          <w:p>
            <w:pPr>
              <w:spacing w:after="0"/>
              <w:rPr>
                <w:sz w:val="19"/>
                <w:szCs w:val="19"/>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23"/>
        </w:trPr>
        <w:tc>
          <w:tcPr>
            <w:tcW w:w="340" w:type="dxa"/>
            <w:vAlign w:val="bottom"/>
          </w:tcPr>
          <w:p>
            <w:pPr>
              <w:spacing w:after="0"/>
              <w:rPr>
                <w:sz w:val="19"/>
                <w:szCs w:val="19"/>
                <w:color w:val="auto"/>
              </w:rPr>
            </w:pPr>
          </w:p>
        </w:tc>
        <w:tc>
          <w:tcPr>
            <w:tcW w:w="1880" w:type="dxa"/>
            <w:vAlign w:val="bottom"/>
            <w:tcBorders>
              <w:top w:val="single" w:sz="8" w:color="0000EE"/>
            </w:tcBorders>
            <w:gridSpan w:val="6"/>
          </w:tcPr>
          <w:p>
            <w:pPr>
              <w:spacing w:after="0"/>
              <w:rPr>
                <w:rFonts w:ascii="Arial" w:cs="Arial" w:eastAsia="Arial" w:hAnsi="Arial"/>
                <w:sz w:val="18"/>
                <w:szCs w:val="18"/>
                <w:color w:val="0000EE"/>
              </w:rPr>
            </w:pPr>
            <w:hyperlink w:anchor="page47">
              <w:r>
                <w:rPr>
                  <w:rFonts w:ascii="Arial" w:cs="Arial" w:eastAsia="Arial" w:hAnsi="Arial"/>
                  <w:sz w:val="18"/>
                  <w:szCs w:val="18"/>
                  <w:color w:val="0000EE"/>
                </w:rPr>
                <w:t>Item 1A. Risk Factors</w:t>
              </w:r>
            </w:hyperlink>
          </w:p>
        </w:tc>
        <w:tc>
          <w:tcPr>
            <w:tcW w:w="7160" w:type="dxa"/>
            <w:vAlign w:val="bottom"/>
            <w:gridSpan w:val="15"/>
          </w:tcPr>
          <w:p>
            <w:pPr>
              <w:spacing w:after="0"/>
              <w:rPr>
                <w:sz w:val="19"/>
                <w:szCs w:val="19"/>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0"/>
        </w:trPr>
        <w:tc>
          <w:tcPr>
            <w:tcW w:w="34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4140" w:type="dxa"/>
            <w:vAlign w:val="bottom"/>
            <w:gridSpan w:val="5"/>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r>
        <w:trPr>
          <w:trHeight w:val="223"/>
        </w:trPr>
        <w:tc>
          <w:tcPr>
            <w:tcW w:w="340" w:type="dxa"/>
            <w:vAlign w:val="bottom"/>
          </w:tcPr>
          <w:p>
            <w:pPr>
              <w:spacing w:after="0"/>
              <w:rPr>
                <w:sz w:val="19"/>
                <w:szCs w:val="19"/>
                <w:color w:val="auto"/>
              </w:rPr>
            </w:pPr>
          </w:p>
        </w:tc>
        <w:tc>
          <w:tcPr>
            <w:tcW w:w="4900" w:type="dxa"/>
            <w:vAlign w:val="bottom"/>
            <w:tcBorders>
              <w:bottom w:val="single" w:sz="8" w:color="0000EE"/>
            </w:tcBorders>
            <w:gridSpan w:val="16"/>
          </w:tcPr>
          <w:p>
            <w:pPr>
              <w:spacing w:after="0"/>
              <w:rPr>
                <w:rFonts w:ascii="Arial" w:cs="Arial" w:eastAsia="Arial" w:hAnsi="Arial"/>
                <w:sz w:val="18"/>
                <w:szCs w:val="18"/>
                <w:color w:val="0000EE"/>
                <w:w w:val="89"/>
              </w:rPr>
            </w:pPr>
            <w:hyperlink w:anchor="page47">
              <w:r>
                <w:rPr>
                  <w:rFonts w:ascii="Arial" w:cs="Arial" w:eastAsia="Arial" w:hAnsi="Arial"/>
                  <w:sz w:val="18"/>
                  <w:szCs w:val="18"/>
                  <w:color w:val="0000EE"/>
                  <w:w w:val="89"/>
                </w:rPr>
                <w:t>Item 2. Unregistered Sales of Equity Securities and Use of Proceeds</w:t>
              </w:r>
            </w:hyperlink>
          </w:p>
        </w:tc>
        <w:tc>
          <w:tcPr>
            <w:tcW w:w="4140" w:type="dxa"/>
            <w:vAlign w:val="bottom"/>
            <w:gridSpan w:val="5"/>
          </w:tcPr>
          <w:p>
            <w:pPr>
              <w:spacing w:after="0"/>
              <w:rPr>
                <w:sz w:val="19"/>
                <w:szCs w:val="19"/>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23"/>
        </w:trPr>
        <w:tc>
          <w:tcPr>
            <w:tcW w:w="340" w:type="dxa"/>
            <w:vAlign w:val="bottom"/>
          </w:tcPr>
          <w:p>
            <w:pPr>
              <w:spacing w:after="0"/>
              <w:rPr>
                <w:sz w:val="19"/>
                <w:szCs w:val="19"/>
                <w:color w:val="auto"/>
              </w:rPr>
            </w:pPr>
          </w:p>
        </w:tc>
        <w:tc>
          <w:tcPr>
            <w:tcW w:w="2880" w:type="dxa"/>
            <w:vAlign w:val="bottom"/>
            <w:tcBorders>
              <w:bottom w:val="single" w:sz="8" w:color="0000EE"/>
            </w:tcBorders>
            <w:gridSpan w:val="12"/>
          </w:tcPr>
          <w:p>
            <w:pPr>
              <w:spacing w:after="0"/>
              <w:rPr>
                <w:rFonts w:ascii="Arial" w:cs="Arial" w:eastAsia="Arial" w:hAnsi="Arial"/>
                <w:sz w:val="18"/>
                <w:szCs w:val="18"/>
                <w:color w:val="0000EE"/>
                <w:w w:val="90"/>
              </w:rPr>
            </w:pPr>
            <w:hyperlink w:anchor="page47">
              <w:r>
                <w:rPr>
                  <w:rFonts w:ascii="Arial" w:cs="Arial" w:eastAsia="Arial" w:hAnsi="Arial"/>
                  <w:sz w:val="18"/>
                  <w:szCs w:val="18"/>
                  <w:color w:val="0000EE"/>
                  <w:w w:val="90"/>
                </w:rPr>
                <w:t>Item 3. Defaults Upon Senior Securities</w:t>
              </w:r>
            </w:hyperlink>
          </w:p>
        </w:tc>
        <w:tc>
          <w:tcPr>
            <w:tcW w:w="6160" w:type="dxa"/>
            <w:vAlign w:val="bottom"/>
            <w:gridSpan w:val="9"/>
          </w:tcPr>
          <w:p>
            <w:pPr>
              <w:spacing w:after="0"/>
              <w:rPr>
                <w:sz w:val="19"/>
                <w:szCs w:val="19"/>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23"/>
        </w:trPr>
        <w:tc>
          <w:tcPr>
            <w:tcW w:w="340" w:type="dxa"/>
            <w:vAlign w:val="bottom"/>
          </w:tcPr>
          <w:p>
            <w:pPr>
              <w:spacing w:after="0"/>
              <w:rPr>
                <w:sz w:val="19"/>
                <w:szCs w:val="19"/>
                <w:color w:val="auto"/>
              </w:rPr>
            </w:pPr>
          </w:p>
        </w:tc>
        <w:tc>
          <w:tcPr>
            <w:tcW w:w="2320" w:type="dxa"/>
            <w:vAlign w:val="bottom"/>
            <w:tcBorders>
              <w:bottom w:val="single" w:sz="8" w:color="0000EE"/>
            </w:tcBorders>
            <w:gridSpan w:val="8"/>
          </w:tcPr>
          <w:p>
            <w:pPr>
              <w:spacing w:after="0"/>
              <w:rPr>
                <w:rFonts w:ascii="Arial" w:cs="Arial" w:eastAsia="Arial" w:hAnsi="Arial"/>
                <w:sz w:val="18"/>
                <w:szCs w:val="18"/>
                <w:color w:val="0000EE"/>
                <w:w w:val="90"/>
              </w:rPr>
            </w:pPr>
            <w:hyperlink w:anchor="page47">
              <w:r>
                <w:rPr>
                  <w:rFonts w:ascii="Arial" w:cs="Arial" w:eastAsia="Arial" w:hAnsi="Arial"/>
                  <w:sz w:val="18"/>
                  <w:szCs w:val="18"/>
                  <w:color w:val="0000EE"/>
                  <w:w w:val="90"/>
                </w:rPr>
                <w:t>Item 4. Mine Safety Disclosures</w:t>
              </w:r>
            </w:hyperlink>
          </w:p>
        </w:tc>
        <w:tc>
          <w:tcPr>
            <w:tcW w:w="6720" w:type="dxa"/>
            <w:vAlign w:val="bottom"/>
            <w:gridSpan w:val="13"/>
          </w:tcPr>
          <w:p>
            <w:pPr>
              <w:spacing w:after="0"/>
              <w:rPr>
                <w:sz w:val="19"/>
                <w:szCs w:val="19"/>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23"/>
        </w:trPr>
        <w:tc>
          <w:tcPr>
            <w:tcW w:w="340" w:type="dxa"/>
            <w:vAlign w:val="bottom"/>
          </w:tcPr>
          <w:p>
            <w:pPr>
              <w:spacing w:after="0"/>
              <w:rPr>
                <w:sz w:val="19"/>
                <w:szCs w:val="19"/>
                <w:color w:val="auto"/>
              </w:rPr>
            </w:pPr>
          </w:p>
        </w:tc>
        <w:tc>
          <w:tcPr>
            <w:tcW w:w="9040" w:type="dxa"/>
            <w:vAlign w:val="bottom"/>
            <w:gridSpan w:val="21"/>
          </w:tcPr>
          <w:p>
            <w:pPr>
              <w:spacing w:after="0"/>
              <w:rPr>
                <w:rFonts w:ascii="Arial" w:cs="Arial" w:eastAsia="Arial" w:hAnsi="Arial"/>
                <w:sz w:val="18"/>
                <w:szCs w:val="18"/>
                <w:color w:val="0000EE"/>
              </w:rPr>
            </w:pPr>
            <w:hyperlink w:anchor="page47">
              <w:r>
                <w:rPr>
                  <w:rFonts w:ascii="Arial" w:cs="Arial" w:eastAsia="Arial" w:hAnsi="Arial"/>
                  <w:sz w:val="18"/>
                  <w:szCs w:val="18"/>
                  <w:color w:val="0000EE"/>
                </w:rPr>
                <w:t>Item 5. Other Information</w:t>
              </w:r>
            </w:hyperlink>
          </w:p>
        </w:tc>
        <w:tc>
          <w:tcPr>
            <w:tcW w:w="206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23"/>
        </w:trPr>
        <w:tc>
          <w:tcPr>
            <w:tcW w:w="340" w:type="dxa"/>
            <w:vAlign w:val="bottom"/>
          </w:tcPr>
          <w:p>
            <w:pPr>
              <w:spacing w:after="0"/>
              <w:rPr>
                <w:sz w:val="19"/>
                <w:szCs w:val="19"/>
                <w:color w:val="auto"/>
              </w:rPr>
            </w:pPr>
          </w:p>
        </w:tc>
        <w:tc>
          <w:tcPr>
            <w:tcW w:w="1860" w:type="dxa"/>
            <w:vAlign w:val="bottom"/>
            <w:tcBorders>
              <w:top w:val="single" w:sz="8" w:color="0000EE"/>
            </w:tcBorders>
            <w:gridSpan w:val="5"/>
          </w:tcPr>
          <w:p>
            <w:pPr>
              <w:spacing w:after="0"/>
              <w:rPr>
                <w:rFonts w:ascii="Arial" w:cs="Arial" w:eastAsia="Arial" w:hAnsi="Arial"/>
                <w:sz w:val="18"/>
                <w:szCs w:val="18"/>
                <w:color w:val="0000EE"/>
              </w:rPr>
            </w:pPr>
            <w:hyperlink w:anchor="page48">
              <w:r>
                <w:rPr>
                  <w:rFonts w:ascii="Arial" w:cs="Arial" w:eastAsia="Arial" w:hAnsi="Arial"/>
                  <w:sz w:val="18"/>
                  <w:szCs w:val="18"/>
                  <w:color w:val="0000EE"/>
                </w:rPr>
                <w:t>Item 6. Exhibits</w:t>
              </w:r>
            </w:hyperlink>
          </w:p>
        </w:tc>
        <w:tc>
          <w:tcPr>
            <w:tcW w:w="7180" w:type="dxa"/>
            <w:vAlign w:val="bottom"/>
            <w:gridSpan w:val="16"/>
          </w:tcPr>
          <w:p>
            <w:pPr>
              <w:spacing w:after="0"/>
              <w:rPr>
                <w:sz w:val="19"/>
                <w:szCs w:val="19"/>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0"/>
        </w:trPr>
        <w:tc>
          <w:tcPr>
            <w:tcW w:w="34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7900" w:type="dxa"/>
            <w:vAlign w:val="bottom"/>
            <w:gridSpan w:val="18"/>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r>
        <w:trPr>
          <w:trHeight w:val="223"/>
        </w:trPr>
        <w:tc>
          <w:tcPr>
            <w:tcW w:w="9380" w:type="dxa"/>
            <w:vAlign w:val="bottom"/>
            <w:gridSpan w:val="22"/>
          </w:tcPr>
          <w:p>
            <w:pPr>
              <w:spacing w:after="0"/>
              <w:rPr>
                <w:rFonts w:ascii="Arial" w:cs="Arial" w:eastAsia="Arial" w:hAnsi="Arial"/>
                <w:sz w:val="18"/>
                <w:szCs w:val="18"/>
                <w:b w:val="1"/>
                <w:bCs w:val="1"/>
                <w:color w:val="0000EE"/>
              </w:rPr>
            </w:pPr>
            <w:hyperlink w:anchor="page50">
              <w:r>
                <w:rPr>
                  <w:rFonts w:ascii="Arial" w:cs="Arial" w:eastAsia="Arial" w:hAnsi="Arial"/>
                  <w:sz w:val="18"/>
                  <w:szCs w:val="18"/>
                  <w:b w:val="1"/>
                  <w:bCs w:val="1"/>
                  <w:color w:val="0000EE"/>
                </w:rPr>
                <w:t>SIGNATURES</w:t>
              </w:r>
            </w:hyperlink>
          </w:p>
        </w:tc>
        <w:tc>
          <w:tcPr>
            <w:tcW w:w="206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723"/>
        </w:trPr>
        <w:tc>
          <w:tcPr>
            <w:tcW w:w="1160" w:type="dxa"/>
            <w:vAlign w:val="bottom"/>
            <w:tcBorders>
              <w:top w:val="single" w:sz="8" w:color="0000EE"/>
            </w:tcBorders>
            <w:gridSpan w:val="3"/>
          </w:tcPr>
          <w:p>
            <w:pPr>
              <w:spacing w:after="0"/>
              <w:rPr>
                <w:sz w:val="24"/>
                <w:szCs w:val="24"/>
                <w:color w:val="auto"/>
              </w:rPr>
            </w:pPr>
          </w:p>
        </w:tc>
        <w:tc>
          <w:tcPr>
            <w:tcW w:w="5980" w:type="dxa"/>
            <w:vAlign w:val="bottom"/>
            <w:gridSpan w:val="17"/>
          </w:tcPr>
          <w:p>
            <w:pPr>
              <w:jc w:val="center"/>
              <w:ind w:left="3030"/>
              <w:spacing w:after="0"/>
              <w:rPr>
                <w:sz w:val="20"/>
                <w:szCs w:val="20"/>
                <w:color w:val="auto"/>
              </w:rPr>
            </w:pPr>
            <w:r>
              <w:rPr>
                <w:rFonts w:ascii="Arial" w:cs="Arial" w:eastAsia="Arial" w:hAnsi="Arial"/>
                <w:sz w:val="18"/>
                <w:szCs w:val="18"/>
                <w:color w:val="auto"/>
                <w:w w:val="99"/>
              </w:rPr>
              <w:t>2</w:t>
            </w:r>
          </w:p>
        </w:tc>
        <w:tc>
          <w:tcPr>
            <w:tcW w:w="20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115"/>
        </w:trPr>
        <w:tc>
          <w:tcPr>
            <w:tcW w:w="34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8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040" w:type="dxa"/>
            <w:vAlign w:val="bottom"/>
            <w:tcBorders>
              <w:bottom w:val="single" w:sz="8" w:color="9A9A9A"/>
            </w:tcBorders>
          </w:tcPr>
          <w:p>
            <w:pPr>
              <w:spacing w:after="0"/>
              <w:rPr>
                <w:sz w:val="10"/>
                <w:szCs w:val="10"/>
                <w:color w:val="auto"/>
              </w:rPr>
            </w:pPr>
          </w:p>
        </w:tc>
        <w:tc>
          <w:tcPr>
            <w:tcW w:w="20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30" w:right="219" w:bottom="1440" w:gutter="0" w:footer="0" w:header="0"/>
        </w:sectPr>
      </w:pPr>
    </w:p>
    <w:bookmarkStart w:id="2" w:name="page3"/>
    <w:bookmarkEnd w:id="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76" w:lineRule="exact"/>
        <w:rPr>
          <w:sz w:val="20"/>
          <w:szCs w:val="20"/>
          <w:color w:val="auto"/>
        </w:rPr>
      </w:pPr>
    </w:p>
    <w:p>
      <w:pPr>
        <w:jc w:val="both"/>
        <w:ind w:firstLine="815"/>
        <w:spacing w:after="0" w:line="268" w:lineRule="auto"/>
        <w:rPr>
          <w:sz w:val="20"/>
          <w:szCs w:val="20"/>
          <w:color w:val="auto"/>
        </w:rPr>
      </w:pPr>
      <w:r>
        <w:rPr>
          <w:rFonts w:ascii="Arial" w:cs="Arial" w:eastAsia="Arial" w:hAnsi="Arial"/>
          <w:sz w:val="17"/>
          <w:szCs w:val="17"/>
          <w:color w:val="auto"/>
        </w:rPr>
        <w:t>This Quarterly Report on Form 10-Q contains forward-looking statements within the meaning of federal securities laws. All statements contained in this Quarterly Report on Form 10-Q other than statements of historical fact, including statements regarding our future operating results and financial position, our business strategy and plans, products, services, and technology offerings, market conditions, growth and trends, expansion plans and opportunities and our objectives for future operations, are forward-looking statements. The words “believe,” “may,” “will,” “estimate,” “continue,” “anticipate,” “intend,” “expect,” “could,” “would,” “project,” “plan,” “potentially,” “preliminary,” “likely,” and similar expressions are intended to identify forward-looking statements. We have based these forward-looking statements largely on our current expectations and projections about future events and trends that we believe may affect our financial condition, results of operations, business strategy, short-term and long-term business operations and objectives, and financial needs. These forward-looking statements are subject to a number of risks, uncertainties, and assumptions, including those described in our Annual Report on Form 10-K/A for the year ended December 31, 2018, under Part I, Item 1A, “Risk Factors.” Moreover, we operate in a very competitive and rapidly changing environment. New risks emerge from time to time. It is not possible for our management to predict all risks, nor can we assess the effect of all factors on our business or the extent to which any factor, or combination of factors, may cause actual results to differ materially from those contained in any forward-looking statements we may make. In light of these risks, uncertainties, and assumptions, the future events and trends discussed in this Quarterly Report on Form 10-Q may not occur and actual results could differ materially and adversely from those anticipated or implied in the forward-looking statements.</w:t>
      </w:r>
    </w:p>
    <w:p>
      <w:pPr>
        <w:spacing w:after="0" w:line="158" w:lineRule="exact"/>
        <w:rPr>
          <w:sz w:val="20"/>
          <w:szCs w:val="20"/>
          <w:color w:val="auto"/>
        </w:rPr>
      </w:pPr>
    </w:p>
    <w:p>
      <w:pPr>
        <w:jc w:val="both"/>
        <w:ind w:firstLine="815"/>
        <w:spacing w:after="0" w:line="257" w:lineRule="auto"/>
        <w:rPr>
          <w:sz w:val="20"/>
          <w:szCs w:val="20"/>
          <w:color w:val="auto"/>
        </w:rPr>
      </w:pPr>
      <w:r>
        <w:rPr>
          <w:rFonts w:ascii="Arial" w:cs="Arial" w:eastAsia="Arial" w:hAnsi="Arial"/>
          <w:sz w:val="18"/>
          <w:szCs w:val="18"/>
          <w:color w:val="auto"/>
        </w:rPr>
        <w:t>You should not rely on forward-looking statements as predictions of future events. The events and circumstances reflected in the forward-looking statements may not occur. Although we believe that the expectations reflected in the forward-looking statements are reasonable, we cannot guarantee that the future results, performance, or events and circumstances reflected in the forward-looking statements will be achieved or occur. We undertake no obligation to update any of these forward-looking statements for any reason after the date of this Quarterly Report on Form 10-Q or to conform these statements to actual results or revised expectations.</w:t>
      </w:r>
    </w:p>
    <w:p>
      <w:pPr>
        <w:spacing w:after="0" w:line="148" w:lineRule="exact"/>
        <w:rPr>
          <w:sz w:val="20"/>
          <w:szCs w:val="20"/>
          <w:color w:val="auto"/>
        </w:rPr>
      </w:pPr>
    </w:p>
    <w:p>
      <w:pPr>
        <w:jc w:val="both"/>
        <w:ind w:firstLine="815"/>
        <w:spacing w:after="0" w:line="277" w:lineRule="auto"/>
        <w:rPr>
          <w:sz w:val="20"/>
          <w:szCs w:val="20"/>
          <w:color w:val="auto"/>
        </w:rPr>
      </w:pPr>
      <w:r>
        <w:rPr>
          <w:rFonts w:ascii="Arial" w:cs="Arial" w:eastAsia="Arial" w:hAnsi="Arial"/>
          <w:sz w:val="18"/>
          <w:szCs w:val="18"/>
          <w:color w:val="auto"/>
        </w:rPr>
        <w:t>Unless the context indicates otherwise, as used in this Quarterly Report on Form 10-Q, the terms “Verra Mobility,” the “Company,” “we,” “us,” and “our” refer to Verra Mobility Corporation, a Delaware corporation, and its subsidiaries taken as a whole, unless otherwise noted.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3" w:name="page4"/>
    <w:bookmarkEnd w:id="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I—FINANCIAL INFORMATION</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VERRA MOBILITY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40" w:type="dxa"/>
            <w:vAlign w:val="bottom"/>
            <w:gridSpan w:val="2"/>
            <w:vMerge w:val="restart"/>
          </w:tcPr>
          <w:p>
            <w:pPr>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thousands except per share data)</w:t>
            </w:r>
          </w:p>
        </w:tc>
        <w:tc>
          <w:tcPr>
            <w:tcW w:w="280" w:type="dxa"/>
            <w:vAlign w:val="bottom"/>
          </w:tcPr>
          <w:p>
            <w:pPr>
              <w:spacing w:after="0"/>
              <w:rPr>
                <w:sz w:val="14"/>
                <w:szCs w:val="14"/>
                <w:color w:val="auto"/>
              </w:rPr>
            </w:pPr>
          </w:p>
        </w:tc>
        <w:tc>
          <w:tcPr>
            <w:tcW w:w="148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rPr>
              <w:t>June 30,</w:t>
            </w:r>
          </w:p>
        </w:tc>
        <w:tc>
          <w:tcPr>
            <w:tcW w:w="200" w:type="dxa"/>
            <w:vAlign w:val="bottom"/>
          </w:tcPr>
          <w:p>
            <w:pPr>
              <w:spacing w:after="0"/>
              <w:rPr>
                <w:sz w:val="14"/>
                <w:szCs w:val="14"/>
                <w:color w:val="auto"/>
              </w:rPr>
            </w:pPr>
          </w:p>
        </w:tc>
        <w:tc>
          <w:tcPr>
            <w:tcW w:w="14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8"/>
        </w:trPr>
        <w:tc>
          <w:tcPr>
            <w:tcW w:w="804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tcPr>
          <w:p>
            <w:pPr>
              <w:jc w:val="right"/>
              <w:ind w:right="511"/>
              <w:spacing w:after="0" w:line="158" w:lineRule="exact"/>
              <w:rPr>
                <w:sz w:val="20"/>
                <w:szCs w:val="20"/>
                <w:color w:val="auto"/>
              </w:rPr>
            </w:pPr>
            <w:r>
              <w:rPr>
                <w:rFonts w:ascii="Arial" w:cs="Arial" w:eastAsia="Arial" w:hAnsi="Arial"/>
                <w:sz w:val="14"/>
                <w:szCs w:val="14"/>
                <w:b w:val="1"/>
                <w:bCs w:val="1"/>
                <w:color w:val="auto"/>
              </w:rPr>
              <w:t>2019</w:t>
            </w: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00" w:type="dxa"/>
            <w:vAlign w:val="bottom"/>
          </w:tcPr>
          <w:p>
            <w:pPr>
              <w:jc w:val="right"/>
              <w:ind w:right="531"/>
              <w:spacing w:after="0" w:line="158" w:lineRule="exact"/>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3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Assets</w:t>
            </w:r>
          </w:p>
        </w:tc>
        <w:tc>
          <w:tcPr>
            <w:tcW w:w="570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130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40" w:type="dxa"/>
            <w:vAlign w:val="bottom"/>
            <w:gridSpan w:val="2"/>
          </w:tcPr>
          <w:p>
            <w:pPr>
              <w:ind w:left="140"/>
              <w:spacing w:after="0"/>
              <w:rPr>
                <w:sz w:val="20"/>
                <w:szCs w:val="20"/>
                <w:color w:val="auto"/>
              </w:rPr>
            </w:pPr>
            <w:r>
              <w:rPr>
                <w:rFonts w:ascii="Arial" w:cs="Arial" w:eastAsia="Arial" w:hAnsi="Arial"/>
                <w:sz w:val="18"/>
                <w:szCs w:val="18"/>
                <w:color w:val="auto"/>
              </w:rPr>
              <w:t>Current assets:</w:t>
            </w: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280" w:type="dxa"/>
            <w:vAlign w:val="bottom"/>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92,247</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65,048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40" w:type="dxa"/>
            <w:vAlign w:val="bottom"/>
            <w:gridSpan w:val="2"/>
          </w:tcPr>
          <w:p>
            <w:pPr>
              <w:ind w:left="260"/>
              <w:spacing w:after="0"/>
              <w:rPr>
                <w:sz w:val="20"/>
                <w:szCs w:val="20"/>
                <w:color w:val="auto"/>
              </w:rPr>
            </w:pPr>
            <w:r>
              <w:rPr>
                <w:rFonts w:ascii="Arial" w:cs="Arial" w:eastAsia="Arial" w:hAnsi="Arial"/>
                <w:sz w:val="18"/>
                <w:szCs w:val="18"/>
                <w:color w:val="auto"/>
              </w:rPr>
              <w:t>Restricted cash</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1,743</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2,033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Accounts receivable, net</w:t>
            </w:r>
          </w:p>
        </w:tc>
        <w:tc>
          <w:tcPr>
            <w:tcW w:w="2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106,261</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87,511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40" w:type="dxa"/>
            <w:vAlign w:val="bottom"/>
            <w:gridSpan w:val="2"/>
          </w:tcPr>
          <w:p>
            <w:pPr>
              <w:ind w:left="260"/>
              <w:spacing w:after="0"/>
              <w:rPr>
                <w:sz w:val="20"/>
                <w:szCs w:val="20"/>
                <w:color w:val="auto"/>
              </w:rPr>
            </w:pPr>
            <w:r>
              <w:rPr>
                <w:rFonts w:ascii="Arial" w:cs="Arial" w:eastAsia="Arial" w:hAnsi="Arial"/>
                <w:sz w:val="18"/>
                <w:szCs w:val="18"/>
                <w:color w:val="auto"/>
              </w:rPr>
              <w:t>Unbilled receivables</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13,571</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12,956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28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21,646</w:t>
            </w:r>
          </w:p>
        </w:tc>
        <w:tc>
          <w:tcPr>
            <w:tcW w:w="28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17,600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040" w:type="dxa"/>
            <w:vAlign w:val="bottom"/>
            <w:gridSpan w:val="2"/>
          </w:tcPr>
          <w:p>
            <w:pPr>
              <w:spacing w:after="0"/>
              <w:rPr>
                <w:sz w:val="20"/>
                <w:szCs w:val="20"/>
                <w:color w:val="auto"/>
              </w:rPr>
            </w:pPr>
            <w:r>
              <w:rPr>
                <w:rFonts w:ascii="Arial" w:cs="Arial" w:eastAsia="Arial" w:hAnsi="Arial"/>
                <w:sz w:val="18"/>
                <w:szCs w:val="18"/>
                <w:color w:val="auto"/>
              </w:rPr>
              <w:t>Total current assets</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235,468</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185,148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4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Installation and service parts, net</w:t>
            </w:r>
          </w:p>
        </w:tc>
        <w:tc>
          <w:tcPr>
            <w:tcW w:w="2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10,028</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9,282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40" w:type="dxa"/>
            <w:vAlign w:val="bottom"/>
            <w:gridSpan w:val="2"/>
          </w:tcPr>
          <w:p>
            <w:pPr>
              <w:ind w:left="140"/>
              <w:spacing w:after="0"/>
              <w:rPr>
                <w:sz w:val="20"/>
                <w:szCs w:val="20"/>
                <w:color w:val="auto"/>
              </w:rPr>
            </w:pPr>
            <w:r>
              <w:rPr>
                <w:rFonts w:ascii="Arial" w:cs="Arial" w:eastAsia="Arial" w:hAnsi="Arial"/>
                <w:sz w:val="18"/>
                <w:szCs w:val="18"/>
                <w:color w:val="auto"/>
              </w:rPr>
              <w:t>Property and equipment, net</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65,907</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69,243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4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Intangible assets, net</w:t>
            </w:r>
          </w:p>
        </w:tc>
        <w:tc>
          <w:tcPr>
            <w:tcW w:w="2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468,213</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514,542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40" w:type="dxa"/>
            <w:vAlign w:val="bottom"/>
            <w:gridSpan w:val="2"/>
          </w:tcPr>
          <w:p>
            <w:pPr>
              <w:ind w:left="140"/>
              <w:spacing w:after="0"/>
              <w:rPr>
                <w:sz w:val="20"/>
                <w:szCs w:val="20"/>
                <w:color w:val="auto"/>
              </w:rPr>
            </w:pPr>
            <w:r>
              <w:rPr>
                <w:rFonts w:ascii="Arial" w:cs="Arial" w:eastAsia="Arial" w:hAnsi="Arial"/>
                <w:sz w:val="18"/>
                <w:szCs w:val="18"/>
                <w:color w:val="auto"/>
              </w:rPr>
              <w:t>Goodwill</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564,638</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564,723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4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Other non-current assets</w:t>
            </w:r>
          </w:p>
        </w:tc>
        <w:tc>
          <w:tcPr>
            <w:tcW w:w="28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2,197</w:t>
            </w:r>
          </w:p>
        </w:tc>
        <w:tc>
          <w:tcPr>
            <w:tcW w:w="28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1,845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804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Total assets</w:t>
            </w:r>
          </w:p>
        </w:tc>
        <w:tc>
          <w:tcPr>
            <w:tcW w:w="280" w:type="dxa"/>
            <w:vAlign w:val="bottom"/>
            <w:tcBorders>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1,346,451</w:t>
            </w:r>
          </w:p>
        </w:tc>
        <w:tc>
          <w:tcPr>
            <w:tcW w:w="280" w:type="dxa"/>
            <w:vAlign w:val="bottom"/>
            <w:tcBorders>
              <w:bottom w:val="single" w:sz="8" w:color="CFF0FC"/>
            </w:tcBorders>
          </w:tcPr>
          <w:p>
            <w:pPr>
              <w:spacing w:after="0"/>
              <w:rPr>
                <w:sz w:val="22"/>
                <w:szCs w:val="22"/>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1,344,783</w:t>
            </w:r>
          </w:p>
        </w:tc>
        <w:tc>
          <w:tcPr>
            <w:tcW w:w="12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80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Liabilities and stockholders' equity</w:t>
            </w:r>
          </w:p>
        </w:tc>
        <w:tc>
          <w:tcPr>
            <w:tcW w:w="2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40" w:type="dxa"/>
            <w:vAlign w:val="bottom"/>
            <w:gridSpan w:val="2"/>
          </w:tcPr>
          <w:p>
            <w:pPr>
              <w:ind w:left="140"/>
              <w:spacing w:after="0"/>
              <w:rPr>
                <w:sz w:val="20"/>
                <w:szCs w:val="20"/>
                <w:color w:val="auto"/>
              </w:rPr>
            </w:pPr>
            <w:r>
              <w:rPr>
                <w:rFonts w:ascii="Arial" w:cs="Arial" w:eastAsia="Arial" w:hAnsi="Arial"/>
                <w:sz w:val="18"/>
                <w:szCs w:val="18"/>
                <w:color w:val="auto"/>
              </w:rPr>
              <w:t>Current liabilities:</w:t>
            </w: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Accounts payable</w:t>
            </w:r>
          </w:p>
        </w:tc>
        <w:tc>
          <w:tcPr>
            <w:tcW w:w="280" w:type="dxa"/>
            <w:vAlign w:val="bottom"/>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49,318</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45,188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40" w:type="dxa"/>
            <w:vAlign w:val="bottom"/>
            <w:gridSpan w:val="2"/>
          </w:tcPr>
          <w:p>
            <w:pPr>
              <w:ind w:left="260"/>
              <w:spacing w:after="0"/>
              <w:rPr>
                <w:sz w:val="20"/>
                <w:szCs w:val="20"/>
                <w:color w:val="auto"/>
              </w:rPr>
            </w:pPr>
            <w:r>
              <w:rPr>
                <w:rFonts w:ascii="Arial" w:cs="Arial" w:eastAsia="Arial" w:hAnsi="Arial"/>
                <w:sz w:val="18"/>
                <w:szCs w:val="18"/>
                <w:color w:val="auto"/>
              </w:rPr>
              <w:t>Accrued liabilities</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20,295</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14,444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Current portion of long-term debt</w:t>
            </w:r>
          </w:p>
        </w:tc>
        <w:tc>
          <w:tcPr>
            <w:tcW w:w="28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9,104</w:t>
            </w:r>
          </w:p>
        </w:tc>
        <w:tc>
          <w:tcPr>
            <w:tcW w:w="28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9,104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040" w:type="dxa"/>
            <w:vAlign w:val="bottom"/>
            <w:gridSpan w:val="2"/>
          </w:tcPr>
          <w:p>
            <w:pPr>
              <w:spacing w:after="0"/>
              <w:rPr>
                <w:sz w:val="20"/>
                <w:szCs w:val="20"/>
                <w:color w:val="auto"/>
              </w:rPr>
            </w:pPr>
            <w:r>
              <w:rPr>
                <w:rFonts w:ascii="Arial" w:cs="Arial" w:eastAsia="Arial" w:hAnsi="Arial"/>
                <w:sz w:val="18"/>
                <w:szCs w:val="18"/>
                <w:color w:val="auto"/>
              </w:rPr>
              <w:t>Total current liabilities</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78,717</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68,736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4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Long-term debt, net of current portion and deferred financing costs</w:t>
            </w:r>
          </w:p>
        </w:tc>
        <w:tc>
          <w:tcPr>
            <w:tcW w:w="2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859,133</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860,249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40" w:type="dxa"/>
            <w:vAlign w:val="bottom"/>
            <w:gridSpan w:val="2"/>
          </w:tcPr>
          <w:p>
            <w:pPr>
              <w:ind w:left="140"/>
              <w:spacing w:after="0"/>
              <w:rPr>
                <w:sz w:val="20"/>
                <w:szCs w:val="20"/>
                <w:color w:val="auto"/>
              </w:rPr>
            </w:pPr>
            <w:r>
              <w:rPr>
                <w:rFonts w:ascii="Arial" w:cs="Arial" w:eastAsia="Arial" w:hAnsi="Arial"/>
                <w:sz w:val="18"/>
                <w:szCs w:val="18"/>
                <w:color w:val="auto"/>
              </w:rPr>
              <w:t>Other long-term liabilities</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3,764</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3,369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4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Payable related to tax receivable agreement</w:t>
            </w:r>
          </w:p>
        </w:tc>
        <w:tc>
          <w:tcPr>
            <w:tcW w:w="2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66,097</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69,996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40" w:type="dxa"/>
            <w:vAlign w:val="bottom"/>
            <w:gridSpan w:val="2"/>
          </w:tcPr>
          <w:p>
            <w:pPr>
              <w:ind w:left="140"/>
              <w:spacing w:after="0"/>
              <w:rPr>
                <w:sz w:val="20"/>
                <w:szCs w:val="20"/>
                <w:color w:val="auto"/>
              </w:rPr>
            </w:pPr>
            <w:r>
              <w:rPr>
                <w:rFonts w:ascii="Arial" w:cs="Arial" w:eastAsia="Arial" w:hAnsi="Arial"/>
                <w:sz w:val="18"/>
                <w:szCs w:val="18"/>
                <w:color w:val="auto"/>
              </w:rPr>
              <w:t>Asset retirement obligation</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6,873</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6,750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4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Deferred tax liabilities</w:t>
            </w:r>
          </w:p>
        </w:tc>
        <w:tc>
          <w:tcPr>
            <w:tcW w:w="28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22,039</w:t>
            </w:r>
          </w:p>
        </w:tc>
        <w:tc>
          <w:tcPr>
            <w:tcW w:w="28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33,627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040" w:type="dxa"/>
            <w:vAlign w:val="bottom"/>
            <w:gridSpan w:val="2"/>
          </w:tcPr>
          <w:p>
            <w:pPr>
              <w:spacing w:after="0"/>
              <w:rPr>
                <w:sz w:val="20"/>
                <w:szCs w:val="20"/>
                <w:color w:val="auto"/>
              </w:rPr>
            </w:pPr>
            <w:r>
              <w:rPr>
                <w:rFonts w:ascii="Arial" w:cs="Arial" w:eastAsia="Arial" w:hAnsi="Arial"/>
                <w:sz w:val="18"/>
                <w:szCs w:val="18"/>
                <w:color w:val="auto"/>
              </w:rPr>
              <w:t>Total liabilities</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1,036,623</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1,042,727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Commitments and Contingencies (Note 14)</w:t>
            </w:r>
          </w:p>
        </w:tc>
        <w:tc>
          <w:tcPr>
            <w:tcW w:w="28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40" w:type="dxa"/>
            <w:vAlign w:val="bottom"/>
            <w:gridSpan w:val="2"/>
          </w:tcPr>
          <w:p>
            <w:pPr>
              <w:spacing w:after="0"/>
              <w:rPr>
                <w:sz w:val="20"/>
                <w:szCs w:val="20"/>
                <w:color w:val="auto"/>
              </w:rPr>
            </w:pPr>
            <w:r>
              <w:rPr>
                <w:rFonts w:ascii="Arial" w:cs="Arial" w:eastAsia="Arial" w:hAnsi="Arial"/>
                <w:sz w:val="18"/>
                <w:szCs w:val="18"/>
                <w:color w:val="auto"/>
              </w:rPr>
              <w:t>Stockholders' equity</w:t>
            </w: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4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Preferred stock, $.0001 par value</w:t>
            </w:r>
          </w:p>
        </w:tc>
        <w:tc>
          <w:tcPr>
            <w:tcW w:w="28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040" w:type="dxa"/>
            <w:vAlign w:val="bottom"/>
            <w:gridSpan w:val="2"/>
          </w:tcPr>
          <w:p>
            <w:pPr>
              <w:ind w:left="140"/>
              <w:spacing w:after="0"/>
              <w:rPr>
                <w:sz w:val="20"/>
                <w:szCs w:val="20"/>
                <w:color w:val="auto"/>
              </w:rPr>
            </w:pPr>
            <w:r>
              <w:rPr>
                <w:rFonts w:ascii="Arial" w:cs="Arial" w:eastAsia="Arial" w:hAnsi="Arial"/>
                <w:sz w:val="18"/>
                <w:szCs w:val="18"/>
                <w:color w:val="auto"/>
              </w:rPr>
              <w:t>Common stock, $.0001 par value</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4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Common stock contingent consideration</w:t>
            </w:r>
          </w:p>
        </w:tc>
        <w:tc>
          <w:tcPr>
            <w:tcW w:w="2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54,862</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73,150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40" w:type="dxa"/>
            <w:vAlign w:val="bottom"/>
            <w:gridSpan w:val="2"/>
          </w:tcPr>
          <w:p>
            <w:pPr>
              <w:ind w:left="140"/>
              <w:spacing w:after="0"/>
              <w:rPr>
                <w:sz w:val="20"/>
                <w:szCs w:val="20"/>
                <w:color w:val="auto"/>
              </w:rPr>
            </w:pPr>
            <w:r>
              <w:rPr>
                <w:rFonts w:ascii="Arial" w:cs="Arial" w:eastAsia="Arial" w:hAnsi="Arial"/>
                <w:sz w:val="18"/>
                <w:szCs w:val="18"/>
                <w:color w:val="auto"/>
              </w:rPr>
              <w:t>Additional paid-in capital</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367,995</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348,017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4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Accumulated deficit</w:t>
            </w:r>
          </w:p>
        </w:tc>
        <w:tc>
          <w:tcPr>
            <w:tcW w:w="28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(107,152)</w:t>
            </w:r>
          </w:p>
        </w:tc>
        <w:tc>
          <w:tcPr>
            <w:tcW w:w="20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(113,306)</w:t>
            </w:r>
          </w:p>
        </w:tc>
        <w:tc>
          <w:tcPr>
            <w:tcW w:w="0" w:type="dxa"/>
            <w:vAlign w:val="bottom"/>
          </w:tcPr>
          <w:p>
            <w:pPr>
              <w:spacing w:after="0"/>
              <w:rPr>
                <w:sz w:val="1"/>
                <w:szCs w:val="1"/>
                <w:color w:val="auto"/>
              </w:rPr>
            </w:pPr>
          </w:p>
        </w:tc>
      </w:tr>
      <w:tr>
        <w:trPr>
          <w:trHeight w:val="230"/>
        </w:trPr>
        <w:tc>
          <w:tcPr>
            <w:tcW w:w="8040" w:type="dxa"/>
            <w:vAlign w:val="bottom"/>
            <w:gridSpan w:val="2"/>
          </w:tcPr>
          <w:p>
            <w:pPr>
              <w:ind w:left="140"/>
              <w:spacing w:after="0"/>
              <w:rPr>
                <w:sz w:val="20"/>
                <w:szCs w:val="20"/>
                <w:color w:val="auto"/>
              </w:rPr>
            </w:pPr>
            <w:r>
              <w:rPr>
                <w:rFonts w:ascii="Arial" w:cs="Arial" w:eastAsia="Arial" w:hAnsi="Arial"/>
                <w:sz w:val="18"/>
                <w:szCs w:val="18"/>
                <w:color w:val="auto"/>
              </w:rPr>
              <w:t>Accumulated other comprehensive loss</w:t>
            </w:r>
          </w:p>
        </w:tc>
        <w:tc>
          <w:tcPr>
            <w:tcW w:w="280" w:type="dxa"/>
            <w:vAlign w:val="bottom"/>
          </w:tcPr>
          <w:p>
            <w:pPr>
              <w:spacing w:after="0"/>
              <w:rPr>
                <w:sz w:val="19"/>
                <w:szCs w:val="19"/>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(5,893)</w:t>
            </w:r>
          </w:p>
        </w:tc>
        <w:tc>
          <w:tcPr>
            <w:tcW w:w="200" w:type="dxa"/>
            <w:vAlign w:val="bottom"/>
          </w:tcPr>
          <w:p>
            <w:pPr>
              <w:spacing w:after="0"/>
              <w:rPr>
                <w:sz w:val="19"/>
                <w:szCs w:val="19"/>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(5,821)</w:t>
            </w:r>
          </w:p>
        </w:tc>
        <w:tc>
          <w:tcPr>
            <w:tcW w:w="0" w:type="dxa"/>
            <w:vAlign w:val="bottom"/>
          </w:tcPr>
          <w:p>
            <w:pPr>
              <w:spacing w:after="0"/>
              <w:rPr>
                <w:sz w:val="1"/>
                <w:szCs w:val="1"/>
                <w:color w:val="auto"/>
              </w:rPr>
            </w:pPr>
          </w:p>
        </w:tc>
      </w:tr>
      <w:tr>
        <w:trPr>
          <w:trHeight w:val="223"/>
        </w:trPr>
        <w:tc>
          <w:tcPr>
            <w:tcW w:w="804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 stockholders' equity</w:t>
            </w:r>
          </w:p>
        </w:tc>
        <w:tc>
          <w:tcPr>
            <w:tcW w:w="280" w:type="dxa"/>
            <w:vAlign w:val="bottom"/>
            <w:tcBorders>
              <w:top w:val="single" w:sz="8" w:color="auto"/>
              <w:bottom w:val="single" w:sz="8" w:color="auto"/>
            </w:tcBorders>
            <w:shd w:val="clear" w:color="auto" w:fill="CFF0FC"/>
          </w:tcPr>
          <w:p>
            <w:pPr>
              <w:spacing w:after="0"/>
              <w:rPr>
                <w:sz w:val="19"/>
                <w:szCs w:val="19"/>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309,828</w:t>
            </w:r>
          </w:p>
        </w:tc>
        <w:tc>
          <w:tcPr>
            <w:tcW w:w="2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302,056</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040" w:type="dxa"/>
            <w:vAlign w:val="bottom"/>
            <w:gridSpan w:val="2"/>
          </w:tcPr>
          <w:p>
            <w:pPr>
              <w:spacing w:after="0"/>
              <w:rPr>
                <w:sz w:val="20"/>
                <w:szCs w:val="20"/>
                <w:color w:val="auto"/>
              </w:rPr>
            </w:pPr>
            <w:r>
              <w:rPr>
                <w:rFonts w:ascii="Arial" w:cs="Arial" w:eastAsia="Arial" w:hAnsi="Arial"/>
                <w:sz w:val="18"/>
                <w:szCs w:val="18"/>
                <w:color w:val="auto"/>
              </w:rPr>
              <w:t>Total liabilities and stockholders' equity</w:t>
            </w:r>
          </w:p>
        </w:tc>
        <w:tc>
          <w:tcPr>
            <w:tcW w:w="280" w:type="dxa"/>
            <w:vAlign w:val="bottom"/>
            <w:tcBorders>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1,346,451</w:t>
            </w:r>
          </w:p>
        </w:tc>
        <w:tc>
          <w:tcPr>
            <w:tcW w:w="280" w:type="dxa"/>
            <w:vAlign w:val="bottom"/>
          </w:tcPr>
          <w:p>
            <w:pPr>
              <w:spacing w:after="0"/>
              <w:rPr>
                <w:sz w:val="19"/>
                <w:szCs w:val="19"/>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1,344,783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34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4" w:name="page5"/>
    <w:bookmarkEnd w:id="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VERRA MOBILITY CORPORATION</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1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 except per share data)</w:t>
            </w:r>
          </w:p>
        </w:tc>
        <w:tc>
          <w:tcPr>
            <w:tcW w:w="280" w:type="dxa"/>
            <w:vAlign w:val="bottom"/>
          </w:tcPr>
          <w:p>
            <w:pPr>
              <w:spacing w:after="0"/>
              <w:rPr>
                <w:sz w:val="14"/>
                <w:szCs w:val="14"/>
                <w:color w:val="auto"/>
              </w:rPr>
            </w:pPr>
          </w:p>
        </w:tc>
        <w:tc>
          <w:tcPr>
            <w:tcW w:w="2780" w:type="dxa"/>
            <w:vAlign w:val="bottom"/>
            <w:gridSpan w:val="6"/>
          </w:tcPr>
          <w:p>
            <w:pPr>
              <w:ind w:left="220"/>
              <w:spacing w:after="0"/>
              <w:rPr>
                <w:sz w:val="20"/>
                <w:szCs w:val="20"/>
                <w:color w:val="auto"/>
              </w:rPr>
            </w:pPr>
            <w:r>
              <w:rPr>
                <w:rFonts w:ascii="Arial" w:cs="Arial" w:eastAsia="Arial" w:hAnsi="Arial"/>
                <w:sz w:val="14"/>
                <w:szCs w:val="14"/>
                <w:b w:val="1"/>
                <w:bCs w:val="1"/>
                <w:color w:val="auto"/>
              </w:rPr>
              <w:t>Three Months Ended June 30,</w:t>
            </w: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720" w:type="dxa"/>
            <w:vAlign w:val="bottom"/>
            <w:gridSpan w:val="5"/>
          </w:tcPr>
          <w:p>
            <w:pPr>
              <w:jc w:val="right"/>
              <w:ind w:right="72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62"/>
        </w:trPr>
        <w:tc>
          <w:tcPr>
            <w:tcW w:w="5180" w:type="dxa"/>
            <w:vAlign w:val="bottom"/>
            <w:gridSpan w:val="2"/>
            <w:vMerge w:val="continue"/>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ind w:left="220"/>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jc w:val="right"/>
              <w:ind w:right="435"/>
              <w:spacing w:after="0" w:line="142" w:lineRule="exact"/>
              <w:rPr>
                <w:sz w:val="20"/>
                <w:szCs w:val="20"/>
                <w:color w:val="auto"/>
              </w:rPr>
            </w:pPr>
            <w:r>
              <w:rPr>
                <w:rFonts w:ascii="Arial" w:cs="Arial" w:eastAsia="Arial" w:hAnsi="Arial"/>
                <w:sz w:val="14"/>
                <w:szCs w:val="14"/>
                <w:b w:val="1"/>
                <w:bCs w:val="1"/>
                <w:color w:val="auto"/>
              </w:rPr>
              <w:t>2018</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jc w:val="right"/>
              <w:ind w:right="436"/>
              <w:spacing w:after="0" w:line="142" w:lineRule="exact"/>
              <w:rPr>
                <w:sz w:val="20"/>
                <w:szCs w:val="20"/>
                <w:color w:val="auto"/>
              </w:rPr>
            </w:pPr>
            <w:r>
              <w:rPr>
                <w:rFonts w:ascii="Arial" w:cs="Arial" w:eastAsia="Arial" w:hAnsi="Arial"/>
                <w:sz w:val="14"/>
                <w:szCs w:val="14"/>
                <w:b w:val="1"/>
                <w:bCs w:val="1"/>
                <w:color w:val="auto"/>
              </w:rPr>
              <w:t>2019</w:t>
            </w:r>
          </w:p>
        </w:tc>
        <w:tc>
          <w:tcPr>
            <w:tcW w:w="28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jc w:val="right"/>
              <w:ind w:right="435"/>
              <w:spacing w:after="0" w:line="142" w:lineRule="exact"/>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2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7"/>
                <w:szCs w:val="17"/>
                <w:color w:val="auto"/>
              </w:rPr>
              <w:t>Service revenue</w:t>
            </w:r>
          </w:p>
        </w:tc>
        <w:tc>
          <w:tcPr>
            <w:tcW w:w="2900" w:type="dxa"/>
            <w:vAlign w:val="bottom"/>
            <w:tcBorders>
              <w:top w:val="single" w:sz="8" w:color="CFF0FC"/>
            </w:tcBorders>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103,057</w:t>
            </w:r>
          </w:p>
        </w:tc>
        <w:tc>
          <w:tcPr>
            <w:tcW w:w="16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97,044</w:t>
            </w:r>
          </w:p>
        </w:tc>
        <w:tc>
          <w:tcPr>
            <w:tcW w:w="20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jc w:val="right"/>
              <w:ind w:right="115"/>
              <w:spacing w:after="0"/>
              <w:rPr>
                <w:sz w:val="20"/>
                <w:szCs w:val="20"/>
                <w:color w:val="auto"/>
              </w:rPr>
            </w:pPr>
            <w:r>
              <w:rPr>
                <w:rFonts w:ascii="Arial" w:cs="Arial" w:eastAsia="Arial" w:hAnsi="Arial"/>
                <w:sz w:val="17"/>
                <w:szCs w:val="17"/>
                <w:color w:val="auto"/>
                <w:w w:val="84"/>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201,127</w:t>
            </w:r>
          </w:p>
        </w:tc>
        <w:tc>
          <w:tcPr>
            <w:tcW w:w="280" w:type="dxa"/>
            <w:vAlign w:val="bottom"/>
            <w:tcBorders>
              <w:top w:val="single" w:sz="8" w:color="CFF0FC"/>
            </w:tcBorders>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166,050</w:t>
            </w: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180" w:type="dxa"/>
            <w:vAlign w:val="bottom"/>
            <w:tcBorders>
              <w:bottom w:val="single" w:sz="8" w:color="CFF0FC"/>
            </w:tcBorders>
            <w:gridSpan w:val="2"/>
          </w:tcPr>
          <w:p>
            <w:pPr>
              <w:spacing w:after="0"/>
              <w:rPr>
                <w:sz w:val="20"/>
                <w:szCs w:val="20"/>
                <w:color w:val="auto"/>
              </w:rPr>
            </w:pPr>
            <w:r>
              <w:rPr>
                <w:rFonts w:ascii="Arial" w:cs="Arial" w:eastAsia="Arial" w:hAnsi="Arial"/>
                <w:sz w:val="17"/>
                <w:szCs w:val="17"/>
                <w:color w:val="auto"/>
              </w:rPr>
              <w:t>Product sales</w:t>
            </w: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6,518</w:t>
            </w:r>
          </w:p>
        </w:tc>
        <w:tc>
          <w:tcPr>
            <w:tcW w:w="16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1,153</w:t>
            </w:r>
          </w:p>
        </w:tc>
        <w:tc>
          <w:tcPr>
            <w:tcW w:w="200" w:type="dxa"/>
            <w:vAlign w:val="bottom"/>
            <w:tcBorders>
              <w:bottom w:val="single" w:sz="8" w:color="CFF0FC"/>
            </w:tcBorders>
          </w:tcPr>
          <w:p>
            <w:pPr>
              <w:spacing w:after="0"/>
              <w:rPr>
                <w:sz w:val="18"/>
                <w:szCs w:val="18"/>
                <w:color w:val="auto"/>
              </w:rPr>
            </w:pPr>
          </w:p>
        </w:tc>
        <w:tc>
          <w:tcPr>
            <w:tcW w:w="16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6,909</w:t>
            </w:r>
          </w:p>
        </w:tc>
        <w:tc>
          <w:tcPr>
            <w:tcW w:w="28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1,388</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80" w:type="dxa"/>
            <w:vAlign w:val="bottom"/>
            <w:gridSpan w:val="2"/>
            <w:shd w:val="clear" w:color="auto" w:fill="CFF0FC"/>
          </w:tcPr>
          <w:p>
            <w:pPr>
              <w:ind w:left="140"/>
              <w:spacing w:after="0"/>
              <w:rPr>
                <w:sz w:val="20"/>
                <w:szCs w:val="20"/>
                <w:color w:val="auto"/>
              </w:rPr>
            </w:pPr>
            <w:r>
              <w:rPr>
                <w:rFonts w:ascii="Arial" w:cs="Arial" w:eastAsia="Arial" w:hAnsi="Arial"/>
                <w:sz w:val="17"/>
                <w:szCs w:val="17"/>
                <w:color w:val="auto"/>
              </w:rPr>
              <w:t>Total revenue</w:t>
            </w: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109,575</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98,197</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208,036</w:t>
            </w: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167,438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gridSpan w:val="2"/>
          </w:tcPr>
          <w:p>
            <w:pPr>
              <w:spacing w:after="0"/>
              <w:rPr>
                <w:sz w:val="20"/>
                <w:szCs w:val="20"/>
                <w:color w:val="auto"/>
              </w:rPr>
            </w:pPr>
            <w:r>
              <w:rPr>
                <w:rFonts w:ascii="Arial" w:cs="Arial" w:eastAsia="Arial" w:hAnsi="Arial"/>
                <w:sz w:val="17"/>
                <w:szCs w:val="17"/>
                <w:color w:val="auto"/>
              </w:rPr>
              <w:t>Cost of service revenue</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1,613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1,651</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3,002</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2,482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Cost of product sales</w:t>
            </w: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2,918</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878</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3,194</w:t>
            </w: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1,050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gridSpan w:val="2"/>
          </w:tcPr>
          <w:p>
            <w:pPr>
              <w:spacing w:after="0"/>
              <w:rPr>
                <w:sz w:val="20"/>
                <w:szCs w:val="20"/>
                <w:color w:val="auto"/>
              </w:rPr>
            </w:pPr>
            <w:r>
              <w:rPr>
                <w:rFonts w:ascii="Arial" w:cs="Arial" w:eastAsia="Arial" w:hAnsi="Arial"/>
                <w:sz w:val="17"/>
                <w:szCs w:val="17"/>
                <w:color w:val="auto"/>
              </w:rPr>
              <w:t>Operating expenses</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31,795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28,800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61,133</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52,481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Selling, general and administrative expenses</w:t>
            </w: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20,865</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27,588</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41,416</w:t>
            </w: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60,864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gridSpan w:val="2"/>
          </w:tcPr>
          <w:p>
            <w:pPr>
              <w:spacing w:after="0"/>
              <w:rPr>
                <w:sz w:val="20"/>
                <w:szCs w:val="20"/>
                <w:color w:val="auto"/>
              </w:rPr>
            </w:pPr>
            <w:r>
              <w:rPr>
                <w:rFonts w:ascii="Arial" w:cs="Arial" w:eastAsia="Arial" w:hAnsi="Arial"/>
                <w:sz w:val="17"/>
                <w:szCs w:val="17"/>
                <w:color w:val="auto"/>
              </w:rPr>
              <w:t>Depreciation, amortization and (gain) loss on disposal of assets, net</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28,850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27,496</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57,791</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46,040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Impairment of property and equipment</w:t>
            </w: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5,898</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w:t>
            </w: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5,898</w:t>
            </w: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0"/>
        </w:trPr>
        <w:tc>
          <w:tcPr>
            <w:tcW w:w="5180" w:type="dxa"/>
            <w:vAlign w:val="bottom"/>
            <w:tcBorders>
              <w:bottom w:val="single" w:sz="8" w:color="CFF0FC"/>
            </w:tcBorders>
            <w:gridSpan w:val="2"/>
          </w:tcPr>
          <w:p>
            <w:pPr>
              <w:ind w:left="140"/>
              <w:spacing w:after="0"/>
              <w:rPr>
                <w:sz w:val="20"/>
                <w:szCs w:val="20"/>
                <w:color w:val="auto"/>
              </w:rPr>
            </w:pPr>
            <w:r>
              <w:rPr>
                <w:rFonts w:ascii="Arial" w:cs="Arial" w:eastAsia="Arial" w:hAnsi="Arial"/>
                <w:sz w:val="17"/>
                <w:szCs w:val="17"/>
                <w:color w:val="auto"/>
              </w:rPr>
              <w:t>Total costs and expenses</w:t>
            </w:r>
          </w:p>
        </w:tc>
        <w:tc>
          <w:tcPr>
            <w:tcW w:w="2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91,939</w:t>
            </w:r>
          </w:p>
        </w:tc>
        <w:tc>
          <w:tcPr>
            <w:tcW w:w="16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86,413</w:t>
            </w:r>
          </w:p>
        </w:tc>
        <w:tc>
          <w:tcPr>
            <w:tcW w:w="200" w:type="dxa"/>
            <w:vAlign w:val="bottom"/>
            <w:tcBorders>
              <w:bottom w:val="single" w:sz="8" w:color="CFF0FC"/>
            </w:tcBorders>
          </w:tcPr>
          <w:p>
            <w:pPr>
              <w:spacing w:after="0"/>
              <w:rPr>
                <w:sz w:val="18"/>
                <w:szCs w:val="18"/>
                <w:color w:val="auto"/>
              </w:rPr>
            </w:pPr>
          </w:p>
        </w:tc>
        <w:tc>
          <w:tcPr>
            <w:tcW w:w="160" w:type="dxa"/>
            <w:vAlign w:val="bottom"/>
            <w:tcBorders>
              <w:bottom w:val="single" w:sz="8" w:color="CFF0FC"/>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172,434</w:t>
            </w:r>
          </w:p>
        </w:tc>
        <w:tc>
          <w:tcPr>
            <w:tcW w:w="280" w:type="dxa"/>
            <w:vAlign w:val="bottom"/>
            <w:tcBorders>
              <w:bottom w:val="single" w:sz="8" w:color="CFF0FC"/>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162,917</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8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Income from operations</w:t>
            </w: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17,636</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11,784</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35,602</w:t>
            </w: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4,521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gridSpan w:val="2"/>
          </w:tcPr>
          <w:p>
            <w:pPr>
              <w:spacing w:after="0"/>
              <w:rPr>
                <w:sz w:val="20"/>
                <w:szCs w:val="20"/>
                <w:color w:val="auto"/>
              </w:rPr>
            </w:pPr>
            <w:r>
              <w:rPr>
                <w:rFonts w:ascii="Arial" w:cs="Arial" w:eastAsia="Arial" w:hAnsi="Arial"/>
                <w:sz w:val="17"/>
                <w:szCs w:val="17"/>
                <w:color w:val="auto"/>
              </w:rPr>
              <w:t>Interest expense, net</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15,656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19,579</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31,689</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32,226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Loss on extinguishment of debt</w:t>
            </w:r>
          </w:p>
        </w:tc>
        <w:tc>
          <w:tcPr>
            <w:tcW w:w="28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w:t>
            </w: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300"/>
              <w:spacing w:after="0"/>
              <w:rPr>
                <w:sz w:val="20"/>
                <w:szCs w:val="20"/>
                <w:color w:val="auto"/>
              </w:rPr>
            </w:pPr>
            <w:r>
              <w:rPr>
                <w:rFonts w:ascii="Arial" w:cs="Arial" w:eastAsia="Arial" w:hAnsi="Arial"/>
                <w:sz w:val="17"/>
                <w:szCs w:val="17"/>
                <w:color w:val="auto"/>
              </w:rPr>
              <w:t>—</w:t>
            </w: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10,151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gridSpan w:val="2"/>
          </w:tcPr>
          <w:p>
            <w:pPr>
              <w:spacing w:after="0"/>
              <w:rPr>
                <w:sz w:val="20"/>
                <w:szCs w:val="20"/>
                <w:color w:val="auto"/>
              </w:rPr>
            </w:pPr>
            <w:r>
              <w:rPr>
                <w:rFonts w:ascii="Arial" w:cs="Arial" w:eastAsia="Arial" w:hAnsi="Arial"/>
                <w:sz w:val="17"/>
                <w:szCs w:val="17"/>
                <w:color w:val="auto"/>
              </w:rPr>
              <w:t>Other income, net</w:t>
            </w:r>
          </w:p>
        </w:tc>
        <w:tc>
          <w:tcPr>
            <w:tcW w:w="2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7"/>
                <w:szCs w:val="17"/>
                <w:color w:val="auto"/>
              </w:rPr>
              <w:t>(3,345)</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7"/>
                <w:szCs w:val="17"/>
                <w:color w:val="auto"/>
              </w:rPr>
              <w:t>(2,766)</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7"/>
                <w:szCs w:val="17"/>
                <w:color w:val="auto"/>
              </w:rPr>
              <w:t>(5,552)</w:t>
            </w:r>
          </w:p>
        </w:tc>
        <w:tc>
          <w:tcPr>
            <w:tcW w:w="30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7"/>
                <w:szCs w:val="17"/>
                <w:color w:val="auto"/>
              </w:rPr>
              <w:t>(4,059)</w:t>
            </w:r>
          </w:p>
        </w:tc>
        <w:tc>
          <w:tcPr>
            <w:tcW w:w="0" w:type="dxa"/>
            <w:vAlign w:val="bottom"/>
          </w:tcPr>
          <w:p>
            <w:pPr>
              <w:spacing w:after="0"/>
              <w:rPr>
                <w:sz w:val="1"/>
                <w:szCs w:val="1"/>
                <w:color w:val="auto"/>
              </w:rPr>
            </w:pPr>
          </w:p>
        </w:tc>
      </w:tr>
      <w:tr>
        <w:trPr>
          <w:trHeight w:val="210"/>
        </w:trPr>
        <w:tc>
          <w:tcPr>
            <w:tcW w:w="5180" w:type="dxa"/>
            <w:vAlign w:val="bottom"/>
            <w:tcBorders>
              <w:top w:val="single" w:sz="8" w:color="CFF0FC"/>
            </w:tcBorders>
            <w:gridSpan w:val="2"/>
            <w:shd w:val="clear" w:color="auto" w:fill="CFF0FC"/>
          </w:tcPr>
          <w:p>
            <w:pPr>
              <w:ind w:left="140"/>
              <w:spacing w:after="0"/>
              <w:rPr>
                <w:sz w:val="20"/>
                <w:szCs w:val="20"/>
                <w:color w:val="auto"/>
              </w:rPr>
            </w:pPr>
            <w:r>
              <w:rPr>
                <w:rFonts w:ascii="Arial" w:cs="Arial" w:eastAsia="Arial" w:hAnsi="Arial"/>
                <w:sz w:val="17"/>
                <w:szCs w:val="17"/>
                <w:color w:val="auto"/>
              </w:rPr>
              <w:t>Total other expenses</w:t>
            </w:r>
          </w:p>
        </w:tc>
        <w:tc>
          <w:tcPr>
            <w:tcW w:w="280" w:type="dxa"/>
            <w:vAlign w:val="bottom"/>
            <w:tcBorders>
              <w:top w:val="single" w:sz="8" w:color="auto"/>
              <w:bottom w:val="single" w:sz="8" w:color="auto"/>
            </w:tcBorders>
            <w:shd w:val="clear" w:color="auto" w:fill="CFF0FC"/>
          </w:tcPr>
          <w:p>
            <w:pPr>
              <w:spacing w:after="0"/>
              <w:rPr>
                <w:sz w:val="18"/>
                <w:szCs w:val="18"/>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12,311</w:t>
            </w:r>
          </w:p>
        </w:tc>
        <w:tc>
          <w:tcPr>
            <w:tcW w:w="16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auto"/>
              <w:bottom w:val="single" w:sz="8" w:color="auto"/>
            </w:tcBorders>
            <w:shd w:val="clear" w:color="auto" w:fill="CFF0FC"/>
          </w:tcPr>
          <w:p>
            <w:pPr>
              <w:spacing w:after="0"/>
              <w:rPr>
                <w:sz w:val="18"/>
                <w:szCs w:val="18"/>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16,813</w:t>
            </w:r>
          </w:p>
        </w:tc>
        <w:tc>
          <w:tcPr>
            <w:tcW w:w="20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bottom w:val="single" w:sz="8" w:color="auto"/>
            </w:tcBorders>
            <w:shd w:val="clear" w:color="auto" w:fill="CFF0FC"/>
          </w:tcPr>
          <w:p>
            <w:pPr>
              <w:spacing w:after="0"/>
              <w:rPr>
                <w:sz w:val="18"/>
                <w:szCs w:val="18"/>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26,137</w:t>
            </w:r>
          </w:p>
        </w:tc>
        <w:tc>
          <w:tcPr>
            <w:tcW w:w="28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bottom w:val="single" w:sz="8" w:color="auto"/>
            </w:tcBorders>
            <w:shd w:val="clear" w:color="auto" w:fill="CFF0FC"/>
          </w:tcPr>
          <w:p>
            <w:pPr>
              <w:spacing w:after="0"/>
              <w:rPr>
                <w:sz w:val="18"/>
                <w:szCs w:val="18"/>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38,318</w:t>
            </w: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80" w:type="dxa"/>
            <w:vAlign w:val="bottom"/>
            <w:gridSpan w:val="2"/>
          </w:tcPr>
          <w:p>
            <w:pPr>
              <w:spacing w:after="0"/>
              <w:rPr>
                <w:sz w:val="20"/>
                <w:szCs w:val="20"/>
                <w:color w:val="auto"/>
              </w:rPr>
            </w:pPr>
            <w:r>
              <w:rPr>
                <w:rFonts w:ascii="Arial" w:cs="Arial" w:eastAsia="Arial" w:hAnsi="Arial"/>
                <w:sz w:val="17"/>
                <w:szCs w:val="17"/>
                <w:color w:val="auto"/>
              </w:rPr>
              <w:t>Income (loss) before income tax provision (benefit)</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5,325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(5,029)</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9,465</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(33,797)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Income tax provision (benefit)</w:t>
            </w: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1,734</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(234)</w:t>
            </w: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3,054</w:t>
            </w: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(6,844)</w:t>
            </w:r>
          </w:p>
        </w:tc>
        <w:tc>
          <w:tcPr>
            <w:tcW w:w="0" w:type="dxa"/>
            <w:vAlign w:val="bottom"/>
          </w:tcPr>
          <w:p>
            <w:pPr>
              <w:spacing w:after="0"/>
              <w:rPr>
                <w:sz w:val="1"/>
                <w:szCs w:val="1"/>
                <w:color w:val="auto"/>
              </w:rPr>
            </w:pPr>
          </w:p>
        </w:tc>
      </w:tr>
      <w:tr>
        <w:trPr>
          <w:trHeight w:val="250"/>
        </w:trPr>
        <w:tc>
          <w:tcPr>
            <w:tcW w:w="5180" w:type="dxa"/>
            <w:vAlign w:val="bottom"/>
            <w:tcBorders>
              <w:bottom w:val="single" w:sz="8" w:color="CFF0FC"/>
            </w:tcBorders>
            <w:gridSpan w:val="2"/>
          </w:tcPr>
          <w:p>
            <w:pPr>
              <w:ind w:left="140"/>
              <w:spacing w:after="0"/>
              <w:rPr>
                <w:sz w:val="20"/>
                <w:szCs w:val="20"/>
                <w:color w:val="auto"/>
              </w:rPr>
            </w:pPr>
            <w:r>
              <w:rPr>
                <w:rFonts w:ascii="Arial" w:cs="Arial" w:eastAsia="Arial" w:hAnsi="Arial"/>
                <w:sz w:val="17"/>
                <w:szCs w:val="17"/>
                <w:color w:val="auto"/>
              </w:rPr>
              <w:t>Net income (loss)</w:t>
            </w:r>
          </w:p>
        </w:tc>
        <w:tc>
          <w:tcPr>
            <w:tcW w:w="28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3,591</w:t>
            </w:r>
          </w:p>
        </w:tc>
        <w:tc>
          <w:tcPr>
            <w:tcW w:w="160" w:type="dxa"/>
            <w:vAlign w:val="bottom"/>
            <w:tcBorders>
              <w:bottom w:val="single" w:sz="8" w:color="CFF0FC"/>
            </w:tcBorders>
          </w:tcPr>
          <w:p>
            <w:pPr>
              <w:spacing w:after="0"/>
              <w:rPr>
                <w:sz w:val="21"/>
                <w:szCs w:val="21"/>
                <w:color w:val="auto"/>
              </w:rPr>
            </w:pPr>
          </w:p>
        </w:tc>
        <w:tc>
          <w:tcPr>
            <w:tcW w:w="120" w:type="dxa"/>
            <w:vAlign w:val="bottom"/>
            <w:tcBorders>
              <w:bottom w:val="single" w:sz="8" w:color="CFF0FC"/>
            </w:tcBorders>
          </w:tcPr>
          <w:p>
            <w:pPr>
              <w:spacing w:after="0"/>
              <w:rPr>
                <w:sz w:val="21"/>
                <w:szCs w:val="21"/>
                <w:color w:val="auto"/>
              </w:rPr>
            </w:pPr>
          </w:p>
        </w:tc>
        <w:tc>
          <w:tcPr>
            <w:tcW w:w="28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(4,795)</w:t>
            </w:r>
          </w:p>
        </w:tc>
        <w:tc>
          <w:tcPr>
            <w:tcW w:w="200" w:type="dxa"/>
            <w:vAlign w:val="bottom"/>
            <w:tcBorders>
              <w:bottom w:val="single" w:sz="8" w:color="CFF0FC"/>
            </w:tcBorders>
          </w:tcPr>
          <w:p>
            <w:pPr>
              <w:spacing w:after="0"/>
              <w:rPr>
                <w:sz w:val="21"/>
                <w:szCs w:val="21"/>
                <w:color w:val="auto"/>
              </w:rPr>
            </w:pPr>
          </w:p>
        </w:tc>
        <w:tc>
          <w:tcPr>
            <w:tcW w:w="160" w:type="dxa"/>
            <w:vAlign w:val="bottom"/>
            <w:tcBorders>
              <w:bottom w:val="single" w:sz="8" w:color="CFF0FC"/>
            </w:tcBorders>
          </w:tcPr>
          <w:p>
            <w:pPr>
              <w:spacing w:after="0"/>
              <w:rPr>
                <w:sz w:val="21"/>
                <w:szCs w:val="21"/>
                <w:color w:val="auto"/>
              </w:rPr>
            </w:pPr>
          </w:p>
        </w:tc>
        <w:tc>
          <w:tcPr>
            <w:tcW w:w="300" w:type="dxa"/>
            <w:vAlign w:val="bottom"/>
            <w:tcBorders>
              <w:top w:val="single" w:sz="8" w:color="auto"/>
              <w:bottom w:val="single" w:sz="8" w:color="auto"/>
            </w:tcBorders>
          </w:tcPr>
          <w:p>
            <w:pPr>
              <w:jc w:val="right"/>
              <w:ind w:right="115"/>
              <w:spacing w:after="0"/>
              <w:rPr>
                <w:sz w:val="20"/>
                <w:szCs w:val="20"/>
                <w:color w:val="auto"/>
              </w:rPr>
            </w:pPr>
            <w:r>
              <w:rPr>
                <w:rFonts w:ascii="Arial" w:cs="Arial" w:eastAsia="Arial" w:hAnsi="Arial"/>
                <w:sz w:val="17"/>
                <w:szCs w:val="17"/>
                <w:color w:val="auto"/>
                <w:w w:val="84"/>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6,411</w:t>
            </w:r>
          </w:p>
        </w:tc>
        <w:tc>
          <w:tcPr>
            <w:tcW w:w="280" w:type="dxa"/>
            <w:vAlign w:val="bottom"/>
            <w:tcBorders>
              <w:bottom w:val="single" w:sz="8" w:color="CFF0FC"/>
            </w:tcBorders>
          </w:tcPr>
          <w:p>
            <w:pPr>
              <w:spacing w:after="0"/>
              <w:rPr>
                <w:sz w:val="21"/>
                <w:szCs w:val="21"/>
                <w:color w:val="auto"/>
              </w:rPr>
            </w:pP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(26,953)</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5180" w:type="dxa"/>
            <w:vAlign w:val="bottom"/>
            <w:gridSpan w:val="2"/>
            <w:shd w:val="clear" w:color="auto" w:fill="CFF0FC"/>
          </w:tcPr>
          <w:p>
            <w:pPr>
              <w:spacing w:after="0" w:line="193" w:lineRule="exact"/>
              <w:rPr>
                <w:sz w:val="20"/>
                <w:szCs w:val="20"/>
                <w:color w:val="auto"/>
              </w:rPr>
            </w:pPr>
            <w:r>
              <w:rPr>
                <w:rFonts w:ascii="Arial" w:cs="Arial" w:eastAsia="Arial" w:hAnsi="Arial"/>
                <w:sz w:val="17"/>
                <w:szCs w:val="17"/>
                <w:b w:val="1"/>
                <w:bCs w:val="1"/>
                <w:color w:val="auto"/>
              </w:rPr>
              <w:t>Other comprehensive income (loss):</w:t>
            </w:r>
          </w:p>
        </w:tc>
        <w:tc>
          <w:tcPr>
            <w:tcW w:w="28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180" w:type="dxa"/>
            <w:vAlign w:val="bottom"/>
            <w:gridSpan w:val="2"/>
          </w:tcPr>
          <w:p>
            <w:pPr>
              <w:spacing w:after="0"/>
              <w:rPr>
                <w:sz w:val="20"/>
                <w:szCs w:val="20"/>
                <w:color w:val="auto"/>
              </w:rPr>
            </w:pPr>
            <w:r>
              <w:rPr>
                <w:rFonts w:ascii="Arial" w:cs="Arial" w:eastAsia="Arial" w:hAnsi="Arial"/>
                <w:sz w:val="17"/>
                <w:szCs w:val="17"/>
                <w:color w:val="auto"/>
              </w:rPr>
              <w:t>Foreign currency translation adjustment</w:t>
            </w:r>
          </w:p>
        </w:tc>
        <w:tc>
          <w:tcPr>
            <w:tcW w:w="2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7"/>
                <w:szCs w:val="17"/>
                <w:color w:val="auto"/>
              </w:rPr>
              <w:t>(1,396)</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7"/>
                <w:szCs w:val="17"/>
                <w:color w:val="auto"/>
              </w:rPr>
              <w:t>(3,712)</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7"/>
                <w:szCs w:val="17"/>
                <w:color w:val="auto"/>
              </w:rPr>
              <w:t>(72)</w:t>
            </w:r>
          </w:p>
        </w:tc>
        <w:tc>
          <w:tcPr>
            <w:tcW w:w="30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7"/>
                <w:szCs w:val="17"/>
                <w:color w:val="auto"/>
              </w:rPr>
              <w:t>(3,712)</w:t>
            </w:r>
          </w:p>
        </w:tc>
        <w:tc>
          <w:tcPr>
            <w:tcW w:w="0" w:type="dxa"/>
            <w:vAlign w:val="bottom"/>
          </w:tcPr>
          <w:p>
            <w:pPr>
              <w:spacing w:after="0"/>
              <w:rPr>
                <w:sz w:val="1"/>
                <w:szCs w:val="1"/>
                <w:color w:val="auto"/>
              </w:rPr>
            </w:pPr>
          </w:p>
        </w:tc>
      </w:tr>
      <w:tr>
        <w:trPr>
          <w:trHeight w:val="210"/>
        </w:trPr>
        <w:tc>
          <w:tcPr>
            <w:tcW w:w="5180" w:type="dxa"/>
            <w:vAlign w:val="bottom"/>
            <w:tcBorders>
              <w:top w:val="single" w:sz="8" w:color="CFF0FC"/>
              <w:bottom w:val="single" w:sz="8" w:color="CFF0FC"/>
            </w:tcBorders>
            <w:gridSpan w:val="2"/>
            <w:shd w:val="clear" w:color="auto" w:fill="CFF0FC"/>
          </w:tcPr>
          <w:p>
            <w:pPr>
              <w:ind w:left="140"/>
              <w:spacing w:after="0"/>
              <w:rPr>
                <w:sz w:val="20"/>
                <w:szCs w:val="20"/>
                <w:color w:val="auto"/>
              </w:rPr>
            </w:pPr>
            <w:r>
              <w:rPr>
                <w:rFonts w:ascii="Arial" w:cs="Arial" w:eastAsia="Arial" w:hAnsi="Arial"/>
                <w:sz w:val="17"/>
                <w:szCs w:val="17"/>
                <w:color w:val="auto"/>
              </w:rPr>
              <w:t>Total comprehensive income (loss)</w:t>
            </w:r>
          </w:p>
        </w:tc>
        <w:tc>
          <w:tcPr>
            <w:tcW w:w="280" w:type="dxa"/>
            <w:vAlign w:val="bottom"/>
            <w:tcBorders>
              <w:top w:val="single" w:sz="8" w:color="auto"/>
              <w:bottom w:val="single" w:sz="8" w:color="auto"/>
            </w:tcBorders>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2,195</w:t>
            </w:r>
          </w:p>
        </w:tc>
        <w:tc>
          <w:tcPr>
            <w:tcW w:w="16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280" w:type="dxa"/>
            <w:vAlign w:val="bottom"/>
            <w:tcBorders>
              <w:top w:val="single" w:sz="8" w:color="auto"/>
              <w:bottom w:val="single" w:sz="8" w:color="auto"/>
            </w:tcBorders>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(8,507)</w:t>
            </w:r>
          </w:p>
        </w:tc>
        <w:tc>
          <w:tcPr>
            <w:tcW w:w="200" w:type="dxa"/>
            <w:vAlign w:val="bottom"/>
            <w:tcBorders>
              <w:top w:val="single" w:sz="8" w:color="CFF0FC"/>
              <w:bottom w:val="single" w:sz="8" w:color="CFF0FC"/>
            </w:tcBorders>
            <w:shd w:val="clear" w:color="auto" w:fill="CFF0FC"/>
          </w:tcPr>
          <w:p>
            <w:pPr>
              <w:spacing w:after="0"/>
              <w:rPr>
                <w:sz w:val="18"/>
                <w:szCs w:val="18"/>
                <w:color w:val="auto"/>
              </w:rPr>
            </w:pPr>
          </w:p>
        </w:tc>
        <w:tc>
          <w:tcPr>
            <w:tcW w:w="160" w:type="dxa"/>
            <w:vAlign w:val="bottom"/>
            <w:tcBorders>
              <w:top w:val="single" w:sz="8" w:color="CFF0FC"/>
              <w:bottom w:val="single" w:sz="8" w:color="CFF0FC"/>
            </w:tcBorders>
            <w:shd w:val="clear" w:color="auto" w:fill="CFF0FC"/>
          </w:tcPr>
          <w:p>
            <w:pPr>
              <w:spacing w:after="0"/>
              <w:rPr>
                <w:sz w:val="18"/>
                <w:szCs w:val="18"/>
                <w:color w:val="auto"/>
              </w:rPr>
            </w:pPr>
          </w:p>
        </w:tc>
        <w:tc>
          <w:tcPr>
            <w:tcW w:w="300" w:type="dxa"/>
            <w:vAlign w:val="bottom"/>
            <w:tcBorders>
              <w:top w:val="single" w:sz="8" w:color="auto"/>
              <w:bottom w:val="single" w:sz="8" w:color="auto"/>
            </w:tcBorders>
            <w:shd w:val="clear" w:color="auto" w:fill="CFF0FC"/>
          </w:tcPr>
          <w:p>
            <w:pPr>
              <w:jc w:val="right"/>
              <w:ind w:right="115"/>
              <w:spacing w:after="0"/>
              <w:rPr>
                <w:sz w:val="20"/>
                <w:szCs w:val="20"/>
                <w:color w:val="auto"/>
              </w:rPr>
            </w:pPr>
            <w:r>
              <w:rPr>
                <w:rFonts w:ascii="Arial" w:cs="Arial" w:eastAsia="Arial" w:hAnsi="Arial"/>
                <w:sz w:val="17"/>
                <w:szCs w:val="17"/>
                <w:color w:val="auto"/>
                <w:w w:val="84"/>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6,339</w:t>
            </w:r>
          </w:p>
        </w:tc>
        <w:tc>
          <w:tcPr>
            <w:tcW w:w="280" w:type="dxa"/>
            <w:vAlign w:val="bottom"/>
            <w:tcBorders>
              <w:top w:val="single" w:sz="8" w:color="CFF0FC"/>
              <w:bottom w:val="single" w:sz="8" w:color="CFF0FC"/>
            </w:tcBorders>
            <w:shd w:val="clear" w:color="auto" w:fill="CFF0FC"/>
          </w:tcPr>
          <w:p>
            <w:pPr>
              <w:spacing w:after="0"/>
              <w:rPr>
                <w:sz w:val="18"/>
                <w:szCs w:val="18"/>
                <w:color w:val="auto"/>
              </w:rPr>
            </w:pPr>
          </w:p>
        </w:tc>
        <w:tc>
          <w:tcPr>
            <w:tcW w:w="300" w:type="dxa"/>
            <w:vAlign w:val="bottom"/>
            <w:tcBorders>
              <w:top w:val="single" w:sz="8" w:color="auto"/>
              <w:bottom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(30,665)</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8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Earnings (loss) per share:</w:t>
            </w: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518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518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Basic weighted average shares outstanding</w:t>
            </w: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157,846</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72,484</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156,956</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67,520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180" w:type="dxa"/>
            <w:vAlign w:val="bottom"/>
            <w:gridSpan w:val="2"/>
          </w:tcPr>
          <w:p>
            <w:pPr>
              <w:spacing w:after="0"/>
              <w:rPr>
                <w:sz w:val="20"/>
                <w:szCs w:val="20"/>
                <w:color w:val="auto"/>
              </w:rPr>
            </w:pPr>
            <w:r>
              <w:rPr>
                <w:rFonts w:ascii="Arial" w:cs="Arial" w:eastAsia="Arial" w:hAnsi="Arial"/>
                <w:sz w:val="17"/>
                <w:szCs w:val="17"/>
                <w:color w:val="auto"/>
              </w:rPr>
              <w:t>Basic earnings (loss) per share</w:t>
            </w: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0.02</w:t>
            </w:r>
          </w:p>
        </w:tc>
        <w:tc>
          <w:tcPr>
            <w:tcW w:w="160" w:type="dxa"/>
            <w:vAlign w:val="bottom"/>
          </w:tcPr>
          <w:p>
            <w:pPr>
              <w:spacing w:after="0"/>
              <w:rPr>
                <w:sz w:val="18"/>
                <w:szCs w:val="18"/>
                <w:color w:val="auto"/>
              </w:rPr>
            </w:pPr>
          </w:p>
        </w:tc>
        <w:tc>
          <w:tcPr>
            <w:tcW w:w="400" w:type="dxa"/>
            <w:vAlign w:val="bottom"/>
            <w:gridSpan w:val="2"/>
          </w:tcPr>
          <w:p>
            <w:pPr>
              <w:jc w:val="right"/>
              <w:ind w:right="125"/>
              <w:spacing w:after="0"/>
              <w:rPr>
                <w:sz w:val="20"/>
                <w:szCs w:val="20"/>
                <w:color w:val="auto"/>
              </w:rPr>
            </w:pPr>
            <w:r>
              <w:rPr>
                <w:rFonts w:ascii="Arial" w:cs="Arial" w:eastAsia="Arial" w:hAnsi="Arial"/>
                <w:sz w:val="17"/>
                <w:szCs w:val="17"/>
                <w:color w:val="auto"/>
              </w:rPr>
              <w:t>$</w:t>
            </w:r>
          </w:p>
        </w:tc>
        <w:tc>
          <w:tcPr>
            <w:tcW w:w="1220" w:type="dxa"/>
            <w:vAlign w:val="bottom"/>
            <w:gridSpan w:val="2"/>
          </w:tcPr>
          <w:p>
            <w:pPr>
              <w:jc w:val="right"/>
              <w:ind w:right="160"/>
              <w:spacing w:after="0"/>
              <w:rPr>
                <w:sz w:val="20"/>
                <w:szCs w:val="20"/>
                <w:color w:val="auto"/>
              </w:rPr>
            </w:pPr>
            <w:r>
              <w:rPr>
                <w:rFonts w:ascii="Arial" w:cs="Arial" w:eastAsia="Arial" w:hAnsi="Arial"/>
                <w:sz w:val="17"/>
                <w:szCs w:val="17"/>
                <w:color w:val="auto"/>
              </w:rPr>
              <w:t>(0.07)</w:t>
            </w:r>
          </w:p>
        </w:tc>
        <w:tc>
          <w:tcPr>
            <w:tcW w:w="460" w:type="dxa"/>
            <w:vAlign w:val="bottom"/>
            <w:gridSpan w:val="2"/>
          </w:tcPr>
          <w:p>
            <w:pPr>
              <w:jc w:val="right"/>
              <w:ind w:right="115"/>
              <w:spacing w:after="0"/>
              <w:rPr>
                <w:sz w:val="20"/>
                <w:szCs w:val="20"/>
                <w:color w:val="auto"/>
              </w:rPr>
            </w:pPr>
            <w:r>
              <w:rPr>
                <w:rFonts w:ascii="Arial" w:cs="Arial" w:eastAsia="Arial" w:hAnsi="Arial"/>
                <w:sz w:val="17"/>
                <w:szCs w:val="17"/>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0.04</w:t>
            </w:r>
          </w:p>
        </w:tc>
        <w:tc>
          <w:tcPr>
            <w:tcW w:w="280" w:type="dxa"/>
            <w:vAlign w:val="bottom"/>
          </w:tcPr>
          <w:p>
            <w:pPr>
              <w:spacing w:after="0"/>
              <w:rPr>
                <w:sz w:val="18"/>
                <w:szCs w:val="18"/>
                <w:color w:val="auto"/>
              </w:rPr>
            </w:pP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60"/>
              <w:spacing w:after="0"/>
              <w:rPr>
                <w:sz w:val="20"/>
                <w:szCs w:val="20"/>
                <w:color w:val="auto"/>
              </w:rPr>
            </w:pPr>
            <w:r>
              <w:rPr>
                <w:rFonts w:ascii="Arial" w:cs="Arial" w:eastAsia="Arial" w:hAnsi="Arial"/>
                <w:sz w:val="17"/>
                <w:szCs w:val="17"/>
                <w:color w:val="auto"/>
              </w:rPr>
              <w:t>(0.40)</w:t>
            </w:r>
          </w:p>
        </w:tc>
        <w:tc>
          <w:tcPr>
            <w:tcW w:w="0" w:type="dxa"/>
            <w:vAlign w:val="bottom"/>
          </w:tcPr>
          <w:p>
            <w:pPr>
              <w:spacing w:after="0"/>
              <w:rPr>
                <w:sz w:val="1"/>
                <w:szCs w:val="1"/>
                <w:color w:val="auto"/>
              </w:rPr>
            </w:pPr>
          </w:p>
        </w:tc>
      </w:tr>
      <w:tr>
        <w:trPr>
          <w:trHeight w:val="216"/>
        </w:trPr>
        <w:tc>
          <w:tcPr>
            <w:tcW w:w="518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Diluted weighted average shares outstanding</w:t>
            </w: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161,977</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72,484</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159,223</w:t>
            </w: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67,520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gridSpan w:val="2"/>
          </w:tcPr>
          <w:p>
            <w:pPr>
              <w:spacing w:after="0"/>
              <w:rPr>
                <w:sz w:val="20"/>
                <w:szCs w:val="20"/>
                <w:color w:val="auto"/>
              </w:rPr>
            </w:pPr>
            <w:r>
              <w:rPr>
                <w:rFonts w:ascii="Arial" w:cs="Arial" w:eastAsia="Arial" w:hAnsi="Arial"/>
                <w:sz w:val="17"/>
                <w:szCs w:val="17"/>
                <w:color w:val="auto"/>
              </w:rPr>
              <w:t>Diluted earnings (loss) per share</w:t>
            </w: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0.02</w:t>
            </w:r>
          </w:p>
        </w:tc>
        <w:tc>
          <w:tcPr>
            <w:tcW w:w="160" w:type="dxa"/>
            <w:vAlign w:val="bottom"/>
          </w:tcPr>
          <w:p>
            <w:pPr>
              <w:spacing w:after="0"/>
              <w:rPr>
                <w:sz w:val="18"/>
                <w:szCs w:val="18"/>
                <w:color w:val="auto"/>
              </w:rPr>
            </w:pPr>
          </w:p>
        </w:tc>
        <w:tc>
          <w:tcPr>
            <w:tcW w:w="400" w:type="dxa"/>
            <w:vAlign w:val="bottom"/>
            <w:gridSpan w:val="2"/>
          </w:tcPr>
          <w:p>
            <w:pPr>
              <w:jc w:val="right"/>
              <w:ind w:right="125"/>
              <w:spacing w:after="0"/>
              <w:rPr>
                <w:sz w:val="20"/>
                <w:szCs w:val="20"/>
                <w:color w:val="auto"/>
              </w:rPr>
            </w:pPr>
            <w:r>
              <w:rPr>
                <w:rFonts w:ascii="Arial" w:cs="Arial" w:eastAsia="Arial" w:hAnsi="Arial"/>
                <w:sz w:val="17"/>
                <w:szCs w:val="17"/>
                <w:color w:val="auto"/>
              </w:rPr>
              <w:t>$</w:t>
            </w:r>
          </w:p>
        </w:tc>
        <w:tc>
          <w:tcPr>
            <w:tcW w:w="1220" w:type="dxa"/>
            <w:vAlign w:val="bottom"/>
            <w:gridSpan w:val="2"/>
          </w:tcPr>
          <w:p>
            <w:pPr>
              <w:jc w:val="right"/>
              <w:ind w:right="160"/>
              <w:spacing w:after="0"/>
              <w:rPr>
                <w:sz w:val="20"/>
                <w:szCs w:val="20"/>
                <w:color w:val="auto"/>
              </w:rPr>
            </w:pPr>
            <w:r>
              <w:rPr>
                <w:rFonts w:ascii="Arial" w:cs="Arial" w:eastAsia="Arial" w:hAnsi="Arial"/>
                <w:sz w:val="17"/>
                <w:szCs w:val="17"/>
                <w:color w:val="auto"/>
              </w:rPr>
              <w:t>(0.07)</w:t>
            </w:r>
          </w:p>
        </w:tc>
        <w:tc>
          <w:tcPr>
            <w:tcW w:w="460" w:type="dxa"/>
            <w:vAlign w:val="bottom"/>
            <w:gridSpan w:val="2"/>
          </w:tcPr>
          <w:p>
            <w:pPr>
              <w:jc w:val="right"/>
              <w:ind w:right="115"/>
              <w:spacing w:after="0"/>
              <w:rPr>
                <w:sz w:val="20"/>
                <w:szCs w:val="20"/>
                <w:color w:val="auto"/>
              </w:rPr>
            </w:pPr>
            <w:r>
              <w:rPr>
                <w:rFonts w:ascii="Arial" w:cs="Arial" w:eastAsia="Arial" w:hAnsi="Arial"/>
                <w:sz w:val="17"/>
                <w:szCs w:val="17"/>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0.04</w:t>
            </w:r>
          </w:p>
        </w:tc>
        <w:tc>
          <w:tcPr>
            <w:tcW w:w="280" w:type="dxa"/>
            <w:vAlign w:val="bottom"/>
          </w:tcPr>
          <w:p>
            <w:pPr>
              <w:spacing w:after="0"/>
              <w:rPr>
                <w:sz w:val="18"/>
                <w:szCs w:val="18"/>
                <w:color w:val="auto"/>
              </w:rPr>
            </w:pP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60"/>
              <w:spacing w:after="0"/>
              <w:rPr>
                <w:sz w:val="20"/>
                <w:szCs w:val="20"/>
                <w:color w:val="auto"/>
              </w:rPr>
            </w:pPr>
            <w:r>
              <w:rPr>
                <w:rFonts w:ascii="Arial" w:cs="Arial" w:eastAsia="Arial" w:hAnsi="Arial"/>
                <w:sz w:val="17"/>
                <w:szCs w:val="17"/>
                <w:color w:val="auto"/>
              </w:rPr>
              <w:t>(0.40)</w:t>
            </w:r>
          </w:p>
        </w:tc>
        <w:tc>
          <w:tcPr>
            <w:tcW w:w="0" w:type="dxa"/>
            <w:vAlign w:val="bottom"/>
          </w:tcPr>
          <w:p>
            <w:pPr>
              <w:spacing w:after="0"/>
              <w:rPr>
                <w:sz w:val="1"/>
                <w:szCs w:val="1"/>
                <w:color w:val="auto"/>
              </w:rPr>
            </w:pPr>
          </w:p>
        </w:tc>
      </w:tr>
    </w:tbl>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5" w:name="page6"/>
    <w:bookmarkEnd w:id="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VERRA MOBILITY CORPORATION</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 the Three and Six Months Ended June 30, 2019</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940" w:type="dxa"/>
            <w:vAlign w:val="bottom"/>
            <w:gridSpan w:val="5"/>
            <w:vMerge w:val="restart"/>
          </w:tcPr>
          <w:p>
            <w:pPr>
              <w:ind w:left="540"/>
              <w:spacing w:after="0"/>
              <w:rPr>
                <w:sz w:val="20"/>
                <w:szCs w:val="20"/>
                <w:color w:val="auto"/>
              </w:rPr>
            </w:pPr>
            <w:r>
              <w:rPr>
                <w:rFonts w:ascii="Arial" w:cs="Arial" w:eastAsia="Arial" w:hAnsi="Arial"/>
                <w:sz w:val="14"/>
                <w:szCs w:val="14"/>
                <w:b w:val="1"/>
                <w:bCs w:val="1"/>
                <w:color w:val="auto"/>
              </w:rPr>
              <w:t>Common</w:t>
            </w:r>
          </w:p>
        </w:tc>
        <w:tc>
          <w:tcPr>
            <w:tcW w:w="60" w:type="dxa"/>
            <w:vAlign w:val="bottom"/>
          </w:tcPr>
          <w:p>
            <w:pPr>
              <w:spacing w:after="0"/>
              <w:rPr>
                <w:sz w:val="14"/>
                <w:szCs w:val="14"/>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5"/>
              </w:rPr>
              <w:t>Common</w:t>
            </w:r>
          </w:p>
        </w:tc>
        <w:tc>
          <w:tcPr>
            <w:tcW w:w="100" w:type="dxa"/>
            <w:vAlign w:val="bottom"/>
          </w:tcPr>
          <w:p>
            <w:pPr>
              <w:spacing w:after="0"/>
              <w:rPr>
                <w:sz w:val="14"/>
                <w:szCs w:val="14"/>
                <w:color w:val="auto"/>
              </w:rPr>
            </w:pPr>
          </w:p>
        </w:tc>
        <w:tc>
          <w:tcPr>
            <w:tcW w:w="110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w w:val="99"/>
              </w:rPr>
              <w:t>Additional</w:t>
            </w:r>
          </w:p>
        </w:tc>
        <w:tc>
          <w:tcPr>
            <w:tcW w:w="140" w:type="dxa"/>
            <w:vAlign w:val="bottom"/>
          </w:tcPr>
          <w:p>
            <w:pPr>
              <w:spacing w:after="0"/>
              <w:rPr>
                <w:sz w:val="14"/>
                <w:szCs w:val="14"/>
                <w:color w:val="auto"/>
              </w:rPr>
            </w:pPr>
          </w:p>
        </w:tc>
        <w:tc>
          <w:tcPr>
            <w:tcW w:w="108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91"/>
              </w:rPr>
              <w:t>Retained</w:t>
            </w:r>
          </w:p>
        </w:tc>
        <w:tc>
          <w:tcPr>
            <w:tcW w:w="80" w:type="dxa"/>
            <w:vAlign w:val="bottom"/>
          </w:tcPr>
          <w:p>
            <w:pPr>
              <w:spacing w:after="0"/>
              <w:rPr>
                <w:sz w:val="14"/>
                <w:szCs w:val="14"/>
                <w:color w:val="auto"/>
              </w:rPr>
            </w:pPr>
          </w:p>
        </w:tc>
        <w:tc>
          <w:tcPr>
            <w:tcW w:w="13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Accumulated</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4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90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940" w:type="dxa"/>
            <w:vAlign w:val="bottom"/>
            <w:gridSpan w:val="5"/>
            <w:vMerge w:val="continue"/>
          </w:tcPr>
          <w:p>
            <w:pPr>
              <w:spacing w:after="0"/>
              <w:rPr>
                <w:sz w:val="12"/>
                <w:szCs w:val="12"/>
                <w:color w:val="auto"/>
              </w:rPr>
            </w:pPr>
          </w:p>
        </w:tc>
        <w:tc>
          <w:tcPr>
            <w:tcW w:w="60" w:type="dxa"/>
            <w:vAlign w:val="bottom"/>
          </w:tcPr>
          <w:p>
            <w:pPr>
              <w:spacing w:after="0"/>
              <w:rPr>
                <w:sz w:val="12"/>
                <w:szCs w:val="12"/>
                <w:color w:val="auto"/>
              </w:rPr>
            </w:pPr>
          </w:p>
        </w:tc>
        <w:tc>
          <w:tcPr>
            <w:tcW w:w="12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9"/>
              </w:rPr>
              <w:t>Stock</w:t>
            </w:r>
          </w:p>
        </w:tc>
        <w:tc>
          <w:tcPr>
            <w:tcW w:w="10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rPr>
              <w:t>Other</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90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0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Stock</w:t>
            </w:r>
          </w:p>
        </w:tc>
        <w:tc>
          <w:tcPr>
            <w:tcW w:w="60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Contingent</w:t>
            </w:r>
          </w:p>
        </w:tc>
        <w:tc>
          <w:tcPr>
            <w:tcW w:w="100" w:type="dxa"/>
            <w:vAlign w:val="bottom"/>
          </w:tcPr>
          <w:p>
            <w:pPr>
              <w:spacing w:after="0"/>
              <w:rPr>
                <w:sz w:val="14"/>
                <w:szCs w:val="14"/>
                <w:color w:val="auto"/>
              </w:rPr>
            </w:pPr>
          </w:p>
        </w:tc>
        <w:tc>
          <w:tcPr>
            <w:tcW w:w="110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Paid-in</w:t>
            </w:r>
          </w:p>
        </w:tc>
        <w:tc>
          <w:tcPr>
            <w:tcW w:w="140" w:type="dxa"/>
            <w:vAlign w:val="bottom"/>
          </w:tcPr>
          <w:p>
            <w:pPr>
              <w:spacing w:after="0"/>
              <w:rPr>
                <w:sz w:val="14"/>
                <w:szCs w:val="14"/>
                <w:color w:val="auto"/>
              </w:rPr>
            </w:pPr>
          </w:p>
        </w:tc>
        <w:tc>
          <w:tcPr>
            <w:tcW w:w="10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3"/>
              </w:rPr>
              <w:t>Earnings</w:t>
            </w:r>
          </w:p>
        </w:tc>
        <w:tc>
          <w:tcPr>
            <w:tcW w:w="80" w:type="dxa"/>
            <w:vAlign w:val="bottom"/>
          </w:tcPr>
          <w:p>
            <w:pPr>
              <w:spacing w:after="0"/>
              <w:rPr>
                <w:sz w:val="14"/>
                <w:szCs w:val="14"/>
                <w:color w:val="auto"/>
              </w:rPr>
            </w:pPr>
          </w:p>
        </w:tc>
        <w:tc>
          <w:tcPr>
            <w:tcW w:w="13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1"/>
              </w:rPr>
              <w:t>Comprehensive</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Shareholders'</w:t>
            </w:r>
          </w:p>
        </w:tc>
        <w:tc>
          <w:tcPr>
            <w:tcW w:w="0" w:type="dxa"/>
            <w:vAlign w:val="bottom"/>
          </w:tcPr>
          <w:p>
            <w:pPr>
              <w:spacing w:after="0"/>
              <w:rPr>
                <w:sz w:val="1"/>
                <w:szCs w:val="1"/>
                <w:color w:val="auto"/>
              </w:rPr>
            </w:pPr>
          </w:p>
        </w:tc>
      </w:tr>
      <w:tr>
        <w:trPr>
          <w:trHeight w:val="162"/>
        </w:trPr>
        <w:tc>
          <w:tcPr>
            <w:tcW w:w="90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2320" w:type="dxa"/>
            <w:vAlign w:val="bottom"/>
          </w:tcPr>
          <w:p>
            <w:pPr>
              <w:spacing w:after="0"/>
              <w:rPr>
                <w:sz w:val="14"/>
                <w:szCs w:val="14"/>
                <w:color w:val="auto"/>
              </w:rPr>
            </w:pPr>
          </w:p>
        </w:tc>
        <w:tc>
          <w:tcPr>
            <w:tcW w:w="980" w:type="dxa"/>
            <w:vAlign w:val="bottom"/>
            <w:gridSpan w:val="2"/>
          </w:tcPr>
          <w:p>
            <w:pPr>
              <w:ind w:left="140"/>
              <w:spacing w:after="0" w:line="142" w:lineRule="exact"/>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4"/>
                <w:szCs w:val="14"/>
                <w:color w:val="auto"/>
              </w:rPr>
            </w:pPr>
          </w:p>
        </w:tc>
        <w:tc>
          <w:tcPr>
            <w:tcW w:w="600" w:type="dxa"/>
            <w:vAlign w:val="bottom"/>
          </w:tcPr>
          <w:p>
            <w:pPr>
              <w:jc w:val="right"/>
              <w:ind w:right="8"/>
              <w:spacing w:after="0" w:line="142" w:lineRule="exact"/>
              <w:rPr>
                <w:sz w:val="20"/>
                <w:szCs w:val="20"/>
                <w:color w:val="auto"/>
              </w:rPr>
            </w:pPr>
            <w:r>
              <w:rPr>
                <w:rFonts w:ascii="Arial" w:cs="Arial" w:eastAsia="Arial" w:hAnsi="Arial"/>
                <w:sz w:val="14"/>
                <w:szCs w:val="14"/>
                <w:b w:val="1"/>
                <w:bCs w:val="1"/>
                <w:color w:val="auto"/>
                <w:w w:val="94"/>
              </w:rPr>
              <w:t>Amount</w:t>
            </w: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40" w:type="dxa"/>
            <w:vAlign w:val="bottom"/>
            <w:gridSpan w:val="2"/>
          </w:tcPr>
          <w:p>
            <w:pPr>
              <w:jc w:val="center"/>
              <w:ind w:right="340"/>
              <w:spacing w:after="0" w:line="142" w:lineRule="exact"/>
              <w:rPr>
                <w:sz w:val="20"/>
                <w:szCs w:val="20"/>
                <w:color w:val="auto"/>
              </w:rPr>
            </w:pPr>
            <w:r>
              <w:rPr>
                <w:rFonts w:ascii="Arial" w:cs="Arial" w:eastAsia="Arial" w:hAnsi="Arial"/>
                <w:sz w:val="14"/>
                <w:szCs w:val="14"/>
                <w:b w:val="1"/>
                <w:bCs w:val="1"/>
                <w:color w:val="auto"/>
                <w:w w:val="91"/>
              </w:rPr>
              <w:t>Consideration</w:t>
            </w:r>
          </w:p>
        </w:tc>
        <w:tc>
          <w:tcPr>
            <w:tcW w:w="100" w:type="dxa"/>
            <w:vAlign w:val="bottom"/>
          </w:tcPr>
          <w:p>
            <w:pPr>
              <w:spacing w:after="0"/>
              <w:rPr>
                <w:sz w:val="14"/>
                <w:szCs w:val="14"/>
                <w:color w:val="auto"/>
              </w:rPr>
            </w:pPr>
          </w:p>
        </w:tc>
        <w:tc>
          <w:tcPr>
            <w:tcW w:w="1100" w:type="dxa"/>
            <w:vAlign w:val="bottom"/>
            <w:gridSpan w:val="2"/>
          </w:tcPr>
          <w:p>
            <w:pPr>
              <w:jc w:val="right"/>
              <w:ind w:right="500"/>
              <w:spacing w:after="0" w:line="142" w:lineRule="exact"/>
              <w:rPr>
                <w:sz w:val="20"/>
                <w:szCs w:val="20"/>
                <w:color w:val="auto"/>
              </w:rPr>
            </w:pPr>
            <w:r>
              <w:rPr>
                <w:rFonts w:ascii="Arial" w:cs="Arial" w:eastAsia="Arial" w:hAnsi="Arial"/>
                <w:sz w:val="14"/>
                <w:szCs w:val="14"/>
                <w:b w:val="1"/>
                <w:bCs w:val="1"/>
                <w:color w:val="auto"/>
              </w:rPr>
              <w:t>Capital</w:t>
            </w:r>
          </w:p>
        </w:tc>
        <w:tc>
          <w:tcPr>
            <w:tcW w:w="140" w:type="dxa"/>
            <w:vAlign w:val="bottom"/>
          </w:tcPr>
          <w:p>
            <w:pPr>
              <w:spacing w:after="0"/>
              <w:rPr>
                <w:sz w:val="14"/>
                <w:szCs w:val="14"/>
                <w:color w:val="auto"/>
              </w:rPr>
            </w:pPr>
          </w:p>
        </w:tc>
        <w:tc>
          <w:tcPr>
            <w:tcW w:w="1080" w:type="dxa"/>
            <w:vAlign w:val="bottom"/>
            <w:gridSpan w:val="2"/>
          </w:tcPr>
          <w:p>
            <w:pPr>
              <w:jc w:val="center"/>
              <w:ind w:right="420"/>
              <w:spacing w:after="0" w:line="142" w:lineRule="exact"/>
              <w:rPr>
                <w:sz w:val="20"/>
                <w:szCs w:val="20"/>
                <w:color w:val="auto"/>
              </w:rPr>
            </w:pPr>
            <w:r>
              <w:rPr>
                <w:rFonts w:ascii="Arial" w:cs="Arial" w:eastAsia="Arial" w:hAnsi="Arial"/>
                <w:sz w:val="14"/>
                <w:szCs w:val="14"/>
                <w:b w:val="1"/>
                <w:bCs w:val="1"/>
                <w:color w:val="auto"/>
                <w:w w:val="95"/>
              </w:rPr>
              <w:t>(Deficit)</w:t>
            </w:r>
          </w:p>
        </w:tc>
        <w:tc>
          <w:tcPr>
            <w:tcW w:w="80" w:type="dxa"/>
            <w:vAlign w:val="bottom"/>
          </w:tcPr>
          <w:p>
            <w:pPr>
              <w:spacing w:after="0"/>
              <w:rPr>
                <w:sz w:val="14"/>
                <w:szCs w:val="14"/>
                <w:color w:val="auto"/>
              </w:rPr>
            </w:pPr>
          </w:p>
        </w:tc>
        <w:tc>
          <w:tcPr>
            <w:tcW w:w="1340" w:type="dxa"/>
            <w:vAlign w:val="bottom"/>
            <w:gridSpan w:val="2"/>
          </w:tcPr>
          <w:p>
            <w:pPr>
              <w:jc w:val="center"/>
              <w:ind w:right="380"/>
              <w:spacing w:after="0" w:line="142" w:lineRule="exact"/>
              <w:rPr>
                <w:sz w:val="20"/>
                <w:szCs w:val="20"/>
                <w:color w:val="auto"/>
              </w:rPr>
            </w:pPr>
            <w:r>
              <w:rPr>
                <w:rFonts w:ascii="Arial" w:cs="Arial" w:eastAsia="Arial" w:hAnsi="Arial"/>
                <w:sz w:val="14"/>
                <w:szCs w:val="14"/>
                <w:b w:val="1"/>
                <w:bCs w:val="1"/>
                <w:color w:val="auto"/>
                <w:w w:val="85"/>
              </w:rPr>
              <w:t>Loss</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40" w:type="dxa"/>
            <w:vAlign w:val="bottom"/>
            <w:gridSpan w:val="2"/>
          </w:tcPr>
          <w:p>
            <w:pPr>
              <w:jc w:val="center"/>
              <w:ind w:right="200"/>
              <w:spacing w:after="0" w:line="142" w:lineRule="exact"/>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149"/>
        </w:trPr>
        <w:tc>
          <w:tcPr>
            <w:tcW w:w="3220" w:type="dxa"/>
            <w:vAlign w:val="bottom"/>
            <w:tcBorders>
              <w:top w:val="single" w:sz="8" w:color="CFF0FC"/>
            </w:tcBorders>
            <w:gridSpan w:val="2"/>
            <w:shd w:val="clear" w:color="auto" w:fill="CFF0FC"/>
          </w:tcPr>
          <w:p>
            <w:pPr>
              <w:spacing w:after="0" w:line="149" w:lineRule="exact"/>
              <w:rPr>
                <w:sz w:val="20"/>
                <w:szCs w:val="20"/>
                <w:color w:val="auto"/>
              </w:rPr>
            </w:pPr>
            <w:r>
              <w:rPr>
                <w:rFonts w:ascii="Arial" w:cs="Arial" w:eastAsia="Arial" w:hAnsi="Arial"/>
                <w:sz w:val="14"/>
                <w:szCs w:val="14"/>
                <w:color w:val="auto"/>
              </w:rPr>
              <w:t>Balance as of December 31, 2018</w:t>
            </w:r>
          </w:p>
        </w:tc>
        <w:tc>
          <w:tcPr>
            <w:tcW w:w="720" w:type="dxa"/>
            <w:vAlign w:val="bottom"/>
            <w:tcBorders>
              <w:top w:val="single" w:sz="8" w:color="auto"/>
            </w:tcBorders>
            <w:shd w:val="clear" w:color="auto" w:fill="CFF0FC"/>
          </w:tcPr>
          <w:p>
            <w:pPr>
              <w:jc w:val="right"/>
              <w:spacing w:after="0" w:line="149" w:lineRule="exact"/>
              <w:rPr>
                <w:sz w:val="20"/>
                <w:szCs w:val="20"/>
                <w:color w:val="auto"/>
              </w:rPr>
            </w:pPr>
            <w:r>
              <w:rPr>
                <w:rFonts w:ascii="Arial" w:cs="Arial" w:eastAsia="Arial" w:hAnsi="Arial"/>
                <w:sz w:val="14"/>
                <w:szCs w:val="14"/>
                <w:color w:val="auto"/>
              </w:rPr>
              <w:t>156,057</w:t>
            </w:r>
          </w:p>
        </w:tc>
        <w:tc>
          <w:tcPr>
            <w:tcW w:w="26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jc w:val="right"/>
              <w:spacing w:after="0" w:line="149" w:lineRule="exact"/>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tcBorders>
            <w:shd w:val="clear" w:color="auto" w:fill="CFF0FC"/>
          </w:tcPr>
          <w:p>
            <w:pPr>
              <w:jc w:val="right"/>
              <w:spacing w:after="0" w:line="149" w:lineRule="exact"/>
              <w:rPr>
                <w:sz w:val="20"/>
                <w:szCs w:val="20"/>
                <w:color w:val="auto"/>
              </w:rPr>
            </w:pPr>
            <w:r>
              <w:rPr>
                <w:rFonts w:ascii="Arial" w:cs="Arial" w:eastAsia="Arial" w:hAnsi="Arial"/>
                <w:sz w:val="14"/>
                <w:szCs w:val="14"/>
                <w:color w:val="auto"/>
              </w:rPr>
              <w:t>16</w:t>
            </w:r>
          </w:p>
        </w:tc>
        <w:tc>
          <w:tcPr>
            <w:tcW w:w="280" w:type="dxa"/>
            <w:vAlign w:val="bottom"/>
            <w:tcBorders>
              <w:top w:val="single" w:sz="8" w:color="CFF0FC"/>
            </w:tcBorders>
            <w:shd w:val="clear" w:color="auto" w:fill="CFF0FC"/>
          </w:tcPr>
          <w:p>
            <w:pPr>
              <w:spacing w:after="0"/>
              <w:rPr>
                <w:sz w:val="12"/>
                <w:szCs w:val="12"/>
                <w:color w:val="auto"/>
              </w:rPr>
            </w:pPr>
          </w:p>
        </w:tc>
        <w:tc>
          <w:tcPr>
            <w:tcW w:w="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tcBorders>
            <w:shd w:val="clear" w:color="auto" w:fill="CFF0FC"/>
          </w:tcPr>
          <w:p>
            <w:pPr>
              <w:jc w:val="right"/>
              <w:spacing w:after="0" w:line="149" w:lineRule="exact"/>
              <w:rPr>
                <w:sz w:val="20"/>
                <w:szCs w:val="20"/>
                <w:color w:val="auto"/>
              </w:rPr>
            </w:pPr>
            <w:r>
              <w:rPr>
                <w:rFonts w:ascii="Arial" w:cs="Arial" w:eastAsia="Arial" w:hAnsi="Arial"/>
                <w:sz w:val="14"/>
                <w:szCs w:val="14"/>
                <w:color w:val="auto"/>
              </w:rPr>
              <w:t>73,150</w:t>
            </w:r>
          </w:p>
        </w:tc>
        <w:tc>
          <w:tcPr>
            <w:tcW w:w="26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jc w:val="right"/>
              <w:spacing w:after="0" w:line="149" w:lineRule="exact"/>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tcBorders>
            <w:shd w:val="clear" w:color="auto" w:fill="CFF0FC"/>
          </w:tcPr>
          <w:p>
            <w:pPr>
              <w:jc w:val="right"/>
              <w:spacing w:after="0" w:line="149" w:lineRule="exact"/>
              <w:rPr>
                <w:sz w:val="20"/>
                <w:szCs w:val="20"/>
                <w:color w:val="auto"/>
              </w:rPr>
            </w:pPr>
            <w:r>
              <w:rPr>
                <w:rFonts w:ascii="Arial" w:cs="Arial" w:eastAsia="Arial" w:hAnsi="Arial"/>
                <w:sz w:val="14"/>
                <w:szCs w:val="14"/>
                <w:color w:val="auto"/>
              </w:rPr>
              <w:t>348,017</w:t>
            </w:r>
          </w:p>
        </w:tc>
        <w:tc>
          <w:tcPr>
            <w:tcW w:w="260" w:type="dxa"/>
            <w:vAlign w:val="bottom"/>
            <w:tcBorders>
              <w:top w:val="single" w:sz="8" w:color="CFF0FC"/>
            </w:tcBorders>
            <w:shd w:val="clear" w:color="auto" w:fill="CFF0FC"/>
          </w:tcPr>
          <w:p>
            <w:pPr>
              <w:spacing w:after="0"/>
              <w:rPr>
                <w:sz w:val="12"/>
                <w:szCs w:val="12"/>
                <w:color w:val="auto"/>
              </w:rPr>
            </w:pPr>
          </w:p>
        </w:tc>
        <w:tc>
          <w:tcPr>
            <w:tcW w:w="140" w:type="dxa"/>
            <w:vAlign w:val="bottom"/>
            <w:tcBorders>
              <w:top w:val="single" w:sz="8" w:color="auto"/>
            </w:tcBorders>
            <w:shd w:val="clear" w:color="auto" w:fill="CFF0FC"/>
          </w:tcPr>
          <w:p>
            <w:pPr>
              <w:jc w:val="right"/>
              <w:spacing w:after="0" w:line="149" w:lineRule="exact"/>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tcBorders>
            <w:shd w:val="clear" w:color="auto" w:fill="CFF0FC"/>
          </w:tcPr>
          <w:p>
            <w:pPr>
              <w:jc w:val="right"/>
              <w:spacing w:after="0" w:line="149" w:lineRule="exact"/>
              <w:rPr>
                <w:sz w:val="20"/>
                <w:szCs w:val="20"/>
                <w:color w:val="auto"/>
              </w:rPr>
            </w:pPr>
            <w:r>
              <w:rPr>
                <w:rFonts w:ascii="Arial" w:cs="Arial" w:eastAsia="Arial" w:hAnsi="Arial"/>
                <w:sz w:val="14"/>
                <w:szCs w:val="14"/>
                <w:color w:val="auto"/>
              </w:rPr>
              <w:t>(113,306)</w:t>
            </w:r>
          </w:p>
        </w:tc>
        <w:tc>
          <w:tcPr>
            <w:tcW w:w="26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jc w:val="right"/>
              <w:spacing w:after="0" w:line="149" w:lineRule="exact"/>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tcBorders>
            <w:shd w:val="clear" w:color="auto" w:fill="CFF0FC"/>
          </w:tcPr>
          <w:p>
            <w:pPr>
              <w:jc w:val="right"/>
              <w:spacing w:after="0" w:line="149" w:lineRule="exact"/>
              <w:rPr>
                <w:sz w:val="20"/>
                <w:szCs w:val="20"/>
                <w:color w:val="auto"/>
              </w:rPr>
            </w:pPr>
            <w:r>
              <w:rPr>
                <w:rFonts w:ascii="Arial" w:cs="Arial" w:eastAsia="Arial" w:hAnsi="Arial"/>
                <w:sz w:val="14"/>
                <w:szCs w:val="14"/>
                <w:color w:val="auto"/>
              </w:rPr>
              <w:t>(5,821)</w:t>
            </w:r>
          </w:p>
        </w:tc>
        <w:tc>
          <w:tcPr>
            <w:tcW w:w="280" w:type="dxa"/>
            <w:vAlign w:val="bottom"/>
            <w:tcBorders>
              <w:top w:val="single" w:sz="8" w:color="CFF0FC"/>
            </w:tcBorders>
            <w:shd w:val="clear" w:color="auto" w:fill="CFF0FC"/>
          </w:tcPr>
          <w:p>
            <w:pPr>
              <w:spacing w:after="0"/>
              <w:rPr>
                <w:sz w:val="12"/>
                <w:szCs w:val="12"/>
                <w:color w:val="auto"/>
              </w:rPr>
            </w:pPr>
          </w:p>
        </w:tc>
        <w:tc>
          <w:tcPr>
            <w:tcW w:w="20" w:type="dxa"/>
            <w:vAlign w:val="bottom"/>
            <w:tcBorders>
              <w:top w:val="single" w:sz="8" w:color="CFF0FC"/>
            </w:tcBorders>
            <w:shd w:val="clear" w:color="auto" w:fill="CFF0FC"/>
          </w:tcPr>
          <w:p>
            <w:pPr>
              <w:spacing w:after="0"/>
              <w:rPr>
                <w:sz w:val="12"/>
                <w:szCs w:val="12"/>
                <w:color w:val="auto"/>
              </w:rPr>
            </w:pPr>
          </w:p>
        </w:tc>
        <w:tc>
          <w:tcPr>
            <w:tcW w:w="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tcBorders>
            <w:shd w:val="clear" w:color="auto" w:fill="CFF0FC"/>
          </w:tcPr>
          <w:p>
            <w:pPr>
              <w:jc w:val="right"/>
              <w:spacing w:after="0" w:line="149" w:lineRule="exact"/>
              <w:rPr>
                <w:sz w:val="20"/>
                <w:szCs w:val="20"/>
                <w:color w:val="auto"/>
              </w:rPr>
            </w:pPr>
            <w:r>
              <w:rPr>
                <w:rFonts w:ascii="Arial" w:cs="Arial" w:eastAsia="Arial" w:hAnsi="Arial"/>
                <w:sz w:val="14"/>
                <w:szCs w:val="14"/>
                <w:color w:val="auto"/>
              </w:rPr>
              <w:t>302,056</w:t>
            </w:r>
          </w:p>
        </w:tc>
        <w:tc>
          <w:tcPr>
            <w:tcW w:w="10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220" w:type="dxa"/>
            <w:vAlign w:val="bottom"/>
            <w:gridSpan w:val="2"/>
          </w:tcPr>
          <w:p>
            <w:pPr>
              <w:spacing w:after="0"/>
              <w:rPr>
                <w:sz w:val="20"/>
                <w:szCs w:val="20"/>
                <w:color w:val="auto"/>
              </w:rPr>
            </w:pPr>
            <w:r>
              <w:rPr>
                <w:rFonts w:ascii="Arial" w:cs="Arial" w:eastAsia="Arial" w:hAnsi="Arial"/>
                <w:sz w:val="14"/>
                <w:szCs w:val="14"/>
                <w:color w:val="auto"/>
              </w:rPr>
              <w:t>Net income</w:t>
            </w:r>
          </w:p>
        </w:tc>
        <w:tc>
          <w:tcPr>
            <w:tcW w:w="9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2,820</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2,820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3220" w:type="dxa"/>
            <w:vAlign w:val="bottom"/>
            <w:gridSpan w:val="2"/>
            <w:shd w:val="clear" w:color="auto" w:fill="CFF0FC"/>
          </w:tcPr>
          <w:p>
            <w:pPr>
              <w:spacing w:after="0" w:line="143" w:lineRule="exact"/>
              <w:rPr>
                <w:sz w:val="20"/>
                <w:szCs w:val="20"/>
                <w:color w:val="auto"/>
              </w:rPr>
            </w:pPr>
            <w:r>
              <w:rPr>
                <w:rFonts w:ascii="Arial" w:cs="Arial" w:eastAsia="Arial" w:hAnsi="Arial"/>
                <w:sz w:val="14"/>
                <w:szCs w:val="14"/>
                <w:color w:val="auto"/>
              </w:rPr>
              <w:t>Cumulative effect of adoption of new accounting</w:t>
            </w:r>
          </w:p>
        </w:tc>
        <w:tc>
          <w:tcPr>
            <w:tcW w:w="7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22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standard</w:t>
            </w:r>
          </w:p>
        </w:tc>
        <w:tc>
          <w:tcPr>
            <w:tcW w:w="98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60" w:type="dxa"/>
            <w:vAlign w:val="bottom"/>
            <w:shd w:val="clear" w:color="auto" w:fill="CFF0FC"/>
          </w:tcPr>
          <w:p>
            <w:pPr>
              <w:spacing w:after="0"/>
              <w:rPr>
                <w:sz w:val="14"/>
                <w:szCs w:val="14"/>
                <w:color w:val="auto"/>
              </w:rPr>
            </w:pPr>
          </w:p>
        </w:tc>
        <w:tc>
          <w:tcPr>
            <w:tcW w:w="124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10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108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(257)</w:t>
            </w:r>
          </w:p>
        </w:tc>
        <w:tc>
          <w:tcPr>
            <w:tcW w:w="80" w:type="dxa"/>
            <w:vAlign w:val="bottom"/>
            <w:shd w:val="clear" w:color="auto" w:fill="CFF0FC"/>
          </w:tcPr>
          <w:p>
            <w:pPr>
              <w:spacing w:after="0"/>
              <w:rPr>
                <w:sz w:val="14"/>
                <w:szCs w:val="14"/>
                <w:color w:val="auto"/>
              </w:rPr>
            </w:pPr>
          </w:p>
        </w:tc>
        <w:tc>
          <w:tcPr>
            <w:tcW w:w="134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(257)</w:t>
            </w:r>
          </w:p>
        </w:tc>
        <w:tc>
          <w:tcPr>
            <w:tcW w:w="0" w:type="dxa"/>
            <w:vAlign w:val="bottom"/>
          </w:tcPr>
          <w:p>
            <w:pPr>
              <w:spacing w:after="0"/>
              <w:rPr>
                <w:sz w:val="1"/>
                <w:szCs w:val="1"/>
                <w:color w:val="auto"/>
              </w:rPr>
            </w:pPr>
          </w:p>
        </w:tc>
      </w:tr>
      <w:tr>
        <w:trPr>
          <w:trHeight w:val="162"/>
        </w:trPr>
        <w:tc>
          <w:tcPr>
            <w:tcW w:w="3220" w:type="dxa"/>
            <w:vAlign w:val="bottom"/>
            <w:gridSpan w:val="2"/>
          </w:tcPr>
          <w:p>
            <w:pPr>
              <w:spacing w:after="0"/>
              <w:rPr>
                <w:sz w:val="20"/>
                <w:szCs w:val="20"/>
                <w:color w:val="auto"/>
              </w:rPr>
            </w:pPr>
            <w:r>
              <w:rPr>
                <w:rFonts w:ascii="Arial" w:cs="Arial" w:eastAsia="Arial" w:hAnsi="Arial"/>
                <w:sz w:val="14"/>
                <w:szCs w:val="14"/>
                <w:color w:val="auto"/>
              </w:rPr>
              <w:t>Adjustment to equity infusion from Gores</w:t>
            </w:r>
          </w:p>
        </w:tc>
        <w:tc>
          <w:tcPr>
            <w:tcW w:w="9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(6,205)</w:t>
            </w:r>
          </w:p>
        </w:tc>
        <w:tc>
          <w:tcPr>
            <w:tcW w:w="140" w:type="dxa"/>
            <w:vAlign w:val="bottom"/>
          </w:tcPr>
          <w:p>
            <w:pPr>
              <w:spacing w:after="0"/>
              <w:rPr>
                <w:sz w:val="14"/>
                <w:szCs w:val="14"/>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4"/>
                <w:szCs w:val="14"/>
                <w:color w:val="auto"/>
              </w:rPr>
              <w:t>(6,205)</w:t>
            </w:r>
          </w:p>
        </w:tc>
        <w:tc>
          <w:tcPr>
            <w:tcW w:w="0" w:type="dxa"/>
            <w:vAlign w:val="bottom"/>
          </w:tcPr>
          <w:p>
            <w:pPr>
              <w:spacing w:after="0"/>
              <w:rPr>
                <w:sz w:val="1"/>
                <w:szCs w:val="1"/>
                <w:color w:val="auto"/>
              </w:rPr>
            </w:pPr>
          </w:p>
        </w:tc>
      </w:tr>
      <w:tr>
        <w:trPr>
          <w:trHeight w:val="162"/>
        </w:trPr>
        <w:tc>
          <w:tcPr>
            <w:tcW w:w="322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Adjustment to tax receivable agreement liability</w:t>
            </w:r>
          </w:p>
        </w:tc>
        <w:tc>
          <w:tcPr>
            <w:tcW w:w="98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60" w:type="dxa"/>
            <w:vAlign w:val="bottom"/>
            <w:shd w:val="clear" w:color="auto" w:fill="CFF0FC"/>
          </w:tcPr>
          <w:p>
            <w:pPr>
              <w:spacing w:after="0"/>
              <w:rPr>
                <w:sz w:val="14"/>
                <w:szCs w:val="14"/>
                <w:color w:val="auto"/>
              </w:rPr>
            </w:pPr>
          </w:p>
        </w:tc>
        <w:tc>
          <w:tcPr>
            <w:tcW w:w="124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2,940</w:t>
            </w:r>
          </w:p>
        </w:tc>
        <w:tc>
          <w:tcPr>
            <w:tcW w:w="2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8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34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2,940</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220" w:type="dxa"/>
            <w:vAlign w:val="bottom"/>
            <w:gridSpan w:val="2"/>
          </w:tcPr>
          <w:p>
            <w:pPr>
              <w:spacing w:after="0"/>
              <w:rPr>
                <w:sz w:val="20"/>
                <w:szCs w:val="20"/>
                <w:color w:val="auto"/>
              </w:rPr>
            </w:pPr>
            <w:r>
              <w:rPr>
                <w:rFonts w:ascii="Arial" w:cs="Arial" w:eastAsia="Arial" w:hAnsi="Arial"/>
                <w:sz w:val="14"/>
                <w:szCs w:val="14"/>
                <w:color w:val="auto"/>
              </w:rPr>
              <w:t>Stock-based compensation</w:t>
            </w:r>
          </w:p>
        </w:tc>
        <w:tc>
          <w:tcPr>
            <w:tcW w:w="9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2,143</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2,143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22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Other comprehensive income</w:t>
            </w:r>
          </w:p>
        </w:tc>
        <w:tc>
          <w:tcPr>
            <w:tcW w:w="98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60" w:type="dxa"/>
            <w:vAlign w:val="bottom"/>
            <w:shd w:val="clear" w:color="auto" w:fill="CFF0FC"/>
          </w:tcPr>
          <w:p>
            <w:pPr>
              <w:spacing w:after="0"/>
              <w:rPr>
                <w:sz w:val="14"/>
                <w:szCs w:val="14"/>
                <w:color w:val="auto"/>
              </w:rPr>
            </w:pPr>
          </w:p>
        </w:tc>
        <w:tc>
          <w:tcPr>
            <w:tcW w:w="124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10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108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1,324</w:t>
            </w:r>
          </w:p>
        </w:tc>
        <w:tc>
          <w:tcPr>
            <w:tcW w:w="28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1,324</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220" w:type="dxa"/>
            <w:vAlign w:val="bottom"/>
            <w:gridSpan w:val="2"/>
          </w:tcPr>
          <w:p>
            <w:pPr>
              <w:spacing w:after="0" w:line="155" w:lineRule="exact"/>
              <w:rPr>
                <w:sz w:val="20"/>
                <w:szCs w:val="20"/>
                <w:color w:val="auto"/>
              </w:rPr>
            </w:pPr>
            <w:r>
              <w:rPr>
                <w:rFonts w:ascii="Arial" w:cs="Arial" w:eastAsia="Arial" w:hAnsi="Arial"/>
                <w:sz w:val="14"/>
                <w:szCs w:val="14"/>
                <w:color w:val="auto"/>
              </w:rPr>
              <w:t>Balance as of March 31, 2019</w:t>
            </w:r>
          </w:p>
        </w:tc>
        <w:tc>
          <w:tcPr>
            <w:tcW w:w="7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156,057</w:t>
            </w:r>
          </w:p>
        </w:tc>
        <w:tc>
          <w:tcPr>
            <w:tcW w:w="2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16</w:t>
            </w:r>
          </w:p>
        </w:tc>
        <w:tc>
          <w:tcPr>
            <w:tcW w:w="28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73,150</w:t>
            </w:r>
          </w:p>
        </w:tc>
        <w:tc>
          <w:tcPr>
            <w:tcW w:w="26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346,895</w:t>
            </w:r>
          </w:p>
        </w:tc>
        <w:tc>
          <w:tcPr>
            <w:tcW w:w="26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(110,743)</w:t>
            </w:r>
          </w:p>
        </w:tc>
        <w:tc>
          <w:tcPr>
            <w:tcW w:w="2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(4,497)</w:t>
            </w: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304,821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22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Net income</w:t>
            </w:r>
          </w:p>
        </w:tc>
        <w:tc>
          <w:tcPr>
            <w:tcW w:w="98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60" w:type="dxa"/>
            <w:vAlign w:val="bottom"/>
            <w:shd w:val="clear" w:color="auto" w:fill="CFF0FC"/>
          </w:tcPr>
          <w:p>
            <w:pPr>
              <w:spacing w:after="0"/>
              <w:rPr>
                <w:sz w:val="14"/>
                <w:szCs w:val="14"/>
                <w:color w:val="auto"/>
              </w:rPr>
            </w:pPr>
          </w:p>
        </w:tc>
        <w:tc>
          <w:tcPr>
            <w:tcW w:w="124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10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3,591</w:t>
            </w:r>
          </w:p>
        </w:tc>
        <w:tc>
          <w:tcPr>
            <w:tcW w:w="2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34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3,591</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220" w:type="dxa"/>
            <w:vAlign w:val="bottom"/>
            <w:gridSpan w:val="2"/>
          </w:tcPr>
          <w:p>
            <w:pPr>
              <w:spacing w:after="0"/>
              <w:rPr>
                <w:sz w:val="20"/>
                <w:szCs w:val="20"/>
                <w:color w:val="auto"/>
              </w:rPr>
            </w:pPr>
            <w:r>
              <w:rPr>
                <w:rFonts w:ascii="Arial" w:cs="Arial" w:eastAsia="Arial" w:hAnsi="Arial"/>
                <w:sz w:val="14"/>
                <w:szCs w:val="14"/>
                <w:color w:val="auto"/>
              </w:rPr>
              <w:t>Earn-out shares issued to Platinum Stockholder</w:t>
            </w:r>
          </w:p>
        </w:tc>
        <w:tc>
          <w:tcPr>
            <w:tcW w:w="720" w:type="dxa"/>
            <w:vAlign w:val="bottom"/>
          </w:tcPr>
          <w:p>
            <w:pPr>
              <w:jc w:val="right"/>
              <w:spacing w:after="0"/>
              <w:rPr>
                <w:sz w:val="20"/>
                <w:szCs w:val="20"/>
                <w:color w:val="auto"/>
              </w:rPr>
            </w:pPr>
            <w:r>
              <w:rPr>
                <w:rFonts w:ascii="Arial" w:cs="Arial" w:eastAsia="Arial" w:hAnsi="Arial"/>
                <w:sz w:val="14"/>
                <w:szCs w:val="14"/>
                <w:color w:val="auto"/>
              </w:rPr>
              <w:t>2,500</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(18,288)</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18,288</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22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Vesting of restricted stock units</w:t>
            </w: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53</w:t>
            </w:r>
          </w:p>
        </w:tc>
        <w:tc>
          <w:tcPr>
            <w:tcW w:w="2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60" w:type="dxa"/>
            <w:vAlign w:val="bottom"/>
            <w:shd w:val="clear" w:color="auto" w:fill="CFF0FC"/>
          </w:tcPr>
          <w:p>
            <w:pPr>
              <w:spacing w:after="0"/>
              <w:rPr>
                <w:sz w:val="14"/>
                <w:szCs w:val="14"/>
                <w:color w:val="auto"/>
              </w:rPr>
            </w:pPr>
          </w:p>
        </w:tc>
        <w:tc>
          <w:tcPr>
            <w:tcW w:w="124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10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108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34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220" w:type="dxa"/>
            <w:vAlign w:val="bottom"/>
            <w:gridSpan w:val="2"/>
          </w:tcPr>
          <w:p>
            <w:pPr>
              <w:spacing w:after="0"/>
              <w:rPr>
                <w:sz w:val="20"/>
                <w:szCs w:val="20"/>
                <w:color w:val="auto"/>
              </w:rPr>
            </w:pPr>
            <w:r>
              <w:rPr>
                <w:rFonts w:ascii="Arial" w:cs="Arial" w:eastAsia="Arial" w:hAnsi="Arial"/>
                <w:sz w:val="14"/>
                <w:szCs w:val="14"/>
                <w:color w:val="auto"/>
              </w:rPr>
              <w:t>Stock-based compensation</w:t>
            </w:r>
          </w:p>
        </w:tc>
        <w:tc>
          <w:tcPr>
            <w:tcW w:w="9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2,812</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2,812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22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Other comprehensive loss</w:t>
            </w:r>
          </w:p>
        </w:tc>
        <w:tc>
          <w:tcPr>
            <w:tcW w:w="98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60" w:type="dxa"/>
            <w:vAlign w:val="bottom"/>
            <w:shd w:val="clear" w:color="auto" w:fill="CFF0FC"/>
          </w:tcPr>
          <w:p>
            <w:pPr>
              <w:spacing w:after="0"/>
              <w:rPr>
                <w:sz w:val="14"/>
                <w:szCs w:val="14"/>
                <w:color w:val="auto"/>
              </w:rPr>
            </w:pPr>
          </w:p>
        </w:tc>
        <w:tc>
          <w:tcPr>
            <w:tcW w:w="124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10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108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34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(1,396)</w:t>
            </w:r>
          </w:p>
        </w:tc>
        <w:tc>
          <w:tcPr>
            <w:tcW w:w="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(1,396)</w:t>
            </w:r>
          </w:p>
        </w:tc>
        <w:tc>
          <w:tcPr>
            <w:tcW w:w="0" w:type="dxa"/>
            <w:vAlign w:val="bottom"/>
          </w:tcPr>
          <w:p>
            <w:pPr>
              <w:spacing w:after="0"/>
              <w:rPr>
                <w:sz w:val="1"/>
                <w:szCs w:val="1"/>
                <w:color w:val="auto"/>
              </w:rPr>
            </w:pPr>
          </w:p>
        </w:tc>
      </w:tr>
      <w:tr>
        <w:trPr>
          <w:trHeight w:val="156"/>
        </w:trPr>
        <w:tc>
          <w:tcPr>
            <w:tcW w:w="3220" w:type="dxa"/>
            <w:vAlign w:val="bottom"/>
            <w:gridSpan w:val="2"/>
          </w:tcPr>
          <w:p>
            <w:pPr>
              <w:spacing w:after="0" w:line="155" w:lineRule="exact"/>
              <w:rPr>
                <w:sz w:val="20"/>
                <w:szCs w:val="20"/>
                <w:color w:val="auto"/>
              </w:rPr>
            </w:pPr>
            <w:r>
              <w:rPr>
                <w:rFonts w:ascii="Arial" w:cs="Arial" w:eastAsia="Arial" w:hAnsi="Arial"/>
                <w:sz w:val="14"/>
                <w:szCs w:val="14"/>
                <w:color w:val="auto"/>
              </w:rPr>
              <w:t>Balance as of June 30, 2019</w:t>
            </w: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158,610</w:t>
            </w:r>
          </w:p>
        </w:tc>
        <w:tc>
          <w:tcPr>
            <w:tcW w:w="26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16</w:t>
            </w:r>
          </w:p>
        </w:tc>
        <w:tc>
          <w:tcPr>
            <w:tcW w:w="280" w:type="dxa"/>
            <w:vAlign w:val="bottom"/>
          </w:tcPr>
          <w:p>
            <w:pPr>
              <w:spacing w:after="0"/>
              <w:rPr>
                <w:sz w:val="13"/>
                <w:szCs w:val="13"/>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54,862</w:t>
            </w:r>
          </w:p>
        </w:tc>
        <w:tc>
          <w:tcPr>
            <w:tcW w:w="26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367,995</w:t>
            </w:r>
          </w:p>
        </w:tc>
        <w:tc>
          <w:tcPr>
            <w:tcW w:w="26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(107,152)</w:t>
            </w:r>
          </w:p>
        </w:tc>
        <w:tc>
          <w:tcPr>
            <w:tcW w:w="26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(5,893)</w:t>
            </w:r>
          </w:p>
        </w:tc>
        <w:tc>
          <w:tcPr>
            <w:tcW w:w="28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309,828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 the Three and Six Months Ended June 30, 2018</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20" w:type="dxa"/>
            <w:vAlign w:val="bottom"/>
            <w:shd w:val="clear" w:color="auto" w:fill="CFF0FC"/>
          </w:tcPr>
          <w:p>
            <w:pPr>
              <w:spacing w:after="0"/>
              <w:rPr>
                <w:sz w:val="20"/>
                <w:szCs w:val="20"/>
                <w:color w:val="auto"/>
              </w:rPr>
            </w:pPr>
            <w:r>
              <w:rPr>
                <w:rFonts w:ascii="Arial" w:cs="Arial" w:eastAsia="Arial" w:hAnsi="Arial"/>
                <w:sz w:val="14"/>
                <w:szCs w:val="14"/>
                <w:color w:val="auto"/>
              </w:rPr>
              <w:t>Balance as of December 31, 2017</w:t>
            </w: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60,484</w:t>
            </w:r>
          </w:p>
        </w:tc>
        <w:tc>
          <w:tcPr>
            <w:tcW w:w="260" w:type="dxa"/>
            <w:vAlign w:val="bottom"/>
            <w:shd w:val="clear" w:color="auto" w:fill="CFF0FC"/>
          </w:tcPr>
          <w:p>
            <w:pPr>
              <w:spacing w:after="0"/>
              <w:rPr>
                <w:sz w:val="14"/>
                <w:szCs w:val="14"/>
                <w:color w:val="auto"/>
              </w:rPr>
            </w:pPr>
          </w:p>
        </w:tc>
        <w:tc>
          <w:tcPr>
            <w:tcW w:w="300" w:type="dxa"/>
            <w:vAlign w:val="bottom"/>
            <w:shd w:val="clear" w:color="auto" w:fill="CFF0FC"/>
          </w:tcPr>
          <w:p>
            <w:pPr>
              <w:jc w:val="right"/>
              <w:ind w:right="148"/>
              <w:spacing w:after="0"/>
              <w:rPr>
                <w:sz w:val="20"/>
                <w:szCs w:val="20"/>
                <w:color w:val="auto"/>
              </w:rPr>
            </w:pPr>
            <w:r>
              <w:rPr>
                <w:rFonts w:ascii="Arial" w:cs="Arial" w:eastAsia="Arial" w:hAnsi="Arial"/>
                <w:sz w:val="14"/>
                <w:szCs w:val="14"/>
                <w:color w:val="auto"/>
                <w:w w:val="76"/>
              </w:rPr>
              <w:t>$</w:t>
            </w:r>
          </w:p>
        </w:tc>
        <w:tc>
          <w:tcPr>
            <w:tcW w:w="3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w:t>
            </w:r>
          </w:p>
        </w:tc>
        <w:tc>
          <w:tcPr>
            <w:tcW w:w="280" w:type="dxa"/>
            <w:vAlign w:val="bottom"/>
            <w:shd w:val="clear" w:color="auto" w:fill="CFF0FC"/>
          </w:tcPr>
          <w:p>
            <w:pPr>
              <w:spacing w:after="0"/>
              <w:rPr>
                <w:sz w:val="14"/>
                <w:szCs w:val="14"/>
                <w:color w:val="auto"/>
              </w:rPr>
            </w:pPr>
          </w:p>
        </w:tc>
        <w:tc>
          <w:tcPr>
            <w:tcW w:w="480" w:type="dxa"/>
            <w:vAlign w:val="bottom"/>
            <w:shd w:val="clear" w:color="auto" w:fill="CFF0FC"/>
          </w:tcPr>
          <w:p>
            <w:pPr>
              <w:jc w:val="right"/>
              <w:ind w:right="369"/>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FF0FC"/>
          </w:tcPr>
          <w:p>
            <w:pPr>
              <w:ind w:left="400"/>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w w:val="76"/>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129,020</w:t>
            </w:r>
          </w:p>
        </w:tc>
        <w:tc>
          <w:tcPr>
            <w:tcW w:w="260" w:type="dxa"/>
            <w:vAlign w:val="bottom"/>
            <w:shd w:val="clear" w:color="auto" w:fill="CFF0FC"/>
          </w:tcPr>
          <w:p>
            <w:pPr>
              <w:spacing w:after="0"/>
              <w:rPr>
                <w:sz w:val="14"/>
                <w:szCs w:val="14"/>
                <w:color w:val="auto"/>
              </w:rPr>
            </w:pPr>
          </w:p>
        </w:tc>
        <w:tc>
          <w:tcPr>
            <w:tcW w:w="280" w:type="dxa"/>
            <w:vAlign w:val="bottom"/>
            <w:shd w:val="clear" w:color="auto" w:fill="CFF0FC"/>
          </w:tcPr>
          <w:p>
            <w:pPr>
              <w:jc w:val="right"/>
              <w:ind w:right="128"/>
              <w:spacing w:after="0"/>
              <w:rPr>
                <w:sz w:val="20"/>
                <w:szCs w:val="20"/>
                <w:color w:val="auto"/>
              </w:rPr>
            </w:pPr>
            <w:r>
              <w:rPr>
                <w:rFonts w:ascii="Arial" w:cs="Arial" w:eastAsia="Arial" w:hAnsi="Arial"/>
                <w:sz w:val="14"/>
                <w:szCs w:val="14"/>
                <w:color w:val="auto"/>
                <w:w w:val="76"/>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18,238</w:t>
            </w:r>
          </w:p>
        </w:tc>
        <w:tc>
          <w:tcPr>
            <w:tcW w:w="260" w:type="dxa"/>
            <w:vAlign w:val="bottom"/>
            <w:shd w:val="clear" w:color="auto" w:fill="CFF0FC"/>
          </w:tcPr>
          <w:p>
            <w:pPr>
              <w:spacing w:after="0"/>
              <w:rPr>
                <w:sz w:val="14"/>
                <w:szCs w:val="14"/>
                <w:color w:val="auto"/>
              </w:rPr>
            </w:pPr>
          </w:p>
        </w:tc>
        <w:tc>
          <w:tcPr>
            <w:tcW w:w="420" w:type="dxa"/>
            <w:vAlign w:val="bottom"/>
            <w:shd w:val="clear" w:color="auto" w:fill="CFF0FC"/>
          </w:tcPr>
          <w:p>
            <w:pPr>
              <w:jc w:val="right"/>
              <w:ind w:right="268"/>
              <w:spacing w:after="0"/>
              <w:rPr>
                <w:sz w:val="20"/>
                <w:szCs w:val="20"/>
                <w:color w:val="auto"/>
              </w:rPr>
            </w:pPr>
            <w:r>
              <w:rPr>
                <w:rFonts w:ascii="Arial" w:cs="Arial" w:eastAsia="Arial" w:hAnsi="Arial"/>
                <w:sz w:val="14"/>
                <w:szCs w:val="14"/>
                <w:color w:val="auto"/>
                <w:w w:val="76"/>
              </w:rPr>
              <w:t>$</w:t>
            </w:r>
          </w:p>
        </w:tc>
        <w:tc>
          <w:tcPr>
            <w:tcW w:w="100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300" w:type="dxa"/>
            <w:vAlign w:val="bottom"/>
            <w:shd w:val="clear" w:color="auto" w:fill="CFF0FC"/>
          </w:tcPr>
          <w:p>
            <w:pPr>
              <w:jc w:val="right"/>
              <w:ind w:right="148"/>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147,264</w:t>
            </w:r>
          </w:p>
        </w:tc>
        <w:tc>
          <w:tcPr>
            <w:tcW w:w="100" w:type="dxa"/>
            <w:vAlign w:val="bottom"/>
            <w:shd w:val="clear" w:color="auto" w:fill="CFF0FC"/>
          </w:tcPr>
          <w:p>
            <w:pPr>
              <w:spacing w:after="0"/>
              <w:rPr>
                <w:sz w:val="14"/>
                <w:szCs w:val="14"/>
                <w:color w:val="auto"/>
              </w:rPr>
            </w:pPr>
          </w:p>
        </w:tc>
      </w:tr>
      <w:tr>
        <w:trPr>
          <w:trHeight w:val="162"/>
        </w:trPr>
        <w:tc>
          <w:tcPr>
            <w:tcW w:w="3220" w:type="dxa"/>
            <w:vAlign w:val="bottom"/>
          </w:tcPr>
          <w:p>
            <w:pPr>
              <w:spacing w:after="0"/>
              <w:rPr>
                <w:sz w:val="20"/>
                <w:szCs w:val="20"/>
                <w:color w:val="auto"/>
              </w:rPr>
            </w:pPr>
            <w:r>
              <w:rPr>
                <w:rFonts w:ascii="Arial" w:cs="Arial" w:eastAsia="Arial" w:hAnsi="Arial"/>
                <w:sz w:val="14"/>
                <w:szCs w:val="14"/>
                <w:color w:val="auto"/>
              </w:rPr>
              <w:t>Net loss</w:t>
            </w:r>
          </w:p>
        </w:tc>
        <w:tc>
          <w:tcPr>
            <w:tcW w:w="9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4"/>
                <w:szCs w:val="14"/>
                <w:color w:val="auto"/>
              </w:rPr>
            </w:pPr>
          </w:p>
        </w:tc>
        <w:tc>
          <w:tcPr>
            <w:tcW w:w="6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4"/>
                <w:szCs w:val="14"/>
                <w:color w:val="auto"/>
              </w:rPr>
            </w:pPr>
          </w:p>
        </w:tc>
        <w:tc>
          <w:tcPr>
            <w:tcW w:w="820" w:type="dxa"/>
            <w:vAlign w:val="bottom"/>
            <w:gridSpan w:val="2"/>
          </w:tcPr>
          <w:p>
            <w:pPr>
              <w:ind w:left="40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(22,158)</w:t>
            </w:r>
          </w:p>
        </w:tc>
        <w:tc>
          <w:tcPr>
            <w:tcW w:w="420" w:type="dxa"/>
            <w:vAlign w:val="bottom"/>
          </w:tcPr>
          <w:p>
            <w:pPr>
              <w:spacing w:after="0"/>
              <w:rPr>
                <w:sz w:val="14"/>
                <w:szCs w:val="14"/>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4"/>
                <w:szCs w:val="14"/>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(22,158)</w:t>
            </w:r>
          </w:p>
        </w:tc>
      </w:tr>
      <w:tr>
        <w:trPr>
          <w:trHeight w:val="162"/>
        </w:trPr>
        <w:tc>
          <w:tcPr>
            <w:tcW w:w="3220" w:type="dxa"/>
            <w:vAlign w:val="bottom"/>
            <w:shd w:val="clear" w:color="auto" w:fill="CFF0FC"/>
          </w:tcPr>
          <w:p>
            <w:pPr>
              <w:spacing w:after="0"/>
              <w:rPr>
                <w:sz w:val="20"/>
                <w:szCs w:val="20"/>
                <w:color w:val="auto"/>
              </w:rPr>
            </w:pPr>
            <w:r>
              <w:rPr>
                <w:rFonts w:ascii="Arial" w:cs="Arial" w:eastAsia="Arial" w:hAnsi="Arial"/>
                <w:sz w:val="14"/>
                <w:szCs w:val="14"/>
                <w:color w:val="auto"/>
              </w:rPr>
              <w:t>Stock issued in exchange for HTA acquisition</w:t>
            </w: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6,051</w:t>
            </w:r>
          </w:p>
        </w:tc>
        <w:tc>
          <w:tcPr>
            <w:tcW w:w="2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w:t>
            </w:r>
          </w:p>
        </w:tc>
        <w:tc>
          <w:tcPr>
            <w:tcW w:w="28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820" w:type="dxa"/>
            <w:vAlign w:val="bottom"/>
            <w:gridSpan w:val="2"/>
            <w:shd w:val="clear" w:color="auto" w:fill="CFF0FC"/>
          </w:tcPr>
          <w:p>
            <w:pPr>
              <w:ind w:left="400"/>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57,270</w:t>
            </w:r>
          </w:p>
        </w:tc>
        <w:tc>
          <w:tcPr>
            <w:tcW w:w="2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42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30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57,271</w:t>
            </w:r>
          </w:p>
        </w:tc>
        <w:tc>
          <w:tcPr>
            <w:tcW w:w="100" w:type="dxa"/>
            <w:vAlign w:val="bottom"/>
            <w:shd w:val="clear" w:color="auto" w:fill="CFF0FC"/>
          </w:tcPr>
          <w:p>
            <w:pPr>
              <w:spacing w:after="0"/>
              <w:rPr>
                <w:sz w:val="14"/>
                <w:szCs w:val="14"/>
                <w:color w:val="auto"/>
              </w:rPr>
            </w:pPr>
          </w:p>
        </w:tc>
      </w:tr>
      <w:tr>
        <w:trPr>
          <w:trHeight w:val="156"/>
        </w:trPr>
        <w:tc>
          <w:tcPr>
            <w:tcW w:w="3220" w:type="dxa"/>
            <w:vAlign w:val="bottom"/>
          </w:tcPr>
          <w:p>
            <w:pPr>
              <w:spacing w:after="0" w:line="155" w:lineRule="exact"/>
              <w:rPr>
                <w:sz w:val="20"/>
                <w:szCs w:val="20"/>
                <w:color w:val="auto"/>
              </w:rPr>
            </w:pPr>
            <w:r>
              <w:rPr>
                <w:rFonts w:ascii="Arial" w:cs="Arial" w:eastAsia="Arial" w:hAnsi="Arial"/>
                <w:sz w:val="14"/>
                <w:szCs w:val="14"/>
                <w:color w:val="auto"/>
              </w:rPr>
              <w:t>Balance as of March 31, 2018</w:t>
            </w:r>
          </w:p>
        </w:tc>
        <w:tc>
          <w:tcPr>
            <w:tcW w:w="7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66,535</w:t>
            </w:r>
          </w:p>
        </w:tc>
        <w:tc>
          <w:tcPr>
            <w:tcW w:w="26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7</w:t>
            </w:r>
          </w:p>
        </w:tc>
        <w:tc>
          <w:tcPr>
            <w:tcW w:w="280" w:type="dxa"/>
            <w:vAlign w:val="bottom"/>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ind w:left="400"/>
              <w:spacing w:after="0" w:line="155" w:lineRule="exact"/>
              <w:rPr>
                <w:sz w:val="20"/>
                <w:szCs w:val="20"/>
                <w:color w:val="auto"/>
              </w:rPr>
            </w:pPr>
            <w:r>
              <w:rPr>
                <w:rFonts w:ascii="Arial" w:cs="Arial" w:eastAsia="Arial" w:hAnsi="Arial"/>
                <w:sz w:val="14"/>
                <w:szCs w:val="14"/>
                <w:color w:val="auto"/>
                <w:w w:val="99"/>
              </w:rPr>
              <w:t>—</w:t>
            </w:r>
          </w:p>
        </w:tc>
        <w:tc>
          <w:tcPr>
            <w:tcW w:w="26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186,290</w:t>
            </w:r>
          </w:p>
        </w:tc>
        <w:tc>
          <w:tcPr>
            <w:tcW w:w="26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(3,920)</w:t>
            </w:r>
          </w:p>
        </w:tc>
        <w:tc>
          <w:tcPr>
            <w:tcW w:w="260" w:type="dxa"/>
            <w:vAlign w:val="bottom"/>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182,377</w:t>
            </w:r>
          </w:p>
        </w:tc>
        <w:tc>
          <w:tcPr>
            <w:tcW w:w="100" w:type="dxa"/>
            <w:vAlign w:val="bottom"/>
          </w:tcPr>
          <w:p>
            <w:pPr>
              <w:spacing w:after="0"/>
              <w:rPr>
                <w:sz w:val="13"/>
                <w:szCs w:val="13"/>
                <w:color w:val="auto"/>
              </w:rPr>
            </w:pPr>
          </w:p>
        </w:tc>
      </w:tr>
      <w:tr>
        <w:trPr>
          <w:trHeight w:val="162"/>
        </w:trPr>
        <w:tc>
          <w:tcPr>
            <w:tcW w:w="3220" w:type="dxa"/>
            <w:vAlign w:val="bottom"/>
            <w:shd w:val="clear" w:color="auto" w:fill="CFF0FC"/>
          </w:tcPr>
          <w:p>
            <w:pPr>
              <w:spacing w:after="0"/>
              <w:rPr>
                <w:sz w:val="20"/>
                <w:szCs w:val="20"/>
                <w:color w:val="auto"/>
              </w:rPr>
            </w:pPr>
            <w:r>
              <w:rPr>
                <w:rFonts w:ascii="Arial" w:cs="Arial" w:eastAsia="Arial" w:hAnsi="Arial"/>
                <w:sz w:val="14"/>
                <w:szCs w:val="14"/>
                <w:color w:val="auto"/>
              </w:rPr>
              <w:t>Net loss</w:t>
            </w:r>
          </w:p>
        </w:tc>
        <w:tc>
          <w:tcPr>
            <w:tcW w:w="98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300" w:type="dxa"/>
            <w:vAlign w:val="bottom"/>
            <w:shd w:val="clear" w:color="auto" w:fill="CFF0FC"/>
          </w:tcPr>
          <w:p>
            <w:pPr>
              <w:spacing w:after="0"/>
              <w:rPr>
                <w:sz w:val="14"/>
                <w:szCs w:val="14"/>
                <w:color w:val="auto"/>
              </w:rPr>
            </w:pPr>
          </w:p>
        </w:tc>
        <w:tc>
          <w:tcPr>
            <w:tcW w:w="66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480" w:type="dxa"/>
            <w:vAlign w:val="bottom"/>
            <w:shd w:val="clear" w:color="auto" w:fill="CFF0FC"/>
          </w:tcPr>
          <w:p>
            <w:pPr>
              <w:spacing w:after="0"/>
              <w:rPr>
                <w:sz w:val="14"/>
                <w:szCs w:val="14"/>
                <w:color w:val="auto"/>
              </w:rPr>
            </w:pPr>
          </w:p>
        </w:tc>
        <w:tc>
          <w:tcPr>
            <w:tcW w:w="820" w:type="dxa"/>
            <w:vAlign w:val="bottom"/>
            <w:gridSpan w:val="2"/>
            <w:shd w:val="clear" w:color="auto" w:fill="CFF0FC"/>
          </w:tcPr>
          <w:p>
            <w:pPr>
              <w:ind w:left="400"/>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(4,795)</w:t>
            </w:r>
          </w:p>
        </w:tc>
        <w:tc>
          <w:tcPr>
            <w:tcW w:w="42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30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(4,795)</w:t>
            </w:r>
          </w:p>
        </w:tc>
      </w:tr>
      <w:tr>
        <w:trPr>
          <w:trHeight w:val="162"/>
        </w:trPr>
        <w:tc>
          <w:tcPr>
            <w:tcW w:w="3220" w:type="dxa"/>
            <w:vAlign w:val="bottom"/>
          </w:tcPr>
          <w:p>
            <w:pPr>
              <w:spacing w:after="0"/>
              <w:rPr>
                <w:sz w:val="20"/>
                <w:szCs w:val="20"/>
                <w:color w:val="auto"/>
              </w:rPr>
            </w:pPr>
            <w:r>
              <w:rPr>
                <w:rFonts w:ascii="Arial" w:cs="Arial" w:eastAsia="Arial" w:hAnsi="Arial"/>
                <w:sz w:val="14"/>
                <w:szCs w:val="14"/>
                <w:color w:val="auto"/>
              </w:rPr>
              <w:t>Stock issued in exchange for EPC acquisition</w:t>
            </w:r>
          </w:p>
        </w:tc>
        <w:tc>
          <w:tcPr>
            <w:tcW w:w="720" w:type="dxa"/>
            <w:vAlign w:val="bottom"/>
          </w:tcPr>
          <w:p>
            <w:pPr>
              <w:jc w:val="right"/>
              <w:spacing w:after="0"/>
              <w:rPr>
                <w:sz w:val="20"/>
                <w:szCs w:val="20"/>
                <w:color w:val="auto"/>
              </w:rPr>
            </w:pPr>
            <w:r>
              <w:rPr>
                <w:rFonts w:ascii="Arial" w:cs="Arial" w:eastAsia="Arial" w:hAnsi="Arial"/>
                <w:sz w:val="14"/>
                <w:szCs w:val="14"/>
                <w:color w:val="auto"/>
              </w:rPr>
              <w:t>6,369</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1</w:t>
            </w: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gridSpan w:val="2"/>
          </w:tcPr>
          <w:p>
            <w:pPr>
              <w:ind w:left="40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60,284</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4"/>
                <w:szCs w:val="14"/>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60,285</w:t>
            </w:r>
          </w:p>
        </w:tc>
        <w:tc>
          <w:tcPr>
            <w:tcW w:w="100" w:type="dxa"/>
            <w:vAlign w:val="bottom"/>
          </w:tcPr>
          <w:p>
            <w:pPr>
              <w:spacing w:after="0"/>
              <w:rPr>
                <w:sz w:val="14"/>
                <w:szCs w:val="14"/>
                <w:color w:val="auto"/>
              </w:rPr>
            </w:pPr>
          </w:p>
        </w:tc>
      </w:tr>
      <w:tr>
        <w:trPr>
          <w:trHeight w:val="162"/>
        </w:trPr>
        <w:tc>
          <w:tcPr>
            <w:tcW w:w="3220" w:type="dxa"/>
            <w:vAlign w:val="bottom"/>
            <w:shd w:val="clear" w:color="auto" w:fill="CFF0FC"/>
          </w:tcPr>
          <w:p>
            <w:pPr>
              <w:spacing w:after="0"/>
              <w:rPr>
                <w:sz w:val="20"/>
                <w:szCs w:val="20"/>
                <w:color w:val="auto"/>
              </w:rPr>
            </w:pPr>
            <w:r>
              <w:rPr>
                <w:rFonts w:ascii="Arial" w:cs="Arial" w:eastAsia="Arial" w:hAnsi="Arial"/>
                <w:sz w:val="14"/>
                <w:szCs w:val="14"/>
                <w:color w:val="auto"/>
              </w:rPr>
              <w:t>Other comprehensive loss</w:t>
            </w: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560" w:type="dxa"/>
            <w:vAlign w:val="bottom"/>
            <w:shd w:val="clear" w:color="auto" w:fill="CFF0FC"/>
          </w:tcPr>
          <w:p>
            <w:pPr>
              <w:ind w:left="400"/>
              <w:spacing w:after="0"/>
              <w:rPr>
                <w:sz w:val="20"/>
                <w:szCs w:val="20"/>
                <w:color w:val="auto"/>
              </w:rPr>
            </w:pPr>
            <w:r>
              <w:rPr>
                <w:rFonts w:ascii="Arial" w:cs="Arial" w:eastAsia="Arial" w:hAnsi="Arial"/>
                <w:sz w:val="14"/>
                <w:szCs w:val="14"/>
                <w:color w:val="auto"/>
                <w:w w:val="99"/>
              </w:rPr>
              <w:t>—</w:t>
            </w:r>
          </w:p>
        </w:tc>
        <w:tc>
          <w:tcPr>
            <w:tcW w:w="2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(3,712)</w:t>
            </w:r>
          </w:p>
        </w:tc>
        <w:tc>
          <w:tcPr>
            <w:tcW w:w="30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(3,712)</w:t>
            </w:r>
          </w:p>
        </w:tc>
      </w:tr>
      <w:tr>
        <w:trPr>
          <w:trHeight w:val="20"/>
        </w:trPr>
        <w:tc>
          <w:tcPr>
            <w:tcW w:w="32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3220" w:type="dxa"/>
            <w:vAlign w:val="bottom"/>
          </w:tcPr>
          <w:p>
            <w:pPr>
              <w:spacing w:after="0"/>
              <w:rPr>
                <w:sz w:val="20"/>
                <w:szCs w:val="20"/>
                <w:color w:val="auto"/>
              </w:rPr>
            </w:pPr>
            <w:r>
              <w:rPr>
                <w:rFonts w:ascii="Arial" w:cs="Arial" w:eastAsia="Arial" w:hAnsi="Arial"/>
                <w:sz w:val="14"/>
                <w:szCs w:val="14"/>
                <w:color w:val="auto"/>
              </w:rPr>
              <w:t>Balance as of June 30, 2018</w:t>
            </w:r>
          </w:p>
        </w:tc>
        <w:tc>
          <w:tcPr>
            <w:tcW w:w="720" w:type="dxa"/>
            <w:vAlign w:val="bottom"/>
          </w:tcPr>
          <w:p>
            <w:pPr>
              <w:jc w:val="right"/>
              <w:spacing w:after="0"/>
              <w:rPr>
                <w:sz w:val="20"/>
                <w:szCs w:val="20"/>
                <w:color w:val="auto"/>
              </w:rPr>
            </w:pPr>
            <w:r>
              <w:rPr>
                <w:rFonts w:ascii="Arial" w:cs="Arial" w:eastAsia="Arial" w:hAnsi="Arial"/>
                <w:sz w:val="14"/>
                <w:szCs w:val="14"/>
                <w:color w:val="auto"/>
              </w:rPr>
              <w:t>72,904</w:t>
            </w:r>
          </w:p>
        </w:tc>
        <w:tc>
          <w:tcPr>
            <w:tcW w:w="260" w:type="dxa"/>
            <w:vAlign w:val="bottom"/>
          </w:tcPr>
          <w:p>
            <w:pPr>
              <w:spacing w:after="0"/>
              <w:rPr>
                <w:sz w:val="19"/>
                <w:szCs w:val="19"/>
                <w:color w:val="auto"/>
              </w:rPr>
            </w:pP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380" w:type="dxa"/>
            <w:vAlign w:val="bottom"/>
          </w:tcPr>
          <w:p>
            <w:pPr>
              <w:jc w:val="right"/>
              <w:spacing w:after="0"/>
              <w:rPr>
                <w:sz w:val="20"/>
                <w:szCs w:val="20"/>
                <w:color w:val="auto"/>
              </w:rPr>
            </w:pPr>
            <w:r>
              <w:rPr>
                <w:rFonts w:ascii="Arial" w:cs="Arial" w:eastAsia="Arial" w:hAnsi="Arial"/>
                <w:sz w:val="14"/>
                <w:szCs w:val="14"/>
                <w:color w:val="auto"/>
              </w:rPr>
              <w:t>8</w:t>
            </w:r>
          </w:p>
        </w:tc>
        <w:tc>
          <w:tcPr>
            <w:tcW w:w="280" w:type="dxa"/>
            <w:vAlign w:val="bottom"/>
          </w:tcPr>
          <w:p>
            <w:pPr>
              <w:spacing w:after="0"/>
              <w:rPr>
                <w:sz w:val="19"/>
                <w:szCs w:val="19"/>
                <w:color w:val="auto"/>
              </w:rPr>
            </w:pPr>
          </w:p>
        </w:tc>
        <w:tc>
          <w:tcPr>
            <w:tcW w:w="480" w:type="dxa"/>
            <w:vAlign w:val="bottom"/>
          </w:tcPr>
          <w:p>
            <w:pPr>
              <w:jc w:val="right"/>
              <w:ind w:right="369"/>
              <w:spacing w:after="0"/>
              <w:rPr>
                <w:sz w:val="20"/>
                <w:szCs w:val="20"/>
                <w:color w:val="auto"/>
              </w:rPr>
            </w:pPr>
            <w:r>
              <w:rPr>
                <w:rFonts w:ascii="Arial" w:cs="Arial" w:eastAsia="Arial" w:hAnsi="Arial"/>
                <w:sz w:val="10"/>
                <w:szCs w:val="10"/>
                <w:color w:val="auto"/>
                <w:w w:val="71"/>
              </w:rPr>
              <w:t>$</w:t>
            </w:r>
          </w:p>
        </w:tc>
        <w:tc>
          <w:tcPr>
            <w:tcW w:w="560" w:type="dxa"/>
            <w:vAlign w:val="bottom"/>
          </w:tcPr>
          <w:p>
            <w:pPr>
              <w:ind w:left="400"/>
              <w:spacing w:after="0"/>
              <w:rPr>
                <w:sz w:val="20"/>
                <w:szCs w:val="20"/>
                <w:color w:val="auto"/>
              </w:rPr>
            </w:pPr>
            <w:r>
              <w:rPr>
                <w:rFonts w:ascii="Arial" w:cs="Arial" w:eastAsia="Arial" w:hAnsi="Arial"/>
                <w:sz w:val="14"/>
                <w:szCs w:val="14"/>
                <w:color w:val="auto"/>
                <w:w w:val="99"/>
              </w:rPr>
              <w:t>—</w:t>
            </w:r>
          </w:p>
        </w:tc>
        <w:tc>
          <w:tcPr>
            <w:tcW w:w="260" w:type="dxa"/>
            <w:vAlign w:val="bottom"/>
          </w:tcPr>
          <w:p>
            <w:pPr>
              <w:spacing w:after="0"/>
              <w:rPr>
                <w:sz w:val="19"/>
                <w:szCs w:val="19"/>
                <w:color w:val="auto"/>
              </w:rPr>
            </w:pP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246,574</w:t>
            </w:r>
          </w:p>
        </w:tc>
        <w:tc>
          <w:tcPr>
            <w:tcW w:w="260" w:type="dxa"/>
            <w:vAlign w:val="bottom"/>
          </w:tcPr>
          <w:p>
            <w:pPr>
              <w:spacing w:after="0"/>
              <w:rPr>
                <w:sz w:val="19"/>
                <w:szCs w:val="19"/>
                <w:color w:val="auto"/>
              </w:rPr>
            </w:pP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(8,715)</w:t>
            </w:r>
          </w:p>
        </w:tc>
        <w:tc>
          <w:tcPr>
            <w:tcW w:w="420" w:type="dxa"/>
            <w:vAlign w:val="bottom"/>
          </w:tcPr>
          <w:p>
            <w:pPr>
              <w:jc w:val="right"/>
              <w:ind w:right="268"/>
              <w:spacing w:after="0"/>
              <w:rPr>
                <w:sz w:val="20"/>
                <w:szCs w:val="20"/>
                <w:color w:val="auto"/>
              </w:rPr>
            </w:pPr>
            <w:r>
              <w:rPr>
                <w:rFonts w:ascii="Arial" w:cs="Arial" w:eastAsia="Arial" w:hAnsi="Arial"/>
                <w:sz w:val="14"/>
                <w:szCs w:val="14"/>
                <w:color w:val="auto"/>
                <w:w w:val="76"/>
              </w:rPr>
              <w:t>$</w:t>
            </w: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(3,712)</w:t>
            </w: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234,155</w:t>
            </w:r>
          </w:p>
        </w:tc>
        <w:tc>
          <w:tcPr>
            <w:tcW w:w="100" w:type="dxa"/>
            <w:vAlign w:val="bottom"/>
          </w:tcPr>
          <w:p>
            <w:pPr>
              <w:spacing w:after="0"/>
              <w:rPr>
                <w:sz w:val="19"/>
                <w:szCs w:val="19"/>
                <w:color w:val="auto"/>
              </w:rPr>
            </w:pPr>
          </w:p>
        </w:tc>
      </w:tr>
      <w:tr>
        <w:trPr>
          <w:trHeight w:val="20"/>
        </w:trPr>
        <w:tc>
          <w:tcPr>
            <w:tcW w:w="32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6" w:name="page7"/>
    <w:bookmarkEnd w:id="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VERRA MOBILITY CORPORATION</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00" w:type="dxa"/>
            <w:vAlign w:val="bottom"/>
            <w:vMerge w:val="restart"/>
          </w:tcPr>
          <w:p>
            <w:pPr>
              <w:spacing w:after="0"/>
              <w:rPr>
                <w:sz w:val="20"/>
                <w:szCs w:val="20"/>
                <w:color w:val="auto"/>
              </w:rPr>
            </w:pPr>
            <w:r>
              <w:rPr>
                <w:rFonts w:ascii="Arial" w:cs="Arial" w:eastAsia="Arial" w:hAnsi="Arial"/>
                <w:sz w:val="14"/>
                <w:szCs w:val="14"/>
                <w:b w:val="1"/>
                <w:bCs w:val="1"/>
                <w:u w:val="single" w:color="auto"/>
                <w:color w:val="auto"/>
                <w:w w:val="90"/>
              </w:rPr>
              <w:t>(</w:t>
            </w:r>
            <w:r>
              <w:rPr>
                <w:rFonts w:ascii="Arial" w:cs="Arial" w:eastAsia="Arial" w:hAnsi="Arial"/>
                <w:sz w:val="14"/>
                <w:szCs w:val="14"/>
                <w:b w:val="1"/>
                <w:bCs w:val="1"/>
                <w:color w:val="auto"/>
                <w:w w:val="90"/>
              </w:rPr>
              <w:t>$ in thousands)</w:t>
            </w:r>
          </w:p>
        </w:tc>
        <w:tc>
          <w:tcPr>
            <w:tcW w:w="6080" w:type="dxa"/>
            <w:vAlign w:val="bottom"/>
            <w:vMerge w:val="restart"/>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0" w:type="dxa"/>
            <w:vAlign w:val="bottom"/>
            <w:gridSpan w:val="6"/>
          </w:tcPr>
          <w:p>
            <w:pPr>
              <w:jc w:val="right"/>
              <w:ind w:right="100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62"/>
        </w:trPr>
        <w:tc>
          <w:tcPr>
            <w:tcW w:w="1000" w:type="dxa"/>
            <w:vAlign w:val="bottom"/>
            <w:tcBorders>
              <w:bottom w:val="single" w:sz="8" w:color="auto"/>
            </w:tcBorders>
            <w:vMerge w:val="continue"/>
          </w:tcPr>
          <w:p>
            <w:pPr>
              <w:spacing w:after="0"/>
              <w:rPr>
                <w:sz w:val="14"/>
                <w:szCs w:val="14"/>
                <w:color w:val="auto"/>
              </w:rPr>
            </w:pPr>
          </w:p>
        </w:tc>
        <w:tc>
          <w:tcPr>
            <w:tcW w:w="6080" w:type="dxa"/>
            <w:vAlign w:val="bottom"/>
            <w:vMerge w:val="continue"/>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jc w:val="right"/>
              <w:ind w:right="571"/>
              <w:spacing w:after="0" w:line="142" w:lineRule="exact"/>
              <w:rPr>
                <w:sz w:val="20"/>
                <w:szCs w:val="20"/>
                <w:color w:val="auto"/>
              </w:rPr>
            </w:pPr>
            <w:r>
              <w:rPr>
                <w:rFonts w:ascii="Arial" w:cs="Arial" w:eastAsia="Arial" w:hAnsi="Arial"/>
                <w:sz w:val="14"/>
                <w:szCs w:val="14"/>
                <w:b w:val="1"/>
                <w:bCs w:val="1"/>
                <w:color w:val="auto"/>
              </w:rPr>
              <w:t>2019</w:t>
            </w:r>
          </w:p>
        </w:tc>
        <w:tc>
          <w:tcPr>
            <w:tcW w:w="28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jc w:val="right"/>
              <w:ind w:right="571"/>
              <w:spacing w:after="0" w:line="142" w:lineRule="exact"/>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708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780" w:type="dxa"/>
            <w:vAlign w:val="bottom"/>
            <w:tcBorders>
              <w:top w:val="single" w:sz="8" w:color="CFF0FC"/>
            </w:tcBorders>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122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12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080" w:type="dxa"/>
            <w:vAlign w:val="bottom"/>
            <w:gridSpan w:val="2"/>
          </w:tcPr>
          <w:p>
            <w:pPr>
              <w:spacing w:after="0"/>
              <w:rPr>
                <w:sz w:val="20"/>
                <w:szCs w:val="20"/>
                <w:color w:val="auto"/>
              </w:rPr>
            </w:pPr>
            <w:r>
              <w:rPr>
                <w:rFonts w:ascii="Arial" w:cs="Arial" w:eastAsia="Arial" w:hAnsi="Arial"/>
                <w:sz w:val="18"/>
                <w:szCs w:val="18"/>
                <w:color w:val="auto"/>
              </w:rPr>
              <w:t>Net income (loss)</w:t>
            </w:r>
          </w:p>
        </w:tc>
        <w:tc>
          <w:tcPr>
            <w:tcW w:w="114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6,411</w:t>
            </w:r>
          </w:p>
        </w:tc>
        <w:tc>
          <w:tcPr>
            <w:tcW w:w="280" w:type="dxa"/>
            <w:vAlign w:val="bottom"/>
          </w:tcPr>
          <w:p>
            <w:pPr>
              <w:spacing w:after="0"/>
              <w:rPr>
                <w:sz w:val="19"/>
                <w:szCs w:val="19"/>
                <w:color w:val="auto"/>
              </w:rPr>
            </w:pPr>
          </w:p>
        </w:tc>
        <w:tc>
          <w:tcPr>
            <w:tcW w:w="360" w:type="dxa"/>
            <w:vAlign w:val="bottom"/>
            <w:gridSpan w:val="2"/>
          </w:tcPr>
          <w:p>
            <w:pPr>
              <w:jc w:val="right"/>
              <w:ind w:right="230"/>
              <w:spacing w:after="0"/>
              <w:rPr>
                <w:sz w:val="20"/>
                <w:szCs w:val="20"/>
                <w:color w:val="auto"/>
              </w:rPr>
            </w:pPr>
            <w:r>
              <w:rPr>
                <w:rFonts w:ascii="Arial" w:cs="Arial" w:eastAsia="Arial" w:hAnsi="Arial"/>
                <w:sz w:val="15"/>
                <w:szCs w:val="15"/>
                <w:color w:val="auto"/>
                <w:w w:val="71"/>
              </w:rPr>
              <w:t>$</w:t>
            </w: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(26,953)</w:t>
            </w:r>
          </w:p>
        </w:tc>
        <w:tc>
          <w:tcPr>
            <w:tcW w:w="0" w:type="dxa"/>
            <w:vAlign w:val="bottom"/>
          </w:tcPr>
          <w:p>
            <w:pPr>
              <w:spacing w:after="0"/>
              <w:rPr>
                <w:sz w:val="1"/>
                <w:szCs w:val="1"/>
                <w:color w:val="auto"/>
              </w:rPr>
            </w:pPr>
          </w:p>
        </w:tc>
      </w:tr>
      <w:tr>
        <w:trPr>
          <w:trHeight w:val="230"/>
        </w:trPr>
        <w:tc>
          <w:tcPr>
            <w:tcW w:w="70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Adjustments to reconcile net income (loss) to net cash provided by operating activities:</w:t>
            </w:r>
          </w:p>
        </w:tc>
        <w:tc>
          <w:tcPr>
            <w:tcW w:w="7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gridSpan w:val="2"/>
          </w:tcPr>
          <w:p>
            <w:pPr>
              <w:ind w:left="260"/>
              <w:spacing w:after="0"/>
              <w:rPr>
                <w:sz w:val="20"/>
                <w:szCs w:val="20"/>
                <w:color w:val="auto"/>
              </w:rPr>
            </w:pPr>
            <w:r>
              <w:rPr>
                <w:rFonts w:ascii="Arial" w:cs="Arial" w:eastAsia="Arial" w:hAnsi="Arial"/>
                <w:sz w:val="18"/>
                <w:szCs w:val="18"/>
                <w:color w:val="auto"/>
              </w:rPr>
              <w:t>Depreciation and amortization</w:t>
            </w:r>
          </w:p>
        </w:tc>
        <w:tc>
          <w:tcPr>
            <w:tcW w:w="7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57,804</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46,047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Amortization of deferred financing costs and discounts</w:t>
            </w:r>
          </w:p>
        </w:tc>
        <w:tc>
          <w:tcPr>
            <w:tcW w:w="7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3,589</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4,215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gridSpan w:val="2"/>
          </w:tcPr>
          <w:p>
            <w:pPr>
              <w:ind w:left="260"/>
              <w:spacing w:after="0"/>
              <w:rPr>
                <w:sz w:val="20"/>
                <w:szCs w:val="20"/>
                <w:color w:val="auto"/>
              </w:rPr>
            </w:pPr>
            <w:r>
              <w:rPr>
                <w:rFonts w:ascii="Arial" w:cs="Arial" w:eastAsia="Arial" w:hAnsi="Arial"/>
                <w:sz w:val="18"/>
                <w:szCs w:val="18"/>
                <w:color w:val="auto"/>
              </w:rPr>
              <w:t>Impairment of property and equipment</w:t>
            </w:r>
          </w:p>
        </w:tc>
        <w:tc>
          <w:tcPr>
            <w:tcW w:w="7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5,898</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0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Bad debt expense</w:t>
            </w:r>
          </w:p>
        </w:tc>
        <w:tc>
          <w:tcPr>
            <w:tcW w:w="7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2,736</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2,437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gridSpan w:val="2"/>
          </w:tcPr>
          <w:p>
            <w:pPr>
              <w:ind w:left="260"/>
              <w:spacing w:after="0"/>
              <w:rPr>
                <w:sz w:val="20"/>
                <w:szCs w:val="20"/>
                <w:color w:val="auto"/>
              </w:rPr>
            </w:pPr>
            <w:r>
              <w:rPr>
                <w:rFonts w:ascii="Arial" w:cs="Arial" w:eastAsia="Arial" w:hAnsi="Arial"/>
                <w:sz w:val="18"/>
                <w:szCs w:val="18"/>
                <w:color w:val="auto"/>
              </w:rPr>
              <w:t>Deferred income taxes</w:t>
            </w:r>
          </w:p>
        </w:tc>
        <w:tc>
          <w:tcPr>
            <w:tcW w:w="7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(11,568)</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(10,949)</w:t>
            </w:r>
          </w:p>
        </w:tc>
        <w:tc>
          <w:tcPr>
            <w:tcW w:w="0" w:type="dxa"/>
            <w:vAlign w:val="bottom"/>
          </w:tcPr>
          <w:p>
            <w:pPr>
              <w:spacing w:after="0"/>
              <w:rPr>
                <w:sz w:val="1"/>
                <w:szCs w:val="1"/>
                <w:color w:val="auto"/>
              </w:rPr>
            </w:pPr>
          </w:p>
        </w:tc>
      </w:tr>
      <w:tr>
        <w:trPr>
          <w:trHeight w:val="230"/>
        </w:trPr>
        <w:tc>
          <w:tcPr>
            <w:tcW w:w="70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Stock-based compensation</w:t>
            </w:r>
          </w:p>
        </w:tc>
        <w:tc>
          <w:tcPr>
            <w:tcW w:w="7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4,955</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080" w:type="dxa"/>
            <w:vAlign w:val="bottom"/>
            <w:gridSpan w:val="2"/>
          </w:tcPr>
          <w:p>
            <w:pPr>
              <w:ind w:left="260"/>
              <w:spacing w:after="0"/>
              <w:rPr>
                <w:sz w:val="20"/>
                <w:szCs w:val="20"/>
                <w:color w:val="auto"/>
              </w:rPr>
            </w:pPr>
            <w:r>
              <w:rPr>
                <w:rFonts w:ascii="Arial" w:cs="Arial" w:eastAsia="Arial" w:hAnsi="Arial"/>
                <w:sz w:val="18"/>
                <w:szCs w:val="18"/>
                <w:color w:val="auto"/>
              </w:rPr>
              <w:t>Loss on extinguishment of debt</w:t>
            </w:r>
          </w:p>
        </w:tc>
        <w:tc>
          <w:tcPr>
            <w:tcW w:w="7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10,151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Installation and service parts expense</w:t>
            </w:r>
          </w:p>
        </w:tc>
        <w:tc>
          <w:tcPr>
            <w:tcW w:w="7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643</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gridSpan w:val="2"/>
          </w:tcPr>
          <w:p>
            <w:pPr>
              <w:ind w:left="260"/>
              <w:spacing w:after="0"/>
              <w:rPr>
                <w:sz w:val="20"/>
                <w:szCs w:val="20"/>
                <w:color w:val="auto"/>
              </w:rPr>
            </w:pPr>
            <w:r>
              <w:rPr>
                <w:rFonts w:ascii="Arial" w:cs="Arial" w:eastAsia="Arial" w:hAnsi="Arial"/>
                <w:sz w:val="18"/>
                <w:szCs w:val="18"/>
                <w:color w:val="auto"/>
              </w:rPr>
              <w:t>Accretion expense</w:t>
            </w:r>
          </w:p>
        </w:tc>
        <w:tc>
          <w:tcPr>
            <w:tcW w:w="7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183</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194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Write-downs of installation and service parts and (gain) on disposal of assets</w:t>
            </w:r>
          </w:p>
        </w:tc>
        <w:tc>
          <w:tcPr>
            <w:tcW w:w="7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(13)</w:t>
            </w: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0"/>
        </w:trPr>
        <w:tc>
          <w:tcPr>
            <w:tcW w:w="7080" w:type="dxa"/>
            <w:vAlign w:val="bottom"/>
            <w:gridSpan w:val="2"/>
          </w:tcPr>
          <w:p>
            <w:pPr>
              <w:spacing w:after="0"/>
              <w:rPr>
                <w:sz w:val="20"/>
                <w:szCs w:val="20"/>
                <w:color w:val="auto"/>
              </w:rPr>
            </w:pPr>
            <w:r>
              <w:rPr>
                <w:rFonts w:ascii="Arial" w:cs="Arial" w:eastAsia="Arial" w:hAnsi="Arial"/>
                <w:sz w:val="18"/>
                <w:szCs w:val="18"/>
                <w:color w:val="auto"/>
              </w:rPr>
              <w:t>Changes in operating assets and liabilities:</w:t>
            </w:r>
          </w:p>
        </w:tc>
        <w:tc>
          <w:tcPr>
            <w:tcW w:w="7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Accounts receivable, net</w:t>
            </w:r>
          </w:p>
        </w:tc>
        <w:tc>
          <w:tcPr>
            <w:tcW w:w="7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(21,433)</w:t>
            </w: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(3,490)</w:t>
            </w:r>
          </w:p>
        </w:tc>
        <w:tc>
          <w:tcPr>
            <w:tcW w:w="0" w:type="dxa"/>
            <w:vAlign w:val="bottom"/>
          </w:tcPr>
          <w:p>
            <w:pPr>
              <w:spacing w:after="0"/>
              <w:rPr>
                <w:sz w:val="1"/>
                <w:szCs w:val="1"/>
                <w:color w:val="auto"/>
              </w:rPr>
            </w:pPr>
          </w:p>
        </w:tc>
      </w:tr>
      <w:tr>
        <w:trPr>
          <w:trHeight w:val="230"/>
        </w:trPr>
        <w:tc>
          <w:tcPr>
            <w:tcW w:w="7080" w:type="dxa"/>
            <w:vAlign w:val="bottom"/>
            <w:gridSpan w:val="2"/>
          </w:tcPr>
          <w:p>
            <w:pPr>
              <w:ind w:left="260"/>
              <w:spacing w:after="0"/>
              <w:rPr>
                <w:sz w:val="20"/>
                <w:szCs w:val="20"/>
                <w:color w:val="auto"/>
              </w:rPr>
            </w:pPr>
            <w:r>
              <w:rPr>
                <w:rFonts w:ascii="Arial" w:cs="Arial" w:eastAsia="Arial" w:hAnsi="Arial"/>
                <w:sz w:val="18"/>
                <w:szCs w:val="18"/>
                <w:color w:val="auto"/>
              </w:rPr>
              <w:t>Unbilled receivables</w:t>
            </w:r>
          </w:p>
        </w:tc>
        <w:tc>
          <w:tcPr>
            <w:tcW w:w="7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(616)</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(8,017)</w:t>
            </w:r>
          </w:p>
        </w:tc>
        <w:tc>
          <w:tcPr>
            <w:tcW w:w="0" w:type="dxa"/>
            <w:vAlign w:val="bottom"/>
          </w:tcPr>
          <w:p>
            <w:pPr>
              <w:spacing w:after="0"/>
              <w:rPr>
                <w:sz w:val="1"/>
                <w:szCs w:val="1"/>
                <w:color w:val="auto"/>
              </w:rPr>
            </w:pPr>
          </w:p>
        </w:tc>
      </w:tr>
      <w:tr>
        <w:trPr>
          <w:trHeight w:val="230"/>
        </w:trPr>
        <w:tc>
          <w:tcPr>
            <w:tcW w:w="70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Prepaid expense and other current assets</w:t>
            </w:r>
          </w:p>
        </w:tc>
        <w:tc>
          <w:tcPr>
            <w:tcW w:w="7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(3,848)</w:t>
            </w: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(428)</w:t>
            </w:r>
          </w:p>
        </w:tc>
        <w:tc>
          <w:tcPr>
            <w:tcW w:w="0" w:type="dxa"/>
            <w:vAlign w:val="bottom"/>
          </w:tcPr>
          <w:p>
            <w:pPr>
              <w:spacing w:after="0"/>
              <w:rPr>
                <w:sz w:val="1"/>
                <w:szCs w:val="1"/>
                <w:color w:val="auto"/>
              </w:rPr>
            </w:pPr>
          </w:p>
        </w:tc>
      </w:tr>
      <w:tr>
        <w:trPr>
          <w:trHeight w:val="230"/>
        </w:trPr>
        <w:tc>
          <w:tcPr>
            <w:tcW w:w="7080" w:type="dxa"/>
            <w:vAlign w:val="bottom"/>
            <w:gridSpan w:val="2"/>
          </w:tcPr>
          <w:p>
            <w:pPr>
              <w:ind w:left="260"/>
              <w:spacing w:after="0"/>
              <w:rPr>
                <w:sz w:val="20"/>
                <w:szCs w:val="20"/>
                <w:color w:val="auto"/>
              </w:rPr>
            </w:pPr>
            <w:r>
              <w:rPr>
                <w:rFonts w:ascii="Arial" w:cs="Arial" w:eastAsia="Arial" w:hAnsi="Arial"/>
                <w:sz w:val="18"/>
                <w:szCs w:val="18"/>
                <w:color w:val="auto"/>
              </w:rPr>
              <w:t>Other assets</w:t>
            </w:r>
          </w:p>
        </w:tc>
        <w:tc>
          <w:tcPr>
            <w:tcW w:w="7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(351)</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(715)</w:t>
            </w:r>
          </w:p>
        </w:tc>
        <w:tc>
          <w:tcPr>
            <w:tcW w:w="0" w:type="dxa"/>
            <w:vAlign w:val="bottom"/>
          </w:tcPr>
          <w:p>
            <w:pPr>
              <w:spacing w:after="0"/>
              <w:rPr>
                <w:sz w:val="1"/>
                <w:szCs w:val="1"/>
                <w:color w:val="auto"/>
              </w:rPr>
            </w:pPr>
          </w:p>
        </w:tc>
      </w:tr>
      <w:tr>
        <w:trPr>
          <w:trHeight w:val="230"/>
        </w:trPr>
        <w:tc>
          <w:tcPr>
            <w:tcW w:w="70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Accounts payable and accrued liabilities</w:t>
            </w:r>
          </w:p>
        </w:tc>
        <w:tc>
          <w:tcPr>
            <w:tcW w:w="7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5,224</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(467)</w:t>
            </w:r>
          </w:p>
        </w:tc>
        <w:tc>
          <w:tcPr>
            <w:tcW w:w="0" w:type="dxa"/>
            <w:vAlign w:val="bottom"/>
          </w:tcPr>
          <w:p>
            <w:pPr>
              <w:spacing w:after="0"/>
              <w:rPr>
                <w:sz w:val="1"/>
                <w:szCs w:val="1"/>
                <w:color w:val="auto"/>
              </w:rPr>
            </w:pPr>
          </w:p>
        </w:tc>
      </w:tr>
      <w:tr>
        <w:trPr>
          <w:trHeight w:val="230"/>
        </w:trPr>
        <w:tc>
          <w:tcPr>
            <w:tcW w:w="7080" w:type="dxa"/>
            <w:vAlign w:val="bottom"/>
            <w:gridSpan w:val="2"/>
          </w:tcPr>
          <w:p>
            <w:pPr>
              <w:ind w:left="260"/>
              <w:spacing w:after="0"/>
              <w:rPr>
                <w:sz w:val="20"/>
                <w:szCs w:val="20"/>
                <w:color w:val="auto"/>
              </w:rPr>
            </w:pPr>
            <w:r>
              <w:rPr>
                <w:rFonts w:ascii="Arial" w:cs="Arial" w:eastAsia="Arial" w:hAnsi="Arial"/>
                <w:sz w:val="18"/>
                <w:szCs w:val="18"/>
                <w:color w:val="auto"/>
              </w:rPr>
              <w:t>Other liabilities</w:t>
            </w:r>
          </w:p>
        </w:tc>
        <w:tc>
          <w:tcPr>
            <w:tcW w:w="7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(3,833)</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272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8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Net cash provided by operating activities</w:t>
            </w:r>
          </w:p>
        </w:tc>
        <w:tc>
          <w:tcPr>
            <w:tcW w:w="78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1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45,781</w:t>
            </w: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1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12,534</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gridSpan w:val="2"/>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7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Acquisition of businesses, net of cash and restricted cash acquired</w:t>
            </w:r>
          </w:p>
        </w:tc>
        <w:tc>
          <w:tcPr>
            <w:tcW w:w="7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(525,362)</w:t>
            </w:r>
          </w:p>
        </w:tc>
        <w:tc>
          <w:tcPr>
            <w:tcW w:w="0" w:type="dxa"/>
            <w:vAlign w:val="bottom"/>
          </w:tcPr>
          <w:p>
            <w:pPr>
              <w:spacing w:after="0"/>
              <w:rPr>
                <w:sz w:val="1"/>
                <w:szCs w:val="1"/>
                <w:color w:val="auto"/>
              </w:rPr>
            </w:pPr>
          </w:p>
        </w:tc>
      </w:tr>
      <w:tr>
        <w:trPr>
          <w:trHeight w:val="230"/>
        </w:trPr>
        <w:tc>
          <w:tcPr>
            <w:tcW w:w="7080" w:type="dxa"/>
            <w:vAlign w:val="bottom"/>
            <w:gridSpan w:val="2"/>
          </w:tcPr>
          <w:p>
            <w:pPr>
              <w:ind w:left="260"/>
              <w:spacing w:after="0"/>
              <w:rPr>
                <w:sz w:val="20"/>
                <w:szCs w:val="20"/>
                <w:color w:val="auto"/>
              </w:rPr>
            </w:pPr>
            <w:r>
              <w:rPr>
                <w:rFonts w:ascii="Arial" w:cs="Arial" w:eastAsia="Arial" w:hAnsi="Arial"/>
                <w:sz w:val="18"/>
                <w:szCs w:val="18"/>
                <w:color w:val="auto"/>
              </w:rPr>
              <w:t>Purchases of installation and service parts and property and equipment</w:t>
            </w:r>
          </w:p>
        </w:tc>
        <w:tc>
          <w:tcPr>
            <w:tcW w:w="7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(14,192)</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(11,109)</w:t>
            </w:r>
          </w:p>
        </w:tc>
        <w:tc>
          <w:tcPr>
            <w:tcW w:w="0" w:type="dxa"/>
            <w:vAlign w:val="bottom"/>
          </w:tcPr>
          <w:p>
            <w:pPr>
              <w:spacing w:after="0"/>
              <w:rPr>
                <w:sz w:val="1"/>
                <w:szCs w:val="1"/>
                <w:color w:val="auto"/>
              </w:rPr>
            </w:pPr>
          </w:p>
        </w:tc>
      </w:tr>
      <w:tr>
        <w:trPr>
          <w:trHeight w:val="230"/>
        </w:trPr>
        <w:tc>
          <w:tcPr>
            <w:tcW w:w="70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Cash proceeds from the sale of assets and insurance recoveries</w:t>
            </w:r>
          </w:p>
        </w:tc>
        <w:tc>
          <w:tcPr>
            <w:tcW w:w="78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80" w:type="dxa"/>
            <w:vAlign w:val="bottom"/>
            <w:gridSpan w:val="2"/>
          </w:tcPr>
          <w:p>
            <w:pPr>
              <w:spacing w:after="0"/>
              <w:rPr>
                <w:sz w:val="20"/>
                <w:szCs w:val="20"/>
                <w:color w:val="auto"/>
              </w:rPr>
            </w:pPr>
            <w:r>
              <w:rPr>
                <w:rFonts w:ascii="Arial" w:cs="Arial" w:eastAsia="Arial" w:hAnsi="Arial"/>
                <w:sz w:val="18"/>
                <w:szCs w:val="18"/>
                <w:color w:val="auto"/>
              </w:rPr>
              <w:t>Net cash used in investing activities</w:t>
            </w:r>
          </w:p>
        </w:tc>
        <w:tc>
          <w:tcPr>
            <w:tcW w:w="7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(14,178)</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(536,468)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7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gridSpan w:val="2"/>
          </w:tcPr>
          <w:p>
            <w:pPr>
              <w:ind w:left="260"/>
              <w:spacing w:after="0"/>
              <w:rPr>
                <w:sz w:val="20"/>
                <w:szCs w:val="20"/>
                <w:color w:val="auto"/>
              </w:rPr>
            </w:pPr>
            <w:r>
              <w:rPr>
                <w:rFonts w:ascii="Arial" w:cs="Arial" w:eastAsia="Arial" w:hAnsi="Arial"/>
                <w:sz w:val="18"/>
                <w:szCs w:val="18"/>
                <w:color w:val="auto"/>
              </w:rPr>
              <w:t>Borrowings on revolver</w:t>
            </w:r>
          </w:p>
        </w:tc>
        <w:tc>
          <w:tcPr>
            <w:tcW w:w="7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468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Repayment on revolver</w:t>
            </w:r>
          </w:p>
        </w:tc>
        <w:tc>
          <w:tcPr>
            <w:tcW w:w="7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(468)</w:t>
            </w:r>
          </w:p>
        </w:tc>
        <w:tc>
          <w:tcPr>
            <w:tcW w:w="0" w:type="dxa"/>
            <w:vAlign w:val="bottom"/>
          </w:tcPr>
          <w:p>
            <w:pPr>
              <w:spacing w:after="0"/>
              <w:rPr>
                <w:sz w:val="1"/>
                <w:szCs w:val="1"/>
                <w:color w:val="auto"/>
              </w:rPr>
            </w:pPr>
          </w:p>
        </w:tc>
      </w:tr>
      <w:tr>
        <w:trPr>
          <w:trHeight w:val="230"/>
        </w:trPr>
        <w:tc>
          <w:tcPr>
            <w:tcW w:w="7080" w:type="dxa"/>
            <w:vAlign w:val="bottom"/>
            <w:gridSpan w:val="2"/>
          </w:tcPr>
          <w:p>
            <w:pPr>
              <w:ind w:left="260"/>
              <w:spacing w:after="0"/>
              <w:rPr>
                <w:sz w:val="20"/>
                <w:szCs w:val="20"/>
                <w:color w:val="auto"/>
              </w:rPr>
            </w:pPr>
            <w:r>
              <w:rPr>
                <w:rFonts w:ascii="Arial" w:cs="Arial" w:eastAsia="Arial" w:hAnsi="Arial"/>
                <w:sz w:val="18"/>
                <w:szCs w:val="18"/>
                <w:color w:val="auto"/>
              </w:rPr>
              <w:t>Borrowings of long-term debt</w:t>
            </w:r>
          </w:p>
        </w:tc>
        <w:tc>
          <w:tcPr>
            <w:tcW w:w="7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1,033,800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Repayment of long-term debt</w:t>
            </w:r>
          </w:p>
        </w:tc>
        <w:tc>
          <w:tcPr>
            <w:tcW w:w="7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(4,552)</w:t>
            </w: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(450,475)</w:t>
            </w:r>
          </w:p>
        </w:tc>
        <w:tc>
          <w:tcPr>
            <w:tcW w:w="0" w:type="dxa"/>
            <w:vAlign w:val="bottom"/>
          </w:tcPr>
          <w:p>
            <w:pPr>
              <w:spacing w:after="0"/>
              <w:rPr>
                <w:sz w:val="1"/>
                <w:szCs w:val="1"/>
                <w:color w:val="auto"/>
              </w:rPr>
            </w:pPr>
          </w:p>
        </w:tc>
      </w:tr>
      <w:tr>
        <w:trPr>
          <w:trHeight w:val="230"/>
        </w:trPr>
        <w:tc>
          <w:tcPr>
            <w:tcW w:w="7080" w:type="dxa"/>
            <w:vAlign w:val="bottom"/>
            <w:gridSpan w:val="2"/>
          </w:tcPr>
          <w:p>
            <w:pPr>
              <w:ind w:left="260"/>
              <w:spacing w:after="0"/>
              <w:rPr>
                <w:sz w:val="20"/>
                <w:szCs w:val="20"/>
                <w:color w:val="auto"/>
              </w:rPr>
            </w:pPr>
            <w:r>
              <w:rPr>
                <w:rFonts w:ascii="Arial" w:cs="Arial" w:eastAsia="Arial" w:hAnsi="Arial"/>
                <w:sz w:val="18"/>
                <w:szCs w:val="18"/>
                <w:color w:val="auto"/>
              </w:rPr>
              <w:t>Payment of debt issuance costs</w:t>
            </w:r>
          </w:p>
        </w:tc>
        <w:tc>
          <w:tcPr>
            <w:tcW w:w="7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(152)</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(29,512)</w:t>
            </w:r>
          </w:p>
        </w:tc>
        <w:tc>
          <w:tcPr>
            <w:tcW w:w="0" w:type="dxa"/>
            <w:vAlign w:val="bottom"/>
          </w:tcPr>
          <w:p>
            <w:pPr>
              <w:spacing w:after="0"/>
              <w:rPr>
                <w:sz w:val="1"/>
                <w:szCs w:val="1"/>
                <w:color w:val="auto"/>
              </w:rPr>
            </w:pPr>
          </w:p>
        </w:tc>
      </w:tr>
      <w:tr>
        <w:trPr>
          <w:trHeight w:val="230"/>
        </w:trPr>
        <w:tc>
          <w:tcPr>
            <w:tcW w:w="70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Payment of debt extinguishment costs</w:t>
            </w:r>
          </w:p>
        </w:tc>
        <w:tc>
          <w:tcPr>
            <w:tcW w:w="7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(8,187)</w:t>
            </w:r>
          </w:p>
        </w:tc>
        <w:tc>
          <w:tcPr>
            <w:tcW w:w="0" w:type="dxa"/>
            <w:vAlign w:val="bottom"/>
          </w:tcPr>
          <w:p>
            <w:pPr>
              <w:spacing w:after="0"/>
              <w:rPr>
                <w:sz w:val="1"/>
                <w:szCs w:val="1"/>
                <w:color w:val="auto"/>
              </w:rPr>
            </w:pPr>
          </w:p>
        </w:tc>
      </w:tr>
      <w:tr>
        <w:trPr>
          <w:trHeight w:val="223"/>
        </w:trPr>
        <w:tc>
          <w:tcPr>
            <w:tcW w:w="708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Net cash (used in) provided by financing activities</w:t>
            </w:r>
          </w:p>
        </w:tc>
        <w:tc>
          <w:tcPr>
            <w:tcW w:w="780" w:type="dxa"/>
            <w:vAlign w:val="bottom"/>
            <w:tcBorders>
              <w:bottom w:val="single" w:sz="8" w:color="CFF0FC"/>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(4,704)</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545,626</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78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80" w:type="dxa"/>
            <w:vAlign w:val="bottom"/>
            <w:gridSpan w:val="2"/>
          </w:tcPr>
          <w:p>
            <w:pPr>
              <w:spacing w:after="0"/>
              <w:rPr>
                <w:sz w:val="20"/>
                <w:szCs w:val="20"/>
                <w:color w:val="auto"/>
              </w:rPr>
            </w:pPr>
            <w:r>
              <w:rPr>
                <w:rFonts w:ascii="Arial" w:cs="Arial" w:eastAsia="Arial" w:hAnsi="Arial"/>
                <w:sz w:val="18"/>
                <w:szCs w:val="18"/>
                <w:color w:val="auto"/>
              </w:rPr>
              <w:t>Net increase in cash, cash equivalents and restricted cash</w:t>
            </w:r>
          </w:p>
        </w:tc>
        <w:tc>
          <w:tcPr>
            <w:tcW w:w="7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26,909</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21,185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Cash, cash equivalents and restricted cash - beginning of period</w:t>
            </w:r>
          </w:p>
        </w:tc>
        <w:tc>
          <w:tcPr>
            <w:tcW w:w="78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67,081</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10,509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80" w:type="dxa"/>
            <w:vAlign w:val="bottom"/>
            <w:gridSpan w:val="2"/>
          </w:tcPr>
          <w:p>
            <w:pPr>
              <w:spacing w:after="0"/>
              <w:rPr>
                <w:sz w:val="20"/>
                <w:szCs w:val="20"/>
                <w:color w:val="auto"/>
              </w:rPr>
            </w:pPr>
            <w:r>
              <w:rPr>
                <w:rFonts w:ascii="Arial" w:cs="Arial" w:eastAsia="Arial" w:hAnsi="Arial"/>
                <w:sz w:val="18"/>
                <w:szCs w:val="18"/>
                <w:color w:val="auto"/>
              </w:rPr>
              <w:t>Cash, cash equivalents and restricted cash - end of period</w:t>
            </w:r>
          </w:p>
        </w:tc>
        <w:tc>
          <w:tcPr>
            <w:tcW w:w="78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93,990</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ind w:right="230"/>
              <w:spacing w:after="0"/>
              <w:rPr>
                <w:sz w:val="20"/>
                <w:szCs w:val="20"/>
                <w:color w:val="auto"/>
              </w:rPr>
            </w:pPr>
            <w:r>
              <w:rPr>
                <w:rFonts w:ascii="Arial" w:cs="Arial" w:eastAsia="Arial" w:hAnsi="Arial"/>
                <w:sz w:val="10"/>
                <w:szCs w:val="10"/>
                <w:color w:val="auto"/>
                <w:w w:val="71"/>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31,694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7" w:name="page8"/>
    <w:bookmarkEnd w:id="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VERRA MOBILITY CORPORATION</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820" w:type="dxa"/>
            <w:vAlign w:val="bottom"/>
            <w:tcBorders>
              <w:bottom w:val="single" w:sz="8" w:color="auto"/>
            </w:tcBorders>
            <w:gridSpan w:val="4"/>
          </w:tcPr>
          <w:p>
            <w:pPr>
              <w:jc w:val="right"/>
              <w:ind w:right="260"/>
              <w:spacing w:after="0"/>
              <w:rPr>
                <w:sz w:val="20"/>
                <w:szCs w:val="20"/>
                <w:color w:val="auto"/>
              </w:rPr>
            </w:pPr>
            <w:r>
              <w:rPr>
                <w:rFonts w:ascii="Arial" w:cs="Arial" w:eastAsia="Arial" w:hAnsi="Arial"/>
                <w:sz w:val="14"/>
                <w:szCs w:val="14"/>
                <w:b w:val="1"/>
                <w:bCs w:val="1"/>
                <w:color w:val="auto"/>
              </w:rPr>
              <w:t>Six Months Ended June 30,</w:t>
            </w:r>
          </w:p>
        </w:tc>
        <w:tc>
          <w:tcPr>
            <w:tcW w:w="6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74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0" w:type="dxa"/>
            <w:vAlign w:val="bottom"/>
          </w:tcPr>
          <w:p>
            <w:pPr>
              <w:jc w:val="right"/>
              <w:ind w:right="8"/>
              <w:spacing w:after="0" w:line="155" w:lineRule="exact"/>
              <w:rPr>
                <w:sz w:val="20"/>
                <w:szCs w:val="20"/>
                <w:color w:val="auto"/>
              </w:rPr>
            </w:pPr>
            <w:r>
              <w:rPr>
                <w:rFonts w:ascii="Arial" w:cs="Arial" w:eastAsia="Arial" w:hAnsi="Arial"/>
                <w:sz w:val="14"/>
                <w:szCs w:val="14"/>
                <w:b w:val="1"/>
                <w:bCs w:val="1"/>
                <w:color w:val="auto"/>
              </w:rPr>
              <w:t>2019</w:t>
            </w:r>
          </w:p>
        </w:tc>
        <w:tc>
          <w:tcPr>
            <w:tcW w:w="580" w:type="dxa"/>
            <w:vAlign w:val="bottom"/>
          </w:tcPr>
          <w:p>
            <w:pPr>
              <w:spacing w:after="0"/>
              <w:rPr>
                <w:sz w:val="13"/>
                <w:szCs w:val="13"/>
                <w:color w:val="auto"/>
              </w:rPr>
            </w:pPr>
          </w:p>
        </w:tc>
        <w:tc>
          <w:tcPr>
            <w:tcW w:w="1240" w:type="dxa"/>
            <w:vAlign w:val="bottom"/>
            <w:gridSpan w:val="2"/>
          </w:tcPr>
          <w:p>
            <w:pPr>
              <w:jc w:val="right"/>
              <w:ind w:right="40"/>
              <w:spacing w:after="0" w:line="155" w:lineRule="exact"/>
              <w:rPr>
                <w:sz w:val="20"/>
                <w:szCs w:val="20"/>
                <w:color w:val="auto"/>
              </w:rPr>
            </w:pPr>
            <w:r>
              <w:rPr>
                <w:rFonts w:ascii="Arial" w:cs="Arial" w:eastAsia="Arial" w:hAnsi="Arial"/>
                <w:sz w:val="14"/>
                <w:szCs w:val="14"/>
                <w:b w:val="1"/>
                <w:bCs w:val="1"/>
                <w:color w:val="auto"/>
              </w:rPr>
              <w:t>2018</w:t>
            </w: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23"/>
        </w:trPr>
        <w:tc>
          <w:tcPr>
            <w:tcW w:w="74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Supplemental cash flow information:</w:t>
            </w:r>
          </w:p>
        </w:tc>
        <w:tc>
          <w:tcPr>
            <w:tcW w:w="38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58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7480" w:type="dxa"/>
            <w:vAlign w:val="bottom"/>
          </w:tcPr>
          <w:p>
            <w:pPr>
              <w:ind w:left="260"/>
              <w:spacing w:after="0"/>
              <w:rPr>
                <w:sz w:val="20"/>
                <w:szCs w:val="20"/>
                <w:color w:val="auto"/>
              </w:rPr>
            </w:pPr>
            <w:r>
              <w:rPr>
                <w:rFonts w:ascii="Arial" w:cs="Arial" w:eastAsia="Arial" w:hAnsi="Arial"/>
                <w:sz w:val="18"/>
                <w:szCs w:val="18"/>
                <w:color w:val="auto"/>
              </w:rPr>
              <w:t>Interest paid</w:t>
            </w:r>
          </w:p>
        </w:tc>
        <w:tc>
          <w:tcPr>
            <w:tcW w:w="1380" w:type="dxa"/>
            <w:vAlign w:val="bottom"/>
            <w:gridSpan w:val="2"/>
          </w:tcPr>
          <w:p>
            <w:pPr>
              <w:jc w:val="right"/>
              <w:ind w:right="828"/>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8"/>
              </w:rPr>
              <w:t>28,144</w:t>
            </w:r>
          </w:p>
        </w:tc>
        <w:tc>
          <w:tcPr>
            <w:tcW w:w="1240" w:type="dxa"/>
            <w:vAlign w:val="bottom"/>
            <w:gridSpan w:val="2"/>
          </w:tcPr>
          <w:p>
            <w:pPr>
              <w:jc w:val="right"/>
              <w:ind w:right="88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27,846</w:t>
            </w:r>
          </w:p>
        </w:tc>
        <w:tc>
          <w:tcPr>
            <w:tcW w:w="120" w:type="dxa"/>
            <w:vAlign w:val="bottom"/>
          </w:tcPr>
          <w:p>
            <w:pPr>
              <w:spacing w:after="0"/>
              <w:rPr>
                <w:sz w:val="19"/>
                <w:szCs w:val="19"/>
                <w:color w:val="auto"/>
              </w:rPr>
            </w:pPr>
          </w:p>
        </w:tc>
      </w:tr>
      <w:tr>
        <w:trPr>
          <w:trHeight w:val="230"/>
        </w:trPr>
        <w:tc>
          <w:tcPr>
            <w:tcW w:w="74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Income taxes paid, net</w:t>
            </w:r>
          </w:p>
        </w:tc>
        <w:tc>
          <w:tcPr>
            <w:tcW w:w="3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15,448</w:t>
            </w: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849</w:t>
            </w:r>
          </w:p>
        </w:tc>
        <w:tc>
          <w:tcPr>
            <w:tcW w:w="120" w:type="dxa"/>
            <w:vAlign w:val="bottom"/>
            <w:shd w:val="clear" w:color="auto" w:fill="CFF0FC"/>
          </w:tcPr>
          <w:p>
            <w:pPr>
              <w:spacing w:after="0"/>
              <w:rPr>
                <w:sz w:val="19"/>
                <w:szCs w:val="19"/>
                <w:color w:val="auto"/>
              </w:rPr>
            </w:pPr>
          </w:p>
        </w:tc>
      </w:tr>
      <w:tr>
        <w:trPr>
          <w:trHeight w:val="230"/>
        </w:trPr>
        <w:tc>
          <w:tcPr>
            <w:tcW w:w="7480" w:type="dxa"/>
            <w:vAlign w:val="bottom"/>
          </w:tcPr>
          <w:p>
            <w:pPr>
              <w:spacing w:after="0"/>
              <w:rPr>
                <w:sz w:val="20"/>
                <w:szCs w:val="20"/>
                <w:color w:val="auto"/>
              </w:rPr>
            </w:pPr>
            <w:r>
              <w:rPr>
                <w:rFonts w:ascii="Arial" w:cs="Arial" w:eastAsia="Arial" w:hAnsi="Arial"/>
                <w:sz w:val="18"/>
                <w:szCs w:val="18"/>
                <w:color w:val="auto"/>
              </w:rPr>
              <w:t>Supplemental non-cash investing and financing activities:</w:t>
            </w:r>
          </w:p>
        </w:tc>
        <w:tc>
          <w:tcPr>
            <w:tcW w:w="3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4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Reduction to tax receivable agreement liability</w:t>
            </w:r>
          </w:p>
        </w:tc>
        <w:tc>
          <w:tcPr>
            <w:tcW w:w="3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2,940</w:t>
            </w: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7480" w:type="dxa"/>
            <w:vAlign w:val="bottom"/>
          </w:tcPr>
          <w:p>
            <w:pPr>
              <w:ind w:left="260"/>
              <w:spacing w:after="0"/>
              <w:rPr>
                <w:sz w:val="20"/>
                <w:szCs w:val="20"/>
                <w:color w:val="auto"/>
              </w:rPr>
            </w:pPr>
            <w:r>
              <w:rPr>
                <w:rFonts w:ascii="Arial" w:cs="Arial" w:eastAsia="Arial" w:hAnsi="Arial"/>
                <w:sz w:val="18"/>
                <w:szCs w:val="18"/>
                <w:color w:val="auto"/>
              </w:rPr>
              <w:t>Gores equity infusion working capital adjustment payable to related party</w:t>
            </w:r>
          </w:p>
        </w:tc>
        <w:tc>
          <w:tcPr>
            <w:tcW w:w="3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6,205</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74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Earn-out shares issued to Platinum Stockholder</w:t>
            </w:r>
          </w:p>
        </w:tc>
        <w:tc>
          <w:tcPr>
            <w:tcW w:w="3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18,288</w:t>
            </w: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7480" w:type="dxa"/>
            <w:vAlign w:val="bottom"/>
          </w:tcPr>
          <w:p>
            <w:pPr>
              <w:ind w:left="260"/>
              <w:spacing w:after="0"/>
              <w:rPr>
                <w:sz w:val="20"/>
                <w:szCs w:val="20"/>
                <w:color w:val="auto"/>
              </w:rPr>
            </w:pPr>
            <w:r>
              <w:rPr>
                <w:rFonts w:ascii="Arial" w:cs="Arial" w:eastAsia="Arial" w:hAnsi="Arial"/>
                <w:sz w:val="18"/>
                <w:szCs w:val="18"/>
                <w:color w:val="auto"/>
              </w:rPr>
              <w:t>Additions to ARO, property and equipment, and other</w:t>
            </w:r>
          </w:p>
        </w:tc>
        <w:tc>
          <w:tcPr>
            <w:tcW w:w="3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143</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5"/>
        </w:trPr>
        <w:tc>
          <w:tcPr>
            <w:tcW w:w="7480" w:type="dxa"/>
            <w:vAlign w:val="bottom"/>
            <w:shd w:val="clear" w:color="auto" w:fill="CFF0FC"/>
          </w:tcPr>
          <w:p>
            <w:pPr>
              <w:ind w:left="260"/>
              <w:spacing w:after="0"/>
              <w:rPr>
                <w:sz w:val="20"/>
                <w:szCs w:val="20"/>
                <w:color w:val="auto"/>
              </w:rPr>
            </w:pPr>
            <w:r>
              <w:rPr>
                <w:rFonts w:ascii="Arial" w:cs="Arial" w:eastAsia="Arial" w:hAnsi="Arial"/>
                <w:sz w:val="18"/>
                <w:szCs w:val="18"/>
                <w:color w:val="auto"/>
                <w:w w:val="93"/>
              </w:rPr>
              <w:t>Purchases of installation and service parts and property and equipment in accounts payable and</w:t>
            </w:r>
          </w:p>
        </w:tc>
        <w:tc>
          <w:tcPr>
            <w:tcW w:w="3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74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liabilities at period-end</w:t>
            </w:r>
          </w:p>
        </w:tc>
        <w:tc>
          <w:tcPr>
            <w:tcW w:w="38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4,269</w:t>
            </w:r>
          </w:p>
        </w:tc>
        <w:tc>
          <w:tcPr>
            <w:tcW w:w="28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3,413</w:t>
            </w:r>
          </w:p>
        </w:tc>
        <w:tc>
          <w:tcPr>
            <w:tcW w:w="120" w:type="dxa"/>
            <w:vAlign w:val="bottom"/>
            <w:shd w:val="clear" w:color="auto" w:fill="CFF0FC"/>
          </w:tcPr>
          <w:p>
            <w:pPr>
              <w:spacing w:after="0"/>
              <w:rPr>
                <w:sz w:val="20"/>
                <w:szCs w:val="20"/>
                <w:color w:val="auto"/>
              </w:rPr>
            </w:pPr>
          </w:p>
        </w:tc>
      </w:tr>
      <w:tr>
        <w:trPr>
          <w:trHeight w:val="230"/>
        </w:trPr>
        <w:tc>
          <w:tcPr>
            <w:tcW w:w="7480" w:type="dxa"/>
            <w:vAlign w:val="bottom"/>
          </w:tcPr>
          <w:p>
            <w:pPr>
              <w:ind w:left="260"/>
              <w:spacing w:after="0"/>
              <w:rPr>
                <w:sz w:val="20"/>
                <w:szCs w:val="20"/>
                <w:color w:val="auto"/>
              </w:rPr>
            </w:pPr>
            <w:r>
              <w:rPr>
                <w:rFonts w:ascii="Arial" w:cs="Arial" w:eastAsia="Arial" w:hAnsi="Arial"/>
                <w:sz w:val="18"/>
                <w:szCs w:val="18"/>
                <w:color w:val="auto"/>
              </w:rPr>
              <w:t>Capital contributions received in Parent common stock</w:t>
            </w:r>
          </w:p>
        </w:tc>
        <w:tc>
          <w:tcPr>
            <w:tcW w:w="3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89"/>
              </w:rPr>
              <w:t>117,556</w:t>
            </w:r>
          </w:p>
        </w:tc>
        <w:tc>
          <w:tcPr>
            <w:tcW w:w="120" w:type="dxa"/>
            <w:vAlign w:val="bottom"/>
          </w:tcPr>
          <w:p>
            <w:pPr>
              <w:spacing w:after="0"/>
              <w:rPr>
                <w:sz w:val="19"/>
                <w:szCs w:val="19"/>
                <w:color w:val="auto"/>
              </w:rPr>
            </w:pPr>
          </w:p>
        </w:tc>
      </w:tr>
      <w:tr>
        <w:trPr>
          <w:trHeight w:val="230"/>
        </w:trPr>
        <w:tc>
          <w:tcPr>
            <w:tcW w:w="74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Payable to HTA sellers in connection with business acquisition</w:t>
            </w:r>
          </w:p>
        </w:tc>
        <w:tc>
          <w:tcPr>
            <w:tcW w:w="3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12,056</w:t>
            </w:r>
          </w:p>
        </w:tc>
        <w:tc>
          <w:tcPr>
            <w:tcW w:w="120" w:type="dxa"/>
            <w:vAlign w:val="bottom"/>
            <w:shd w:val="clear" w:color="auto" w:fill="CFF0FC"/>
          </w:tcPr>
          <w:p>
            <w:pPr>
              <w:spacing w:after="0"/>
              <w:rPr>
                <w:sz w:val="19"/>
                <w:szCs w:val="19"/>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8" w:name="page9"/>
    <w:bookmarkEnd w:id="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VERRA MOBILITY CORPORATION</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66" w:lineRule="exact"/>
        <w:rPr>
          <w:sz w:val="20"/>
          <w:szCs w:val="20"/>
          <w:color w:val="auto"/>
        </w:rPr>
      </w:pPr>
    </w:p>
    <w:p>
      <w:pPr>
        <w:ind w:left="420" w:hanging="412"/>
        <w:spacing w:after="0"/>
        <w:tabs>
          <w:tab w:leader="none" w:pos="42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 and Description of Business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98" w:lineRule="exact"/>
        <w:rPr>
          <w:sz w:val="20"/>
          <w:szCs w:val="20"/>
          <w:color w:val="auto"/>
        </w:rPr>
      </w:pPr>
    </w:p>
    <w:p>
      <w:pPr>
        <w:jc w:val="both"/>
        <w:ind w:firstLine="815"/>
        <w:spacing w:after="0" w:line="257" w:lineRule="auto"/>
        <w:rPr>
          <w:sz w:val="20"/>
          <w:szCs w:val="20"/>
          <w:color w:val="auto"/>
        </w:rPr>
      </w:pPr>
      <w:r>
        <w:rPr>
          <w:rFonts w:ascii="Arial" w:cs="Arial" w:eastAsia="Arial" w:hAnsi="Arial"/>
          <w:sz w:val="18"/>
          <w:szCs w:val="18"/>
          <w:color w:val="auto"/>
        </w:rPr>
        <w:t>Verra Mobility Corporation (collectively with its subsidiaries,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or “</w:t>
      </w:r>
      <w:r>
        <w:rPr>
          <w:rFonts w:ascii="Arial" w:cs="Arial" w:eastAsia="Arial" w:hAnsi="Arial"/>
          <w:sz w:val="18"/>
          <w:szCs w:val="18"/>
          <w:b w:val="1"/>
          <w:bCs w:val="1"/>
          <w:i w:val="1"/>
          <w:iCs w:val="1"/>
          <w:color w:val="auto"/>
        </w:rPr>
        <w:t>Verra Mobility</w:t>
      </w:r>
      <w:r>
        <w:rPr>
          <w:rFonts w:ascii="Arial" w:cs="Arial" w:eastAsia="Arial" w:hAnsi="Arial"/>
          <w:sz w:val="18"/>
          <w:szCs w:val="18"/>
          <w:color w:val="auto"/>
        </w:rPr>
        <w:t>”), formerly known as Gores Holdings II, Inc. (“</w:t>
      </w:r>
      <w:r>
        <w:rPr>
          <w:rFonts w:ascii="Arial" w:cs="Arial" w:eastAsia="Arial" w:hAnsi="Arial"/>
          <w:sz w:val="18"/>
          <w:szCs w:val="18"/>
          <w:b w:val="1"/>
          <w:bCs w:val="1"/>
          <w:i w:val="1"/>
          <w:iCs w:val="1"/>
          <w:color w:val="auto"/>
        </w:rPr>
        <w:t>Gores</w:t>
      </w:r>
      <w:r>
        <w:rPr>
          <w:rFonts w:ascii="Arial" w:cs="Arial" w:eastAsia="Arial" w:hAnsi="Arial"/>
          <w:sz w:val="18"/>
          <w:szCs w:val="18"/>
          <w:color w:val="auto"/>
        </w:rPr>
        <w:t>”), was originally incorporated in Delaware on August 15, 2016, as a special purpose acquisition company formed for the purpose of effecting a merger, capital stock exchange, asset acquisition, stock purchase, reorganization, or other similar business combination with one or more target businesses. On January 19, 2017, the Company consummated its initial public offering, following which its shares began trading on the Nasdaq Capital Market (“</w:t>
      </w:r>
      <w:r>
        <w:rPr>
          <w:rFonts w:ascii="Arial" w:cs="Arial" w:eastAsia="Arial" w:hAnsi="Arial"/>
          <w:sz w:val="18"/>
          <w:szCs w:val="18"/>
          <w:b w:val="1"/>
          <w:bCs w:val="1"/>
          <w:i w:val="1"/>
          <w:iCs w:val="1"/>
          <w:color w:val="auto"/>
        </w:rPr>
        <w:t>Nasdaq</w:t>
      </w:r>
      <w:r>
        <w:rPr>
          <w:rFonts w:ascii="Arial" w:cs="Arial" w:eastAsia="Arial" w:hAnsi="Arial"/>
          <w:sz w:val="18"/>
          <w:szCs w:val="18"/>
          <w:color w:val="auto"/>
        </w:rPr>
        <w:t>”).</w:t>
      </w:r>
    </w:p>
    <w:p>
      <w:pPr>
        <w:spacing w:after="0" w:line="148" w:lineRule="exact"/>
        <w:rPr>
          <w:sz w:val="20"/>
          <w:szCs w:val="20"/>
          <w:color w:val="auto"/>
        </w:rPr>
      </w:pPr>
    </w:p>
    <w:p>
      <w:pPr>
        <w:jc w:val="both"/>
        <w:ind w:firstLine="815"/>
        <w:spacing w:after="0" w:line="254" w:lineRule="auto"/>
        <w:rPr>
          <w:sz w:val="20"/>
          <w:szCs w:val="20"/>
          <w:color w:val="auto"/>
        </w:rPr>
      </w:pPr>
      <w:r>
        <w:rPr>
          <w:rFonts w:ascii="Arial" w:cs="Arial" w:eastAsia="Arial" w:hAnsi="Arial"/>
          <w:sz w:val="18"/>
          <w:szCs w:val="18"/>
          <w:color w:val="auto"/>
        </w:rPr>
        <w:t>On June 21, 2018, Gores, AM Merger Sub I, Inc., a direct, wholly-owned subsidiary of Gores (“</w:t>
      </w:r>
      <w:r>
        <w:rPr>
          <w:rFonts w:ascii="Arial" w:cs="Arial" w:eastAsia="Arial" w:hAnsi="Arial"/>
          <w:sz w:val="18"/>
          <w:szCs w:val="18"/>
          <w:b w:val="1"/>
          <w:bCs w:val="1"/>
          <w:i w:val="1"/>
          <w:iCs w:val="1"/>
          <w:color w:val="auto"/>
        </w:rPr>
        <w:t>First Merger Sub</w:t>
      </w:r>
      <w:r>
        <w:rPr>
          <w:rFonts w:ascii="Arial" w:cs="Arial" w:eastAsia="Arial" w:hAnsi="Arial"/>
          <w:sz w:val="18"/>
          <w:szCs w:val="18"/>
          <w:color w:val="auto"/>
        </w:rPr>
        <w:t>”), AM Merger Sub II, LLC, a direct, wholly-owned subsidiary of Gores (“</w:t>
      </w:r>
      <w:r>
        <w:rPr>
          <w:rFonts w:ascii="Arial" w:cs="Arial" w:eastAsia="Arial" w:hAnsi="Arial"/>
          <w:sz w:val="18"/>
          <w:szCs w:val="18"/>
          <w:b w:val="1"/>
          <w:bCs w:val="1"/>
          <w:i w:val="1"/>
          <w:iCs w:val="1"/>
          <w:color w:val="auto"/>
        </w:rPr>
        <w:t>Second Merger Sub</w:t>
      </w:r>
      <w:r>
        <w:rPr>
          <w:rFonts w:ascii="Arial" w:cs="Arial" w:eastAsia="Arial" w:hAnsi="Arial"/>
          <w:sz w:val="18"/>
          <w:szCs w:val="18"/>
          <w:color w:val="auto"/>
        </w:rPr>
        <w:t>”), Greenlight Holding II Corporation (“</w:t>
      </w:r>
      <w:r>
        <w:rPr>
          <w:rFonts w:ascii="Arial" w:cs="Arial" w:eastAsia="Arial" w:hAnsi="Arial"/>
          <w:sz w:val="18"/>
          <w:szCs w:val="18"/>
          <w:b w:val="1"/>
          <w:bCs w:val="1"/>
          <w:i w:val="1"/>
          <w:iCs w:val="1"/>
          <w:color w:val="auto"/>
        </w:rPr>
        <w:t>Greenlight</w:t>
      </w:r>
      <w:r>
        <w:rPr>
          <w:rFonts w:ascii="Arial" w:cs="Arial" w:eastAsia="Arial" w:hAnsi="Arial"/>
          <w:sz w:val="18"/>
          <w:szCs w:val="18"/>
          <w:color w:val="auto"/>
        </w:rPr>
        <w:t>”), and PE Greenlight Holdings, LLC entered into an Agreement and Plan of Merger as amended on August 23, 2018 by that certain Amendment No. 1 to Agreement and Plan of Merger (as amended, the “</w:t>
      </w:r>
      <w:r>
        <w:rPr>
          <w:rFonts w:ascii="Arial" w:cs="Arial" w:eastAsia="Arial" w:hAnsi="Arial"/>
          <w:sz w:val="18"/>
          <w:szCs w:val="18"/>
          <w:b w:val="1"/>
          <w:bCs w:val="1"/>
          <w:i w:val="1"/>
          <w:iCs w:val="1"/>
          <w:color w:val="auto"/>
        </w:rPr>
        <w:t>Merger Agreement</w:t>
      </w:r>
      <w:r>
        <w:rPr>
          <w:rFonts w:ascii="Arial" w:cs="Arial" w:eastAsia="Arial" w:hAnsi="Arial"/>
          <w:sz w:val="18"/>
          <w:szCs w:val="18"/>
          <w:color w:val="auto"/>
        </w:rPr>
        <w:t>”), which provided for, among other things, (i) the merger of First Merger Sub with and into Greenlight, with Greenlight continuing as the surviving corporation (the “</w:t>
      </w:r>
      <w:r>
        <w:rPr>
          <w:rFonts w:ascii="Arial" w:cs="Arial" w:eastAsia="Arial" w:hAnsi="Arial"/>
          <w:sz w:val="18"/>
          <w:szCs w:val="18"/>
          <w:b w:val="1"/>
          <w:bCs w:val="1"/>
          <w:i w:val="1"/>
          <w:iCs w:val="1"/>
          <w:color w:val="auto"/>
        </w:rPr>
        <w:t>First Merger</w:t>
      </w:r>
      <w:r>
        <w:rPr>
          <w:rFonts w:ascii="Arial" w:cs="Arial" w:eastAsia="Arial" w:hAnsi="Arial"/>
          <w:sz w:val="18"/>
          <w:szCs w:val="18"/>
          <w:color w:val="auto"/>
        </w:rPr>
        <w:t>”) and (ii) immediately following the First Merger and as part of the same overall transaction as the First Merger, the merger of Greenlight with and into Second Merger Sub, with Second Merger Sub continuing as the surviving entity (the “</w:t>
      </w:r>
      <w:r>
        <w:rPr>
          <w:rFonts w:ascii="Arial" w:cs="Arial" w:eastAsia="Arial" w:hAnsi="Arial"/>
          <w:sz w:val="18"/>
          <w:szCs w:val="18"/>
          <w:b w:val="1"/>
          <w:bCs w:val="1"/>
          <w:i w:val="1"/>
          <w:iCs w:val="1"/>
          <w:color w:val="auto"/>
        </w:rPr>
        <w:t>Second Merger</w:t>
      </w:r>
      <w:r>
        <w:rPr>
          <w:rFonts w:ascii="Arial" w:cs="Arial" w:eastAsia="Arial" w:hAnsi="Arial"/>
          <w:sz w:val="18"/>
          <w:szCs w:val="18"/>
          <w:color w:val="auto"/>
        </w:rPr>
        <w:t>” and, together with the First Merger, the “</w:t>
      </w:r>
      <w:r>
        <w:rPr>
          <w:rFonts w:ascii="Arial" w:cs="Arial" w:eastAsia="Arial" w:hAnsi="Arial"/>
          <w:sz w:val="18"/>
          <w:szCs w:val="18"/>
          <w:b w:val="1"/>
          <w:bCs w:val="1"/>
          <w:i w:val="1"/>
          <w:iCs w:val="1"/>
          <w:color w:val="auto"/>
        </w:rPr>
        <w:t>Merger</w:t>
      </w:r>
      <w:r>
        <w:rPr>
          <w:rFonts w:ascii="Arial" w:cs="Arial" w:eastAsia="Arial" w:hAnsi="Arial"/>
          <w:sz w:val="18"/>
          <w:szCs w:val="18"/>
          <w:color w:val="auto"/>
        </w:rPr>
        <w:t>” and, together with the other transactions contemplated by the Merger Agreement, the “</w:t>
      </w:r>
      <w:r>
        <w:rPr>
          <w:rFonts w:ascii="Arial" w:cs="Arial" w:eastAsia="Arial" w:hAnsi="Arial"/>
          <w:sz w:val="18"/>
          <w:szCs w:val="18"/>
          <w:b w:val="1"/>
          <w:bCs w:val="1"/>
          <w:i w:val="1"/>
          <w:iCs w:val="1"/>
          <w:color w:val="auto"/>
        </w:rPr>
        <w:t>Business</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Combination</w:t>
      </w:r>
      <w:r>
        <w:rPr>
          <w:rFonts w:ascii="Arial" w:cs="Arial" w:eastAsia="Arial" w:hAnsi="Arial"/>
          <w:sz w:val="18"/>
          <w:szCs w:val="18"/>
          <w:color w:val="auto"/>
        </w:rPr>
        <w:t>”).</w:t>
      </w:r>
    </w:p>
    <w:p>
      <w:pPr>
        <w:spacing w:after="0" w:line="152" w:lineRule="exact"/>
        <w:rPr>
          <w:sz w:val="20"/>
          <w:szCs w:val="20"/>
          <w:color w:val="auto"/>
        </w:rPr>
      </w:pPr>
    </w:p>
    <w:p>
      <w:pPr>
        <w:jc w:val="both"/>
        <w:ind w:firstLine="815"/>
        <w:spacing w:after="0" w:line="271" w:lineRule="auto"/>
        <w:rPr>
          <w:sz w:val="20"/>
          <w:szCs w:val="20"/>
          <w:color w:val="auto"/>
        </w:rPr>
      </w:pPr>
      <w:r>
        <w:rPr>
          <w:rFonts w:ascii="Arial" w:cs="Arial" w:eastAsia="Arial" w:hAnsi="Arial"/>
          <w:sz w:val="17"/>
          <w:szCs w:val="17"/>
          <w:color w:val="auto"/>
        </w:rPr>
        <w:t>In connection with the closing of the Business Combination on October 17, 2018 (the “</w:t>
      </w:r>
      <w:r>
        <w:rPr>
          <w:rFonts w:ascii="Arial" w:cs="Arial" w:eastAsia="Arial" w:hAnsi="Arial"/>
          <w:sz w:val="17"/>
          <w:szCs w:val="17"/>
          <w:b w:val="1"/>
          <w:bCs w:val="1"/>
          <w:i w:val="1"/>
          <w:iCs w:val="1"/>
          <w:color w:val="auto"/>
        </w:rPr>
        <w:t>Closing Date</w:t>
      </w:r>
      <w:r>
        <w:rPr>
          <w:rFonts w:ascii="Arial" w:cs="Arial" w:eastAsia="Arial" w:hAnsi="Arial"/>
          <w:sz w:val="17"/>
          <w:szCs w:val="17"/>
          <w:color w:val="auto"/>
        </w:rPr>
        <w:t>”), Gores changed its name from Gores Holdings II, Inc. to Verra Mobility Corporation, changed its trading symbols on Nasdaq from “GSHT,” and “GSHTW,” to “VRRM” and “VRRMW,” and Second Merger Sub changed its name from AM Merger Sub II, LLC to Verra Mobility Holdings, LLC. As a result of the Business Combination, Verra Mobility Corporation became the owner, directly or indirectly, of all of the equity interests of Verra Mobility Holdings, LLC and its subsidiaries. The Business Combination is treated as a reverse acquisition and recapitalization in which Greenlight is treated as the accounting acquirer (and legal acquiree) and Gores is treated as the accounting acquiree (and legal acquirer). Accordingly, as of the Closing Date, Greenlight’s historical results of operations replaced Gores’ historical results of operations for periods prior to the Business Combination, and the results of operations of both companies are included in the accompanying condensed consolidated financial statements for periods following the Merger (see Note 3).</w:t>
      </w:r>
    </w:p>
    <w:p>
      <w:pPr>
        <w:spacing w:after="0" w:line="152" w:lineRule="exact"/>
        <w:rPr>
          <w:sz w:val="20"/>
          <w:szCs w:val="20"/>
          <w:color w:val="auto"/>
        </w:rPr>
      </w:pPr>
    </w:p>
    <w:p>
      <w:pPr>
        <w:jc w:val="both"/>
        <w:ind w:firstLine="815"/>
        <w:spacing w:after="0" w:line="257" w:lineRule="auto"/>
        <w:rPr>
          <w:sz w:val="20"/>
          <w:szCs w:val="20"/>
          <w:color w:val="auto"/>
        </w:rPr>
      </w:pPr>
      <w:r>
        <w:rPr>
          <w:rFonts w:ascii="Arial" w:cs="Arial" w:eastAsia="Arial" w:hAnsi="Arial"/>
          <w:sz w:val="18"/>
          <w:szCs w:val="18"/>
          <w:color w:val="auto"/>
        </w:rPr>
        <w:t>On May 31, 2017, Greenlight Acquisition Corporation (“</w:t>
      </w:r>
      <w:r>
        <w:rPr>
          <w:rFonts w:ascii="Arial" w:cs="Arial" w:eastAsia="Arial" w:hAnsi="Arial"/>
          <w:sz w:val="18"/>
          <w:szCs w:val="18"/>
          <w:b w:val="1"/>
          <w:bCs w:val="1"/>
          <w:i w:val="1"/>
          <w:iCs w:val="1"/>
          <w:color w:val="auto"/>
        </w:rPr>
        <w:t>Parent</w:t>
      </w:r>
      <w:r>
        <w:rPr>
          <w:rFonts w:ascii="Arial" w:cs="Arial" w:eastAsia="Arial" w:hAnsi="Arial"/>
          <w:sz w:val="18"/>
          <w:szCs w:val="18"/>
          <w:color w:val="auto"/>
        </w:rPr>
        <w:t>”) acquired ATS Consolidated Inc. (“</w:t>
      </w:r>
      <w:r>
        <w:rPr>
          <w:rFonts w:ascii="Arial" w:cs="Arial" w:eastAsia="Arial" w:hAnsi="Arial"/>
          <w:sz w:val="18"/>
          <w:szCs w:val="18"/>
          <w:b w:val="1"/>
          <w:bCs w:val="1"/>
          <w:i w:val="1"/>
          <w:iCs w:val="1"/>
          <w:color w:val="auto"/>
        </w:rPr>
        <w:t>ATS</w:t>
      </w:r>
      <w:r>
        <w:rPr>
          <w:rFonts w:ascii="Arial" w:cs="Arial" w:eastAsia="Arial" w:hAnsi="Arial"/>
          <w:sz w:val="18"/>
          <w:szCs w:val="18"/>
          <w:color w:val="auto"/>
        </w:rPr>
        <w:t>”) pursuant to the Agreement and Plan of Merger, dated April 15, 2017 by and among ATS, Greenlight Merger Corporation, a wholly-owned subsidiary of Parent (“</w:t>
      </w:r>
      <w:r>
        <w:rPr>
          <w:rFonts w:ascii="Arial" w:cs="Arial" w:eastAsia="Arial" w:hAnsi="Arial"/>
          <w:sz w:val="18"/>
          <w:szCs w:val="18"/>
          <w:b w:val="1"/>
          <w:bCs w:val="1"/>
          <w:i w:val="1"/>
          <w:iCs w:val="1"/>
          <w:color w:val="auto"/>
        </w:rPr>
        <w:t>ATS Merger Sub</w:t>
      </w:r>
      <w:r>
        <w:rPr>
          <w:rFonts w:ascii="Arial" w:cs="Arial" w:eastAsia="Arial" w:hAnsi="Arial"/>
          <w:sz w:val="18"/>
          <w:szCs w:val="18"/>
          <w:color w:val="auto"/>
        </w:rPr>
        <w:t>”) and Parent whereby ATS merged with and into ATS Merger Sub with the former surviving (the “</w:t>
      </w:r>
      <w:r>
        <w:rPr>
          <w:rFonts w:ascii="Arial" w:cs="Arial" w:eastAsia="Arial" w:hAnsi="Arial"/>
          <w:sz w:val="18"/>
          <w:szCs w:val="18"/>
          <w:b w:val="1"/>
          <w:bCs w:val="1"/>
          <w:i w:val="1"/>
          <w:iCs w:val="1"/>
          <w:color w:val="auto"/>
        </w:rPr>
        <w:t>ATS Merger</w:t>
      </w:r>
      <w:r>
        <w:rPr>
          <w:rFonts w:ascii="Arial" w:cs="Arial" w:eastAsia="Arial" w:hAnsi="Arial"/>
          <w:sz w:val="18"/>
          <w:szCs w:val="18"/>
          <w:color w:val="auto"/>
        </w:rPr>
        <w:t>”). Prior to the Business Combination, Parent was ultimately owned by Greenlight, which in turn was owned by certain private equity investment vehicles sponsored by Platinum Equity, LLC (collectively, “</w:t>
      </w:r>
      <w:r>
        <w:rPr>
          <w:rFonts w:ascii="Arial" w:cs="Arial" w:eastAsia="Arial" w:hAnsi="Arial"/>
          <w:sz w:val="18"/>
          <w:szCs w:val="18"/>
          <w:b w:val="1"/>
          <w:bCs w:val="1"/>
          <w:i w:val="1"/>
          <w:iCs w:val="1"/>
          <w:color w:val="auto"/>
        </w:rPr>
        <w:t>Platinum</w:t>
      </w:r>
      <w:r>
        <w:rPr>
          <w:rFonts w:ascii="Arial" w:cs="Arial" w:eastAsia="Arial" w:hAnsi="Arial"/>
          <w:sz w:val="18"/>
          <w:szCs w:val="18"/>
          <w:color w:val="auto"/>
        </w:rPr>
        <w:t>”) (See Note 3).</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Business</w:t>
      </w:r>
    </w:p>
    <w:p>
      <w:pPr>
        <w:spacing w:after="0" w:line="185" w:lineRule="exact"/>
        <w:rPr>
          <w:sz w:val="20"/>
          <w:szCs w:val="20"/>
          <w:color w:val="auto"/>
        </w:rPr>
      </w:pPr>
    </w:p>
    <w:p>
      <w:pPr>
        <w:jc w:val="both"/>
        <w:ind w:firstLine="815"/>
        <w:spacing w:after="0" w:line="264" w:lineRule="auto"/>
        <w:rPr>
          <w:sz w:val="20"/>
          <w:szCs w:val="20"/>
          <w:color w:val="auto"/>
        </w:rPr>
      </w:pPr>
      <w:r>
        <w:rPr>
          <w:rFonts w:ascii="Arial" w:cs="Arial" w:eastAsia="Arial" w:hAnsi="Arial"/>
          <w:sz w:val="18"/>
          <w:szCs w:val="18"/>
          <w:color w:val="auto"/>
        </w:rPr>
        <w:t>Verra Mobility is a technology-enabled services company offering traffic safety and mobility solutions for state and local governments, commercial fleets and rental car companies. The Company has customers located throughout the United States, Canada and Europe. The Company is organized into two operating divisions: Commercial Services and Government Solutions (See Note 15).</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9" w:name="page10"/>
    <w:bookmarkEnd w:id="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90" w:lineRule="exact"/>
        <w:rPr>
          <w:sz w:val="20"/>
          <w:szCs w:val="20"/>
          <w:color w:val="auto"/>
        </w:rPr>
      </w:pPr>
    </w:p>
    <w:p>
      <w:pPr>
        <w:jc w:val="both"/>
        <w:ind w:right="20" w:firstLine="815"/>
        <w:spacing w:after="0" w:line="273" w:lineRule="auto"/>
        <w:rPr>
          <w:sz w:val="20"/>
          <w:szCs w:val="20"/>
          <w:color w:val="auto"/>
        </w:rPr>
      </w:pPr>
      <w:r>
        <w:rPr>
          <w:rFonts w:ascii="Arial" w:cs="Arial" w:eastAsia="Arial" w:hAnsi="Arial"/>
          <w:sz w:val="17"/>
          <w:szCs w:val="17"/>
          <w:color w:val="auto"/>
        </w:rPr>
        <w:t>The Commercial Services division offers toll and violation management solutions for the commercial fleet and rental car industries by partnering with the leading fleet management and rental car companies in North America and Europe. Electronic toll payment services enable fleet drivers and rental car customers to use high-speed cashless toll lanes or cashless all-electronic toll roads. The service helps commercial fleets reduce toll management costs, while it provides rental car companies with a revenue-generating, value-added service for their customers. Electronic violation processing services reduce the cost and risk associated with vehicle-issued violations, such as toll, parking or camera-enforced tickets. Title and registration services offer title and registration processing for individuals, rental car companies and fleet management companies.</w:t>
      </w:r>
    </w:p>
    <w:p>
      <w:pPr>
        <w:spacing w:after="0" w:line="151" w:lineRule="exact"/>
        <w:rPr>
          <w:sz w:val="20"/>
          <w:szCs w:val="20"/>
          <w:color w:val="auto"/>
        </w:rPr>
      </w:pPr>
    </w:p>
    <w:p>
      <w:pPr>
        <w:jc w:val="both"/>
        <w:ind w:right="20" w:firstLine="815"/>
        <w:spacing w:after="0" w:line="264" w:lineRule="auto"/>
        <w:rPr>
          <w:sz w:val="20"/>
          <w:szCs w:val="20"/>
          <w:color w:val="auto"/>
        </w:rPr>
      </w:pPr>
      <w:r>
        <w:rPr>
          <w:rFonts w:ascii="Arial" w:cs="Arial" w:eastAsia="Arial" w:hAnsi="Arial"/>
          <w:sz w:val="18"/>
          <w:szCs w:val="18"/>
          <w:color w:val="auto"/>
        </w:rPr>
        <w:t>The Government Solutions division provides complete, end-to-end red-light, speed, school bus stop arm and bus lane enforcement solutions. The Company’s programs are designed to reduce traffic violations and resulting collisions, injuries, and fatalities. The Company implements and administers traffic safety programs for municipalities, counties, school districts and law enforcement agencies of all sizes.</w:t>
      </w:r>
    </w:p>
    <w:p>
      <w:pPr>
        <w:spacing w:after="0" w:line="137" w:lineRule="exact"/>
        <w:rPr>
          <w:sz w:val="20"/>
          <w:szCs w:val="20"/>
          <w:color w:val="auto"/>
        </w:rPr>
      </w:pPr>
    </w:p>
    <w:p>
      <w:pPr>
        <w:ind w:left="420" w:hanging="412"/>
        <w:spacing w:after="0"/>
        <w:tabs>
          <w:tab w:leader="none" w:pos="42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Accounting Principles and Policies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85" w:lineRule="exact"/>
        <w:rPr>
          <w:sz w:val="20"/>
          <w:szCs w:val="20"/>
          <w:color w:val="auto"/>
        </w:rPr>
      </w:pPr>
    </w:p>
    <w:p>
      <w:pPr>
        <w:jc w:val="both"/>
        <w:ind w:right="20" w:firstLine="815"/>
        <w:spacing w:after="0" w:line="279" w:lineRule="auto"/>
        <w:rPr>
          <w:sz w:val="20"/>
          <w:szCs w:val="20"/>
          <w:color w:val="auto"/>
        </w:rPr>
      </w:pPr>
      <w:r>
        <w:rPr>
          <w:rFonts w:ascii="Arial" w:cs="Arial" w:eastAsia="Arial" w:hAnsi="Arial"/>
          <w:sz w:val="17"/>
          <w:szCs w:val="17"/>
          <w:color w:val="auto"/>
        </w:rPr>
        <w:t>The accompanying unaudited interim condensed consolidated financial statements include the accounts of the Company prepared in accordance with generally accepted accounting principles in the United States of America (“</w:t>
      </w:r>
      <w:r>
        <w:rPr>
          <w:rFonts w:ascii="Arial" w:cs="Arial" w:eastAsia="Arial" w:hAnsi="Arial"/>
          <w:sz w:val="17"/>
          <w:szCs w:val="17"/>
          <w:b w:val="1"/>
          <w:bCs w:val="1"/>
          <w:i w:val="1"/>
          <w:iCs w:val="1"/>
          <w:color w:val="auto"/>
        </w:rPr>
        <w:t>GAAP</w:t>
      </w:r>
      <w:r>
        <w:rPr>
          <w:rFonts w:ascii="Arial" w:cs="Arial" w:eastAsia="Arial" w:hAnsi="Arial"/>
          <w:sz w:val="17"/>
          <w:szCs w:val="17"/>
          <w:color w:val="auto"/>
        </w:rPr>
        <w:t>”). All intercompany balances and transactions have been eliminated in consolidation. In the opinion of the Company’s management, the unaudited interim condensed consolidated financial statements reflect all adjustments, which are normal and recurring in nature, necessary for fair financial statement presentation.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85" w:lineRule="exact"/>
        <w:rPr>
          <w:sz w:val="20"/>
          <w:szCs w:val="20"/>
          <w:color w:val="auto"/>
        </w:rPr>
      </w:pPr>
    </w:p>
    <w:p>
      <w:pPr>
        <w:jc w:val="both"/>
        <w:ind w:right="20" w:firstLine="815"/>
        <w:spacing w:after="0" w:line="276" w:lineRule="auto"/>
        <w:rPr>
          <w:sz w:val="20"/>
          <w:szCs w:val="20"/>
          <w:color w:val="auto"/>
        </w:rPr>
      </w:pPr>
      <w:r>
        <w:rPr>
          <w:rFonts w:ascii="Arial" w:cs="Arial" w:eastAsia="Arial" w:hAnsi="Arial"/>
          <w:sz w:val="17"/>
          <w:szCs w:val="17"/>
          <w:color w:val="auto"/>
        </w:rPr>
        <w:t>The preparation of these financial statements in conformity with GAAP requires management to make estimates and assumptions that affect the amounts reported in the unaudited interim condensed consolidated financial statements and accompanying notes. Significant items subject to such estimates and assumptions include the fair values assigned to net assets acquired (including identifiable intangibles) in business combinations, the carrying amounts of long-lived assets and goodwill, the carrying amount of installation and service parts, the allowance for doubtful accounts, valuation allowances on deferred tax assets, asset retirement obligations, contingent consideration and the recognition and measurement of loss contingencies.</w:t>
      </w:r>
    </w:p>
    <w:p>
      <w:pPr>
        <w:spacing w:after="0" w:line="132" w:lineRule="exact"/>
        <w:rPr>
          <w:sz w:val="20"/>
          <w:szCs w:val="20"/>
          <w:color w:val="auto"/>
        </w:rPr>
      </w:pPr>
    </w:p>
    <w:p>
      <w:pPr>
        <w:jc w:val="both"/>
        <w:ind w:right="40" w:firstLine="815"/>
        <w:spacing w:after="0" w:line="277" w:lineRule="auto"/>
        <w:rPr>
          <w:sz w:val="20"/>
          <w:szCs w:val="20"/>
          <w:color w:val="auto"/>
        </w:rPr>
      </w:pPr>
      <w:r>
        <w:rPr>
          <w:rFonts w:ascii="Arial" w:cs="Arial" w:eastAsia="Arial" w:hAnsi="Arial"/>
          <w:sz w:val="18"/>
          <w:szCs w:val="18"/>
          <w:color w:val="auto"/>
        </w:rPr>
        <w:t>Management believes that its estimates and assumptions are reasonable in the circumstances; however, actual results could differ materially from those estimates.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Accounting Standards Adopted</w:t>
      </w:r>
    </w:p>
    <w:p>
      <w:pPr>
        <w:spacing w:after="0" w:line="185" w:lineRule="exact"/>
        <w:rPr>
          <w:sz w:val="20"/>
          <w:szCs w:val="20"/>
          <w:color w:val="auto"/>
        </w:rPr>
      </w:pPr>
    </w:p>
    <w:p>
      <w:pPr>
        <w:jc w:val="both"/>
        <w:ind w:right="20" w:firstLine="815"/>
        <w:spacing w:after="0" w:line="257" w:lineRule="auto"/>
        <w:rPr>
          <w:sz w:val="20"/>
          <w:szCs w:val="20"/>
          <w:color w:val="auto"/>
        </w:rPr>
      </w:pPr>
      <w:r>
        <w:rPr>
          <w:rFonts w:ascii="Arial" w:cs="Arial" w:eastAsia="Arial" w:hAnsi="Arial"/>
          <w:sz w:val="18"/>
          <w:szCs w:val="18"/>
          <w:color w:val="auto"/>
        </w:rPr>
        <w:t>In November 2016, the Financial Accounting Standards Board (“</w:t>
      </w:r>
      <w:r>
        <w:rPr>
          <w:rFonts w:ascii="Arial" w:cs="Arial" w:eastAsia="Arial" w:hAnsi="Arial"/>
          <w:sz w:val="18"/>
          <w:szCs w:val="18"/>
          <w:b w:val="1"/>
          <w:bCs w:val="1"/>
          <w:i w:val="1"/>
          <w:iCs w:val="1"/>
          <w:color w:val="auto"/>
        </w:rPr>
        <w:t>FASB</w:t>
      </w:r>
      <w:r>
        <w:rPr>
          <w:rFonts w:ascii="Arial" w:cs="Arial" w:eastAsia="Arial" w:hAnsi="Arial"/>
          <w:sz w:val="18"/>
          <w:szCs w:val="18"/>
          <w:color w:val="auto"/>
        </w:rPr>
        <w:t>”) issued Accounting Standards Update (“</w:t>
      </w:r>
      <w:r>
        <w:rPr>
          <w:rFonts w:ascii="Arial" w:cs="Arial" w:eastAsia="Arial" w:hAnsi="Arial"/>
          <w:sz w:val="18"/>
          <w:szCs w:val="18"/>
          <w:b w:val="1"/>
          <w:bCs w:val="1"/>
          <w:i w:val="1"/>
          <w:iCs w:val="1"/>
          <w:color w:val="auto"/>
        </w:rPr>
        <w:t>ASU</w:t>
      </w:r>
      <w:r>
        <w:rPr>
          <w:rFonts w:ascii="Arial" w:cs="Arial" w:eastAsia="Arial" w:hAnsi="Arial"/>
          <w:sz w:val="18"/>
          <w:szCs w:val="18"/>
          <w:color w:val="auto"/>
        </w:rPr>
        <w:t xml:space="preserve">”) 2016-18, </w:t>
      </w:r>
      <w:r>
        <w:rPr>
          <w:rFonts w:ascii="Arial" w:cs="Arial" w:eastAsia="Arial" w:hAnsi="Arial"/>
          <w:sz w:val="18"/>
          <w:szCs w:val="18"/>
          <w:i w:val="1"/>
          <w:iCs w:val="1"/>
          <w:color w:val="auto"/>
        </w:rPr>
        <w:t>Statement of</w:t>
      </w:r>
      <w:r>
        <w:rPr>
          <w:rFonts w:ascii="Arial" w:cs="Arial" w:eastAsia="Arial" w:hAnsi="Arial"/>
          <w:sz w:val="18"/>
          <w:szCs w:val="18"/>
          <w:color w:val="auto"/>
        </w:rPr>
        <w:t xml:space="preserve"> </w:t>
      </w:r>
      <w:r>
        <w:rPr>
          <w:rFonts w:ascii="Arial" w:cs="Arial" w:eastAsia="Arial" w:hAnsi="Arial"/>
          <w:sz w:val="18"/>
          <w:szCs w:val="18"/>
          <w:i w:val="1"/>
          <w:iCs w:val="1"/>
          <w:color w:val="auto"/>
        </w:rPr>
        <w:t>Cash Flows (Topic 230): Restricted Cash</w:t>
      </w:r>
      <w:r>
        <w:rPr>
          <w:rFonts w:ascii="Arial" w:cs="Arial" w:eastAsia="Arial" w:hAnsi="Arial"/>
          <w:sz w:val="18"/>
          <w:szCs w:val="18"/>
          <w:color w:val="auto"/>
        </w:rPr>
        <w:t>, which requires that restricted cash be included with cash and cash equivalents when reconciling the beginning-of-period and end-of-period total amounts shown on the statement of cash flows. We elected to early adopt the requirements of the new standard in the fourth quarter of 2018 using the retrospective transition method, as required by the new standard. The adoption of this ASU had an immaterial impact to the condensed consolidated statements of cash flows.</w:t>
      </w:r>
    </w:p>
    <w:p>
      <w:pPr>
        <w:spacing w:after="0" w:line="161" w:lineRule="exact"/>
        <w:rPr>
          <w:sz w:val="20"/>
          <w:szCs w:val="20"/>
          <w:color w:val="auto"/>
        </w:rPr>
      </w:pPr>
    </w:p>
    <w:p>
      <w:pPr>
        <w:jc w:val="both"/>
        <w:ind w:right="20" w:firstLine="815"/>
        <w:spacing w:after="0" w:line="264" w:lineRule="auto"/>
        <w:rPr>
          <w:sz w:val="20"/>
          <w:szCs w:val="20"/>
          <w:color w:val="auto"/>
        </w:rPr>
      </w:pPr>
      <w:r>
        <w:rPr>
          <w:rFonts w:ascii="Arial" w:cs="Arial" w:eastAsia="Arial" w:hAnsi="Arial"/>
          <w:sz w:val="18"/>
          <w:szCs w:val="18"/>
          <w:color w:val="auto"/>
        </w:rPr>
        <w:t>The following table provides a reconciliation of cash and cash equivalents and restricted cash reported within the condensed consolidated balance sheets as of June 30, 2019 and 2018, respectively, that sums to the total of such amounts in the condensed consolidated statements of cash flows for the six months ended June 30, 2019 and 2018, respectively:</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0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u w:val="single" w:color="auto"/>
                <w:color w:val="auto"/>
                <w:w w:val="90"/>
              </w:rPr>
              <w:t>(</w:t>
            </w:r>
            <w:r>
              <w:rPr>
                <w:rFonts w:ascii="Arial" w:cs="Arial" w:eastAsia="Arial" w:hAnsi="Arial"/>
                <w:sz w:val="14"/>
                <w:szCs w:val="14"/>
                <w:b w:val="1"/>
                <w:bCs w:val="1"/>
                <w:color w:val="auto"/>
                <w:w w:val="90"/>
              </w:rPr>
              <w:t>$ in thousands)</w:t>
            </w:r>
          </w:p>
        </w:tc>
        <w:tc>
          <w:tcPr>
            <w:tcW w:w="7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jc w:val="right"/>
              <w:ind w:right="214"/>
              <w:spacing w:after="0"/>
              <w:rPr>
                <w:sz w:val="20"/>
                <w:szCs w:val="20"/>
                <w:color w:val="auto"/>
              </w:rPr>
            </w:pPr>
            <w:r>
              <w:rPr>
                <w:rFonts w:ascii="Arial" w:cs="Arial" w:eastAsia="Arial" w:hAnsi="Arial"/>
                <w:sz w:val="14"/>
                <w:szCs w:val="14"/>
                <w:b w:val="1"/>
                <w:bCs w:val="1"/>
                <w:color w:val="auto"/>
                <w:w w:val="98"/>
              </w:rPr>
              <w:t>June 30, 2019</w:t>
            </w: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gridSpan w:val="2"/>
          </w:tcPr>
          <w:p>
            <w:pPr>
              <w:ind w:left="100"/>
              <w:spacing w:after="0"/>
              <w:rPr>
                <w:sz w:val="20"/>
                <w:szCs w:val="20"/>
                <w:color w:val="auto"/>
              </w:rPr>
            </w:pPr>
            <w:r>
              <w:rPr>
                <w:rFonts w:ascii="Arial" w:cs="Arial" w:eastAsia="Arial" w:hAnsi="Arial"/>
                <w:sz w:val="14"/>
                <w:szCs w:val="14"/>
                <w:b w:val="1"/>
                <w:bCs w:val="1"/>
                <w:color w:val="auto"/>
              </w:rPr>
              <w:t>June 30, 2018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816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92,247</w:t>
            </w:r>
          </w:p>
        </w:tc>
        <w:tc>
          <w:tcPr>
            <w:tcW w:w="28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29,777</w:t>
            </w:r>
          </w:p>
        </w:tc>
        <w:tc>
          <w:tcPr>
            <w:tcW w:w="120" w:type="dxa"/>
            <w:vAlign w:val="bottom"/>
            <w:tcBorders>
              <w:top w:val="single" w:sz="8" w:color="CFF0FC"/>
            </w:tcBorders>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16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Restricted cash</w:t>
            </w: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1,743</w:t>
            </w:r>
          </w:p>
        </w:tc>
        <w:tc>
          <w:tcPr>
            <w:tcW w:w="28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1,917</w:t>
            </w:r>
          </w:p>
        </w:tc>
        <w:tc>
          <w:tcPr>
            <w:tcW w:w="12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16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Cash, cash equivalents and restricted cash in the condensed consolidated statements of cash flows</w:t>
            </w: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93,990</w:t>
            </w:r>
          </w:p>
        </w:tc>
        <w:tc>
          <w:tcPr>
            <w:tcW w:w="28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31,694</w:t>
            </w:r>
          </w:p>
        </w:tc>
        <w:tc>
          <w:tcPr>
            <w:tcW w:w="120" w:type="dxa"/>
            <w:vAlign w:val="bottom"/>
            <w:tcBorders>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160" w:type="dxa"/>
            <w:vAlign w:val="bottom"/>
            <w:gridSpan w:val="2"/>
            <w:vMerge w:val="restart"/>
          </w:tcPr>
          <w:p>
            <w:pPr>
              <w:ind w:left="5620"/>
              <w:spacing w:after="0"/>
              <w:rPr>
                <w:sz w:val="20"/>
                <w:szCs w:val="20"/>
                <w:color w:val="auto"/>
              </w:rPr>
            </w:pPr>
            <w:r>
              <w:rPr>
                <w:rFonts w:ascii="Arial" w:cs="Arial" w:eastAsia="Arial" w:hAnsi="Arial"/>
                <w:sz w:val="18"/>
                <w:szCs w:val="18"/>
                <w:color w:val="auto"/>
              </w:rPr>
              <w:t>10</w:t>
            </w: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816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000" w:type="dxa"/>
            <w:vAlign w:val="bottom"/>
            <w:tcBorders>
              <w:bottom w:val="single" w:sz="8" w:color="9A9A9A"/>
            </w:tcBorders>
          </w:tcPr>
          <w:p>
            <w:pPr>
              <w:spacing w:after="0"/>
              <w:rPr>
                <w:sz w:val="10"/>
                <w:szCs w:val="10"/>
                <w:color w:val="auto"/>
              </w:rPr>
            </w:pPr>
          </w:p>
        </w:tc>
        <w:tc>
          <w:tcPr>
            <w:tcW w:w="71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30" w:right="219" w:bottom="1440" w:gutter="0" w:footer="0" w:header="0"/>
        </w:sectPr>
      </w:pPr>
    </w:p>
    <w:bookmarkStart w:id="10" w:name="page11"/>
    <w:bookmarkEnd w:id="1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176" w:lineRule="exact"/>
        <w:rPr>
          <w:sz w:val="20"/>
          <w:szCs w:val="20"/>
          <w:color w:val="auto"/>
        </w:rPr>
      </w:pPr>
    </w:p>
    <w:p>
      <w:pPr>
        <w:jc w:val="both"/>
        <w:ind w:firstLine="815"/>
        <w:spacing w:after="0" w:line="264" w:lineRule="auto"/>
        <w:rPr>
          <w:sz w:val="20"/>
          <w:szCs w:val="20"/>
          <w:color w:val="auto"/>
        </w:rPr>
      </w:pPr>
      <w:r>
        <w:rPr>
          <w:rFonts w:ascii="Arial" w:cs="Arial" w:eastAsia="Arial" w:hAnsi="Arial"/>
          <w:sz w:val="18"/>
          <w:szCs w:val="18"/>
          <w:color w:val="auto"/>
        </w:rPr>
        <w:t>On January 1, 2019, the Company adopted ASU 2014-09</w:t>
      </w:r>
      <w:r>
        <w:rPr>
          <w:rFonts w:ascii="Arial" w:cs="Arial" w:eastAsia="Arial" w:hAnsi="Arial"/>
          <w:sz w:val="18"/>
          <w:szCs w:val="18"/>
          <w:i w:val="1"/>
          <w:iCs w:val="1"/>
          <w:color w:val="auto"/>
        </w:rPr>
        <w:t>, Revenue from Contracts with Customers</w:t>
      </w:r>
      <w:r>
        <w:rPr>
          <w:rFonts w:ascii="Arial" w:cs="Arial" w:eastAsia="Arial" w:hAnsi="Arial"/>
          <w:sz w:val="18"/>
          <w:szCs w:val="18"/>
          <w:color w:val="auto"/>
        </w:rPr>
        <w:t>, Topic 606 (“</w:t>
      </w:r>
      <w:r>
        <w:rPr>
          <w:rFonts w:ascii="Arial" w:cs="Arial" w:eastAsia="Arial" w:hAnsi="Arial"/>
          <w:sz w:val="18"/>
          <w:szCs w:val="18"/>
          <w:b w:val="1"/>
          <w:bCs w:val="1"/>
          <w:i w:val="1"/>
          <w:iCs w:val="1"/>
          <w:color w:val="auto"/>
        </w:rPr>
        <w:t>ASC 606</w:t>
      </w:r>
      <w:r>
        <w:rPr>
          <w:rFonts w:ascii="Arial" w:cs="Arial" w:eastAsia="Arial" w:hAnsi="Arial"/>
          <w:sz w:val="18"/>
          <w:szCs w:val="18"/>
          <w:color w:val="auto"/>
        </w:rPr>
        <w:t xml:space="preserve">”) using the modified retrospective method applied to those contracts that were not completed as of the adoption date. Results for 2019 are presented under ASC 606, while prior periods were not adjusted and are reported under ASC Topic 605, </w:t>
      </w:r>
      <w:r>
        <w:rPr>
          <w:rFonts w:ascii="Arial" w:cs="Arial" w:eastAsia="Arial" w:hAnsi="Arial"/>
          <w:sz w:val="18"/>
          <w:szCs w:val="18"/>
          <w:i w:val="1"/>
          <w:iCs w:val="1"/>
          <w:color w:val="auto"/>
        </w:rPr>
        <w:t>Revenue Recognition</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ASC 605</w:t>
      </w:r>
      <w:r>
        <w:rPr>
          <w:rFonts w:ascii="Arial" w:cs="Arial" w:eastAsia="Arial" w:hAnsi="Arial"/>
          <w:sz w:val="18"/>
          <w:szCs w:val="18"/>
          <w:color w:val="auto"/>
        </w:rPr>
        <w:t>”).</w:t>
      </w:r>
    </w:p>
    <w:p>
      <w:pPr>
        <w:spacing w:after="0" w:line="154" w:lineRule="exact"/>
        <w:rPr>
          <w:sz w:val="20"/>
          <w:szCs w:val="20"/>
          <w:color w:val="auto"/>
        </w:rPr>
      </w:pPr>
    </w:p>
    <w:p>
      <w:pPr>
        <w:jc w:val="both"/>
        <w:ind w:firstLine="815"/>
        <w:spacing w:after="0" w:line="279" w:lineRule="auto"/>
        <w:rPr>
          <w:sz w:val="20"/>
          <w:szCs w:val="20"/>
          <w:color w:val="auto"/>
        </w:rPr>
      </w:pPr>
      <w:r>
        <w:rPr>
          <w:rFonts w:ascii="Arial" w:cs="Arial" w:eastAsia="Arial" w:hAnsi="Arial"/>
          <w:sz w:val="17"/>
          <w:szCs w:val="17"/>
          <w:color w:val="auto"/>
        </w:rPr>
        <w:t>The Company has evaluated its current accounting practices to the requirements of ASC 606. This evaluation included an assessment of representative contracts from each of the Company’s revenue streams. The adoption of this standard did not have a material impact on the Company’s financial position, results of operations or cash flows, however, there have been additions and modification to its existing financial disclosures. While the overall revenue, systems and controls were minimally impacted by the new standard, the underlying recognition methodology has changed.</w:t>
      </w:r>
    </w:p>
    <w:p>
      <w:pPr>
        <w:spacing w:after="0" w:line="198" w:lineRule="exact"/>
        <w:rPr>
          <w:sz w:val="20"/>
          <w:szCs w:val="20"/>
          <w:color w:val="auto"/>
        </w:rPr>
      </w:pPr>
    </w:p>
    <w:p>
      <w:pPr>
        <w:jc w:val="both"/>
        <w:ind w:firstLine="815"/>
        <w:spacing w:after="0" w:line="276" w:lineRule="auto"/>
        <w:rPr>
          <w:sz w:val="20"/>
          <w:szCs w:val="20"/>
          <w:color w:val="auto"/>
        </w:rPr>
      </w:pPr>
      <w:r>
        <w:rPr>
          <w:rFonts w:ascii="Arial" w:cs="Arial" w:eastAsia="Arial" w:hAnsi="Arial"/>
          <w:sz w:val="17"/>
          <w:szCs w:val="17"/>
          <w:color w:val="auto"/>
        </w:rPr>
        <w:t>Under the new standard, the Company now recognizes revenue when the Company satisfies the performance obligation, including, for some of its contracts, the processing of the violation on the customer’s behalf. The primary difference under ASC 606 within the Government Solutions segment is the deferral of revenue related to certain variable price contracts, until citation payment. The Company recorded a $0.3 million reduction to opening retained earnings as of January 1, 2019 for the cumulative impact of adoption related to the recognition of revenue in its Government Solutions segment. There was no cumulative impact of adoption related to the Commercial Services segment.</w:t>
      </w:r>
    </w:p>
    <w:p>
      <w:pPr>
        <w:spacing w:after="0" w:line="132" w:lineRule="exact"/>
        <w:rPr>
          <w:sz w:val="20"/>
          <w:szCs w:val="20"/>
          <w:color w:val="auto"/>
        </w:rPr>
      </w:pPr>
    </w:p>
    <w:p>
      <w:pPr>
        <w:jc w:val="both"/>
        <w:ind w:firstLine="815"/>
        <w:spacing w:after="0" w:line="277" w:lineRule="auto"/>
        <w:rPr>
          <w:sz w:val="20"/>
          <w:szCs w:val="20"/>
          <w:color w:val="auto"/>
        </w:rPr>
      </w:pPr>
      <w:r>
        <w:rPr>
          <w:rFonts w:ascii="Arial" w:cs="Arial" w:eastAsia="Arial" w:hAnsi="Arial"/>
          <w:sz w:val="18"/>
          <w:szCs w:val="18"/>
          <w:color w:val="auto"/>
        </w:rPr>
        <w:t>The comparative information was not restated and continues to be presented under ASC 605 for those periods. There was no material impact upon adoption related to the costs of obtaining or fulfilling a contract.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Nature of goods and services</w:t>
      </w:r>
    </w:p>
    <w:p>
      <w:pPr>
        <w:spacing w:after="0" w:line="198"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The following is a description of principal activities – separated by reportable segments – from which the Company generates revenue:</w:t>
      </w:r>
    </w:p>
    <w:p>
      <w:pPr>
        <w:spacing w:after="0" w:line="117" w:lineRule="exact"/>
        <w:rPr>
          <w:sz w:val="20"/>
          <w:szCs w:val="20"/>
          <w:color w:val="auto"/>
        </w:rPr>
      </w:pPr>
    </w:p>
    <w:p>
      <w:pPr>
        <w:jc w:val="both"/>
        <w:ind w:left="820" w:hanging="407"/>
        <w:spacing w:after="0" w:line="290" w:lineRule="auto"/>
        <w:tabs>
          <w:tab w:leader="none" w:pos="820" w:val="left"/>
        </w:tabs>
        <w:numPr>
          <w:ilvl w:val="0"/>
          <w:numId w:val="5"/>
        </w:numPr>
        <w:rPr>
          <w:rFonts w:ascii="Arial" w:cs="Arial" w:eastAsia="Arial" w:hAnsi="Arial"/>
          <w:sz w:val="16"/>
          <w:szCs w:val="16"/>
          <w:color w:val="auto"/>
        </w:rPr>
      </w:pPr>
      <w:r>
        <w:rPr>
          <w:rFonts w:ascii="Arial" w:cs="Arial" w:eastAsia="Arial" w:hAnsi="Arial"/>
          <w:sz w:val="16"/>
          <w:szCs w:val="16"/>
          <w:color w:val="auto"/>
        </w:rPr>
        <w:t>Commercial Services segment: The Commercial Services segment offers toll and violation management solutions for the commercial fleet and rental car industries by partnering with the leading fleet management and rental car companies in North America and Europe. The Company determined its performance obligation is a distinct stand-ready obligation, as there is an unspecified quantity of services provided that does not diminish, and the customer is being charged only when it uses the Company’s services, such as toll payment, title and registration, etc. Therefore, all services provided within the Commercial Services segment are accounted for as a single performance obligation, of a series of distinct items, with distinct time increments, as a stand-ready obligation. Payment terms for contracts with commercial fleet and rental car companies vary, but are usually billed as services are performed. Revenue from services provided in the Commercial Services segment is recognized over time as the customer simultaneously receives and consumes the benefits provided by the Company and as the Company performs the services.</w:t>
      </w:r>
    </w:p>
    <w:p>
      <w:pPr>
        <w:spacing w:after="0" w:line="58" w:lineRule="exact"/>
        <w:rPr>
          <w:rFonts w:ascii="Arial" w:cs="Arial" w:eastAsia="Arial" w:hAnsi="Arial"/>
          <w:sz w:val="16"/>
          <w:szCs w:val="16"/>
          <w:color w:val="auto"/>
        </w:rPr>
      </w:pPr>
    </w:p>
    <w:p>
      <w:pPr>
        <w:jc w:val="both"/>
        <w:ind w:left="820" w:hanging="407"/>
        <w:spacing w:after="0" w:line="297" w:lineRule="auto"/>
        <w:tabs>
          <w:tab w:leader="none" w:pos="820" w:val="left"/>
        </w:tabs>
        <w:numPr>
          <w:ilvl w:val="0"/>
          <w:numId w:val="5"/>
        </w:numPr>
        <w:rPr>
          <w:rFonts w:ascii="Arial" w:cs="Arial" w:eastAsia="Arial" w:hAnsi="Arial"/>
          <w:sz w:val="16"/>
          <w:szCs w:val="16"/>
          <w:color w:val="auto"/>
        </w:rPr>
      </w:pPr>
      <w:r>
        <w:rPr>
          <w:rFonts w:ascii="Arial" w:cs="Arial" w:eastAsia="Arial" w:hAnsi="Arial"/>
          <w:sz w:val="16"/>
          <w:szCs w:val="16"/>
          <w:color w:val="auto"/>
        </w:rPr>
        <w:t>Government Solutions segment: The Government Solutions segment principally generates revenue from providing complete, end-to-end red-light, speed, school bus stop arm, and bus lane enforcement solutions. Products, when sold, are typically sold together with the services in a bundle. The average initial term of a contract is 3 to 5 years. Payment terms for contracts with government agencies vary depending on whether the consideration is fixed or variable. Payment terms for contracts with fixed consideration are usually based on equal installments over the duration of the contract. Payment terms for contracts with variable consideration are usually billed and collected as citations are issued or paid.</w:t>
      </w:r>
    </w:p>
    <w:p>
      <w:pPr>
        <w:spacing w:after="0" w:line="117" w:lineRule="exact"/>
        <w:rPr>
          <w:rFonts w:ascii="Arial" w:cs="Arial" w:eastAsia="Arial" w:hAnsi="Arial"/>
          <w:sz w:val="16"/>
          <w:szCs w:val="16"/>
          <w:color w:val="auto"/>
        </w:rPr>
      </w:pPr>
    </w:p>
    <w:p>
      <w:pPr>
        <w:jc w:val="both"/>
        <w:ind w:left="820"/>
        <w:spacing w:after="0" w:line="259" w:lineRule="auto"/>
        <w:rPr>
          <w:rFonts w:ascii="Arial" w:cs="Arial" w:eastAsia="Arial" w:hAnsi="Arial"/>
          <w:sz w:val="16"/>
          <w:szCs w:val="16"/>
          <w:color w:val="auto"/>
        </w:rPr>
      </w:pPr>
      <w:r>
        <w:rPr>
          <w:rFonts w:ascii="Arial" w:cs="Arial" w:eastAsia="Arial" w:hAnsi="Arial"/>
          <w:sz w:val="18"/>
          <w:szCs w:val="18"/>
          <w:color w:val="auto"/>
        </w:rPr>
        <w:t>For bundled packages, the Company accounts for individual products and services separately if they are distinct – i.e., if a product or service is separately identifiable from other items in the bundle and if a customer can benefit from it as a stand-alone item. The consideration is allocated between separate products and services in a bundle based on their stand-alone selling prices (“</w:t>
      </w:r>
      <w:r>
        <w:rPr>
          <w:rFonts w:ascii="Arial" w:cs="Arial" w:eastAsia="Arial" w:hAnsi="Arial"/>
          <w:sz w:val="18"/>
          <w:szCs w:val="18"/>
          <w:b w:val="1"/>
          <w:bCs w:val="1"/>
          <w:i w:val="1"/>
          <w:iCs w:val="1"/>
          <w:color w:val="auto"/>
        </w:rPr>
        <w:t>SSP</w:t>
      </w:r>
      <w:r>
        <w:rPr>
          <w:rFonts w:ascii="Arial" w:cs="Arial" w:eastAsia="Arial" w:hAnsi="Arial"/>
          <w:sz w:val="18"/>
          <w:szCs w:val="18"/>
          <w:color w:val="auto"/>
        </w:rPr>
        <w:t>”). The Company estimates the SSP of its services based upon observable evidence, market conditions and other relevant inputs.</w:t>
      </w:r>
    </w:p>
    <w:p>
      <w:pPr>
        <w:spacing w:after="0" w:line="78" w:lineRule="exact"/>
        <w:rPr>
          <w:rFonts w:ascii="Arial" w:cs="Arial" w:eastAsia="Arial" w:hAnsi="Arial"/>
          <w:sz w:val="16"/>
          <w:szCs w:val="16"/>
          <w:color w:val="auto"/>
        </w:rPr>
      </w:pPr>
    </w:p>
    <w:p>
      <w:pPr>
        <w:jc w:val="both"/>
        <w:ind w:left="1220" w:hanging="402"/>
        <w:spacing w:after="0" w:line="264" w:lineRule="auto"/>
        <w:tabs>
          <w:tab w:leader="none" w:pos="12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Product sales (sale of camera and installation) – The Company recognizes revenue when the installation process is completed and the camera is ready to perform the services as expected by the customer. Generally, it occurs at site acceptance or first citation. The Company recognizes revenue for the sale of the camera and installation services at a point in time.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11" w:name="page12"/>
    <w:bookmarkEnd w:id="1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22" w:lineRule="exact"/>
        <w:rPr>
          <w:sz w:val="20"/>
          <w:szCs w:val="20"/>
          <w:color w:val="auto"/>
        </w:rPr>
      </w:pPr>
    </w:p>
    <w:p>
      <w:pPr>
        <w:jc w:val="both"/>
        <w:ind w:left="1220" w:hanging="402"/>
        <w:spacing w:after="0" w:line="269" w:lineRule="auto"/>
        <w:tabs>
          <w:tab w:leader="none" w:pos="1220" w:val="left"/>
        </w:tabs>
        <w:numPr>
          <w:ilvl w:val="0"/>
          <w:numId w:val="6"/>
        </w:numPr>
        <w:rPr>
          <w:rFonts w:ascii="Arial" w:cs="Arial" w:eastAsia="Arial" w:hAnsi="Arial"/>
          <w:sz w:val="17"/>
          <w:szCs w:val="17"/>
          <w:color w:val="auto"/>
        </w:rPr>
      </w:pPr>
      <w:r>
        <w:rPr>
          <w:rFonts w:ascii="Arial" w:cs="Arial" w:eastAsia="Arial" w:hAnsi="Arial"/>
          <w:sz w:val="17"/>
          <w:szCs w:val="17"/>
          <w:color w:val="auto"/>
        </w:rPr>
        <w:t>Service revenue – The Company determined its performance obligation is to provide a complete end-to-end safety and enforcement solution. Promises include providing a system to capture images, processing images taken by the camera, forwarding eligible images to the local police department and processing payments on behalf of the municipality. The Company determined that certain of the promises to its customers are capable of being distinct, as they may provide some measure of benefit to the customer either on their own or together with other resources that are readily available to the customer. However, the Company determined that the promises to its customers do not meet the criterion of being distinct within the context of its contracts. The Company would not be able to fulfill its promises individually, as its customers could not obtain the intended benefit from the contract without the Company fulfilling all promises. Accordingly, the Company concluded that each contract represents one service offering and is a single performance obligation to our customer. Further, the Company accounts for all the services as a single continuous service. The Company applies the series guidance for those services as the nature of the service is to provide a service for a period of time with distinct time increments. The Company recognizes revenue from services over time, as they are performed.</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Remaining Performance Obligations</w:t>
      </w:r>
    </w:p>
    <w:p>
      <w:pPr>
        <w:spacing w:after="0" w:line="198" w:lineRule="exact"/>
        <w:rPr>
          <w:sz w:val="20"/>
          <w:szCs w:val="20"/>
          <w:color w:val="auto"/>
        </w:rPr>
      </w:pPr>
    </w:p>
    <w:p>
      <w:pPr>
        <w:jc w:val="both"/>
        <w:ind w:firstLine="815"/>
        <w:spacing w:after="0" w:line="259" w:lineRule="auto"/>
        <w:rPr>
          <w:sz w:val="20"/>
          <w:szCs w:val="20"/>
          <w:color w:val="auto"/>
        </w:rPr>
      </w:pPr>
      <w:r>
        <w:rPr>
          <w:rFonts w:ascii="Arial" w:cs="Arial" w:eastAsia="Arial" w:hAnsi="Arial"/>
          <w:sz w:val="18"/>
          <w:szCs w:val="18"/>
          <w:color w:val="auto"/>
        </w:rPr>
        <w:t>As of June 30, 2019, the Company had approximately $0.2 million of remaining performance obligations in the Government Solutions segment, which include amounts that will be invoiced and recognized in future periods. The remaining performance obligations are limited only to arrangements that meet the definition of a contract under ASC 606 as of June 30, 2019. As these amounts relate to the initial deferral of revenue under a contract, the Company expects to recognize these amounts over a two month period at the end of the contract.</w:t>
      </w:r>
    </w:p>
    <w:p>
      <w:pPr>
        <w:spacing w:after="0" w:line="146" w:lineRule="exact"/>
        <w:rPr>
          <w:sz w:val="20"/>
          <w:szCs w:val="20"/>
          <w:color w:val="auto"/>
        </w:rPr>
      </w:pPr>
    </w:p>
    <w:p>
      <w:pPr>
        <w:jc w:val="both"/>
        <w:ind w:firstLine="815"/>
        <w:spacing w:after="0" w:line="286" w:lineRule="auto"/>
        <w:rPr>
          <w:sz w:val="20"/>
          <w:szCs w:val="20"/>
          <w:color w:val="auto"/>
        </w:rPr>
      </w:pPr>
      <w:r>
        <w:rPr>
          <w:rFonts w:ascii="Arial" w:cs="Arial" w:eastAsia="Arial" w:hAnsi="Arial"/>
          <w:sz w:val="17"/>
          <w:szCs w:val="17"/>
          <w:color w:val="auto"/>
        </w:rPr>
        <w:t>The Company applies the practical expedient in paragraph 606-10-50-14A of ASC 606 and does not disclose variable consideration allocated entirely to wholly unsatisfied stand-ready performance obligations for certain Government Solutions and Commercial Services contracts as part of the information about remaining performance obligations. The duration for these contracts ranges between 3 and 5 years for new contracts.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Significant Judgments</w:t>
      </w:r>
    </w:p>
    <w:p>
      <w:pPr>
        <w:spacing w:after="0" w:line="252" w:lineRule="exact"/>
        <w:rPr>
          <w:sz w:val="20"/>
          <w:szCs w:val="20"/>
          <w:color w:val="auto"/>
        </w:rPr>
      </w:pPr>
    </w:p>
    <w:p>
      <w:pPr>
        <w:jc w:val="both"/>
        <w:ind w:firstLine="815"/>
        <w:spacing w:after="0" w:line="273" w:lineRule="auto"/>
        <w:rPr>
          <w:sz w:val="20"/>
          <w:szCs w:val="20"/>
          <w:color w:val="auto"/>
        </w:rPr>
      </w:pPr>
      <w:r>
        <w:rPr>
          <w:rFonts w:ascii="Arial" w:cs="Arial" w:eastAsia="Arial" w:hAnsi="Arial"/>
          <w:sz w:val="17"/>
          <w:szCs w:val="17"/>
          <w:color w:val="auto"/>
        </w:rPr>
        <w:t>Under the new revenue standard, significant judgments are required in order to identify contracts with customers and estimate transaction prices. Additional judgments are required for the identification of distinct performance obligations, the estimation of standalone selling prices and the allocation of the transaction price by relative standalone selling prices. Assumptions regarding timing of when control transfers to the customer requires significant judgment in order to recognize revenue. The Company makes significant judgments related to identifying the performance obligation and determining whether the services provided are able to be distinct, determining the transaction price, specifically as it is related to the different variable consideration structures identified in the Company’s contracts, and in determining the timing of revenue recognition.</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Accounting Standards Not Yet Adopted</w:t>
      </w:r>
    </w:p>
    <w:p>
      <w:pPr>
        <w:spacing w:after="0" w:line="185" w:lineRule="exact"/>
        <w:rPr>
          <w:sz w:val="20"/>
          <w:szCs w:val="20"/>
          <w:color w:val="auto"/>
        </w:rPr>
      </w:pPr>
    </w:p>
    <w:p>
      <w:pPr>
        <w:jc w:val="both"/>
        <w:ind w:firstLine="815"/>
        <w:spacing w:after="0" w:line="270" w:lineRule="auto"/>
        <w:rPr>
          <w:sz w:val="20"/>
          <w:szCs w:val="20"/>
          <w:color w:val="auto"/>
        </w:rPr>
      </w:pPr>
      <w:r>
        <w:rPr>
          <w:rFonts w:ascii="Arial" w:cs="Arial" w:eastAsia="Arial" w:hAnsi="Arial"/>
          <w:sz w:val="17"/>
          <w:szCs w:val="17"/>
          <w:color w:val="auto"/>
        </w:rPr>
        <w:t xml:space="preserve">In January 2016, the FASB issued ASU 2016-01, </w:t>
      </w:r>
      <w:r>
        <w:rPr>
          <w:rFonts w:ascii="Arial" w:cs="Arial" w:eastAsia="Arial" w:hAnsi="Arial"/>
          <w:sz w:val="17"/>
          <w:szCs w:val="17"/>
          <w:i w:val="1"/>
          <w:iCs w:val="1"/>
          <w:color w:val="auto"/>
        </w:rPr>
        <w:t>Financial Instruments—Overall (Subtopic 825-10): Recognition and Measurement of 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Assets and Financial Liabilities, </w:t>
      </w:r>
      <w:r>
        <w:rPr>
          <w:rFonts w:ascii="Arial" w:cs="Arial" w:eastAsia="Arial" w:hAnsi="Arial"/>
          <w:sz w:val="17"/>
          <w:szCs w:val="17"/>
          <w:color w:val="auto"/>
        </w:rPr>
        <w:t>and issued an amendment within ASU 2019-04</w:t>
      </w:r>
      <w:r>
        <w:rPr>
          <w:rFonts w:ascii="Arial" w:cs="Arial" w:eastAsia="Arial" w:hAnsi="Arial"/>
          <w:sz w:val="17"/>
          <w:szCs w:val="17"/>
          <w:i w:val="1"/>
          <w:iCs w:val="1"/>
          <w:color w:val="auto"/>
        </w:rPr>
        <w:t xml:space="preserve">, </w:t>
      </w:r>
      <w:r>
        <w:rPr>
          <w:rFonts w:ascii="Arial" w:cs="Arial" w:eastAsia="Arial" w:hAnsi="Arial"/>
          <w:sz w:val="17"/>
          <w:szCs w:val="17"/>
          <w:color w:val="auto"/>
        </w:rPr>
        <w:t>collectively Topic 825. The main objective of the updates is to enhance the</w:t>
      </w:r>
      <w:r>
        <w:rPr>
          <w:rFonts w:ascii="Arial" w:cs="Arial" w:eastAsia="Arial" w:hAnsi="Arial"/>
          <w:sz w:val="17"/>
          <w:szCs w:val="17"/>
          <w:i w:val="1"/>
          <w:iCs w:val="1"/>
          <w:color w:val="auto"/>
        </w:rPr>
        <w:t xml:space="preserve"> </w:t>
      </w:r>
      <w:r>
        <w:rPr>
          <w:rFonts w:ascii="Arial" w:cs="Arial" w:eastAsia="Arial" w:hAnsi="Arial"/>
          <w:sz w:val="17"/>
          <w:szCs w:val="17"/>
          <w:color w:val="auto"/>
        </w:rPr>
        <w:t>reporting model for financial instruments to provide users of financial statements with more decision-useful information. The new guidance addresses certain aspects of recognition, measurement, presentation, and disclosure of financial instruments. Most notably, ASU 2016-01 requires the change in fair value of available for sale securities to be recognized in net income. The pronouncement also requires the use of the exit price notion, the separate presentation of financial assets and liabilities by measurement category and form of asset, and the separate presentation in other comprehensive income of changes in fair value resulting from a change in the instrument-specific credit risk. ASU 2016-01 is effective for fiscal years beginning after December 15, 2019, including interim periods within those fiscal years. The impact of the implementation of this standard is still being determined by the Company, and it is not expected to be material to the consolidated financial statements.</w:t>
      </w:r>
    </w:p>
    <w:p>
      <w:pPr>
        <w:spacing w:after="0" w:line="141" w:lineRule="exact"/>
        <w:rPr>
          <w:sz w:val="20"/>
          <w:szCs w:val="20"/>
          <w:color w:val="auto"/>
        </w:rPr>
      </w:pPr>
    </w:p>
    <w:p>
      <w:pPr>
        <w:jc w:val="both"/>
        <w:ind w:firstLine="815"/>
        <w:spacing w:after="0" w:line="257" w:lineRule="auto"/>
        <w:rPr>
          <w:sz w:val="20"/>
          <w:szCs w:val="20"/>
          <w:color w:val="auto"/>
        </w:rPr>
      </w:pPr>
      <w:r>
        <w:rPr>
          <w:rFonts w:ascii="Arial" w:cs="Arial" w:eastAsia="Arial" w:hAnsi="Arial"/>
          <w:sz w:val="18"/>
          <w:szCs w:val="18"/>
          <w:color w:val="auto"/>
        </w:rPr>
        <w:t xml:space="preserve">In February 2016, the FASB issued ASU 2016-02, </w:t>
      </w:r>
      <w:r>
        <w:rPr>
          <w:rFonts w:ascii="Arial" w:cs="Arial" w:eastAsia="Arial" w:hAnsi="Arial"/>
          <w:sz w:val="18"/>
          <w:szCs w:val="18"/>
          <w:i w:val="1"/>
          <w:iCs w:val="1"/>
          <w:color w:val="auto"/>
        </w:rPr>
        <w:t>Leases (Topic 842)</w:t>
      </w:r>
      <w:r>
        <w:rPr>
          <w:rFonts w:ascii="Arial" w:cs="Arial" w:eastAsia="Arial" w:hAnsi="Arial"/>
          <w:sz w:val="18"/>
          <w:szCs w:val="18"/>
          <w:color w:val="auto"/>
        </w:rPr>
        <w:t xml:space="preserve"> and issued certain amendments within ASU 2018-01, 2018-10, 2018-11 and ASU 2019-01, respectively and collectively Topic 842 to increase transparency and comparability among organizations by recognizing lease assets and lease liabilities on the balance sheet and disclosing key information about leasing arrangements. ASU 2016-02 is effective for annual reporting periods beginning after December 15, 2019, and early adoption is permitted. The Company does not plan to early adopt this standard. The impact of the implementation of this standard is still being determined by the Company.</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12" w:name="page13"/>
    <w:bookmarkEnd w:id="1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90" w:lineRule="exact"/>
        <w:rPr>
          <w:sz w:val="20"/>
          <w:szCs w:val="20"/>
          <w:color w:val="auto"/>
        </w:rPr>
      </w:pPr>
    </w:p>
    <w:p>
      <w:pPr>
        <w:jc w:val="both"/>
        <w:ind w:firstLine="815"/>
        <w:spacing w:after="0" w:line="255" w:lineRule="auto"/>
        <w:rPr>
          <w:sz w:val="20"/>
          <w:szCs w:val="20"/>
          <w:color w:val="auto"/>
        </w:rPr>
      </w:pPr>
      <w:r>
        <w:rPr>
          <w:rFonts w:ascii="Arial" w:cs="Arial" w:eastAsia="Arial" w:hAnsi="Arial"/>
          <w:sz w:val="18"/>
          <w:szCs w:val="18"/>
          <w:color w:val="auto"/>
        </w:rPr>
        <w:t xml:space="preserve">In June 2016, the FASB issued ASU 2016-13, </w:t>
      </w:r>
      <w:r>
        <w:rPr>
          <w:rFonts w:ascii="Arial" w:cs="Arial" w:eastAsia="Arial" w:hAnsi="Arial"/>
          <w:sz w:val="18"/>
          <w:szCs w:val="18"/>
          <w:i w:val="1"/>
          <w:iCs w:val="1"/>
          <w:color w:val="auto"/>
        </w:rPr>
        <w:t>Financial Instruments—Credit Losses (Topic 326),</w:t>
      </w:r>
      <w:r>
        <w:rPr>
          <w:rFonts w:ascii="Arial" w:cs="Arial" w:eastAsia="Arial" w:hAnsi="Arial"/>
          <w:sz w:val="18"/>
          <w:szCs w:val="18"/>
          <w:color w:val="auto"/>
        </w:rPr>
        <w:t xml:space="preserve"> and issued certain amendments within ASU 2019-04 and ASU 2019-05, respectively and collectively Topic 326, which require companies to present assets held at amortized cost and available for sale debt securities net of the amount expected to be collected. The guidance requires the measurement of expected credit losses to be based on relevant information from past events, including historical experiences, current conditions and reasonable and supportable forecasts that affect collectability. The guidance will be effective for fiscal years and interim periods beginning after December 15, 2019 and early adoption is permitted. Different components of the guidance require modified retrospective or prospective adoption. The impact of the implementation of this standard is still being determined by the Company.</w:t>
      </w:r>
    </w:p>
    <w:p>
      <w:pPr>
        <w:spacing w:after="0" w:line="162" w:lineRule="exact"/>
        <w:rPr>
          <w:sz w:val="20"/>
          <w:szCs w:val="20"/>
          <w:color w:val="auto"/>
        </w:rPr>
      </w:pPr>
    </w:p>
    <w:p>
      <w:pPr>
        <w:jc w:val="both"/>
        <w:ind w:firstLine="815"/>
        <w:spacing w:after="0" w:line="273" w:lineRule="auto"/>
        <w:rPr>
          <w:sz w:val="20"/>
          <w:szCs w:val="20"/>
          <w:color w:val="auto"/>
        </w:rPr>
      </w:pPr>
      <w:r>
        <w:rPr>
          <w:rFonts w:ascii="Arial" w:cs="Arial" w:eastAsia="Arial" w:hAnsi="Arial"/>
          <w:sz w:val="17"/>
          <w:szCs w:val="17"/>
          <w:color w:val="auto"/>
        </w:rPr>
        <w:t xml:space="preserve">In January 2017, the FASB issued ASU 2017-04, </w:t>
      </w:r>
      <w:r>
        <w:rPr>
          <w:rFonts w:ascii="Arial" w:cs="Arial" w:eastAsia="Arial" w:hAnsi="Arial"/>
          <w:sz w:val="17"/>
          <w:szCs w:val="17"/>
          <w:i w:val="1"/>
          <w:iCs w:val="1"/>
          <w:color w:val="auto"/>
        </w:rPr>
        <w:t>Intangibles—Goodwill and Other (Topic 350)</w:t>
      </w:r>
      <w:r>
        <w:rPr>
          <w:rFonts w:ascii="Arial" w:cs="Arial" w:eastAsia="Arial" w:hAnsi="Arial"/>
          <w:sz w:val="17"/>
          <w:szCs w:val="17"/>
          <w:color w:val="auto"/>
        </w:rPr>
        <w:t>. ASU 2017-04 simplifies the accounting for goodwill impairment and removes Step 2 of the goodwill impairment test. Goodwill impairment will now be the amount by which a reporting unit’s carrying value exceeds its fair value limited to the total amount of goodwill allocated to that reporting unit. Entities will continue to have the option to perform a qualitative assessment to determine if a quantitative impairment test is necessary. The same one-step impairment test will be applied to goodwill at all reporting units, even those with zero or negative carrying amounts. The amendments in this ASU are effective for goodwill impairment tests in fiscal years beginning after December 15, 2021. The impact of the implementation of this standard is still being determined by the Company.</w:t>
      </w:r>
    </w:p>
    <w:p>
      <w:pPr>
        <w:spacing w:after="0" w:line="138" w:lineRule="exact"/>
        <w:rPr>
          <w:sz w:val="20"/>
          <w:szCs w:val="20"/>
          <w:color w:val="auto"/>
        </w:rPr>
      </w:pPr>
    </w:p>
    <w:p>
      <w:pPr>
        <w:jc w:val="both"/>
        <w:ind w:firstLine="815"/>
        <w:spacing w:after="0" w:line="276" w:lineRule="auto"/>
        <w:rPr>
          <w:sz w:val="20"/>
          <w:szCs w:val="20"/>
          <w:color w:val="auto"/>
        </w:rPr>
      </w:pPr>
      <w:r>
        <w:rPr>
          <w:rFonts w:ascii="Arial" w:cs="Arial" w:eastAsia="Arial" w:hAnsi="Arial"/>
          <w:sz w:val="17"/>
          <w:szCs w:val="17"/>
          <w:color w:val="auto"/>
        </w:rPr>
        <w:t xml:space="preserve">In June 2018, the FASB issued ASU 2018-07, </w:t>
      </w:r>
      <w:r>
        <w:rPr>
          <w:rFonts w:ascii="Arial" w:cs="Arial" w:eastAsia="Arial" w:hAnsi="Arial"/>
          <w:sz w:val="17"/>
          <w:szCs w:val="17"/>
          <w:i w:val="1"/>
          <w:iCs w:val="1"/>
          <w:color w:val="auto"/>
        </w:rPr>
        <w:t>Compensation—Stock Compensation (Topic 718)</w:t>
      </w:r>
      <w:r>
        <w:rPr>
          <w:rFonts w:ascii="Arial" w:cs="Arial" w:eastAsia="Arial" w:hAnsi="Arial"/>
          <w:sz w:val="17"/>
          <w:szCs w:val="17"/>
          <w:color w:val="auto"/>
        </w:rPr>
        <w:t xml:space="preserve">: </w:t>
      </w:r>
      <w:r>
        <w:rPr>
          <w:rFonts w:ascii="Arial" w:cs="Arial" w:eastAsia="Arial" w:hAnsi="Arial"/>
          <w:sz w:val="17"/>
          <w:szCs w:val="17"/>
          <w:i w:val="1"/>
          <w:iCs w:val="1"/>
          <w:color w:val="auto"/>
        </w:rPr>
        <w:t>Improvements to Nonemployee Share-Based</w:t>
      </w:r>
      <w:r>
        <w:rPr>
          <w:rFonts w:ascii="Arial" w:cs="Arial" w:eastAsia="Arial" w:hAnsi="Arial"/>
          <w:sz w:val="17"/>
          <w:szCs w:val="17"/>
          <w:color w:val="auto"/>
        </w:rPr>
        <w:t xml:space="preserve"> </w:t>
      </w:r>
      <w:r>
        <w:rPr>
          <w:rFonts w:ascii="Arial" w:cs="Arial" w:eastAsia="Arial" w:hAnsi="Arial"/>
          <w:sz w:val="17"/>
          <w:szCs w:val="17"/>
          <w:i w:val="1"/>
          <w:iCs w:val="1"/>
          <w:color w:val="auto"/>
        </w:rPr>
        <w:t>Payment Accounting</w:t>
      </w:r>
      <w:r>
        <w:rPr>
          <w:rFonts w:ascii="Arial" w:cs="Arial" w:eastAsia="Arial" w:hAnsi="Arial"/>
          <w:sz w:val="17"/>
          <w:szCs w:val="17"/>
          <w:color w:val="auto"/>
        </w:rPr>
        <w:t>. These amendments expand the scope of Topic 718, Compensation—Stock Compensation (which currently only includes share-based</w:t>
      </w:r>
      <w:r>
        <w:rPr>
          <w:rFonts w:ascii="Arial" w:cs="Arial" w:eastAsia="Arial" w:hAnsi="Arial"/>
          <w:sz w:val="17"/>
          <w:szCs w:val="17"/>
          <w:i w:val="1"/>
          <w:iCs w:val="1"/>
          <w:color w:val="auto"/>
        </w:rPr>
        <w:t xml:space="preserve"> </w:t>
      </w:r>
      <w:r>
        <w:rPr>
          <w:rFonts w:ascii="Arial" w:cs="Arial" w:eastAsia="Arial" w:hAnsi="Arial"/>
          <w:sz w:val="17"/>
          <w:szCs w:val="17"/>
          <w:color w:val="auto"/>
        </w:rPr>
        <w:t>payments to employees) to include share-based payments issued to nonemployees for goods or services. ASU 2018-07 is effective beginning after December 15, 2019, and interim periods within fiscal years beginning after December 15, 2020. At this time, the Company does not expect this standard to have a material effect on the Company’s financial position, results of operations or cash flows and disclosures.</w:t>
      </w:r>
    </w:p>
    <w:p>
      <w:pPr>
        <w:spacing w:after="0" w:line="132" w:lineRule="exact"/>
        <w:rPr>
          <w:sz w:val="20"/>
          <w:szCs w:val="20"/>
          <w:color w:val="auto"/>
        </w:rPr>
      </w:pPr>
    </w:p>
    <w:p>
      <w:pPr>
        <w:jc w:val="both"/>
        <w:ind w:firstLine="815"/>
        <w:spacing w:after="0" w:line="271" w:lineRule="auto"/>
        <w:rPr>
          <w:sz w:val="20"/>
          <w:szCs w:val="20"/>
          <w:color w:val="auto"/>
        </w:rPr>
      </w:pPr>
      <w:r>
        <w:rPr>
          <w:rFonts w:ascii="Arial" w:cs="Arial" w:eastAsia="Arial" w:hAnsi="Arial"/>
          <w:sz w:val="17"/>
          <w:szCs w:val="17"/>
          <w:color w:val="auto"/>
        </w:rPr>
        <w:t xml:space="preserve">In August 2018, the FASB issued ASU 2018-13, </w:t>
      </w:r>
      <w:r>
        <w:rPr>
          <w:rFonts w:ascii="Arial" w:cs="Arial" w:eastAsia="Arial" w:hAnsi="Arial"/>
          <w:sz w:val="17"/>
          <w:szCs w:val="17"/>
          <w:i w:val="1"/>
          <w:iCs w:val="1"/>
          <w:color w:val="auto"/>
        </w:rPr>
        <w:t>(Topic 820) Disclosure Framework—Changes to the Disclosure Requirements for Fair Value</w:t>
      </w:r>
      <w:r>
        <w:rPr>
          <w:rFonts w:ascii="Arial" w:cs="Arial" w:eastAsia="Arial" w:hAnsi="Arial"/>
          <w:sz w:val="17"/>
          <w:szCs w:val="17"/>
          <w:color w:val="auto"/>
        </w:rPr>
        <w:t xml:space="preserve"> </w:t>
      </w:r>
      <w:r>
        <w:rPr>
          <w:rFonts w:ascii="Arial" w:cs="Arial" w:eastAsia="Arial" w:hAnsi="Arial"/>
          <w:sz w:val="17"/>
          <w:szCs w:val="17"/>
          <w:i w:val="1"/>
          <w:iCs w:val="1"/>
          <w:color w:val="auto"/>
        </w:rPr>
        <w:t>Measurement</w:t>
      </w:r>
      <w:r>
        <w:rPr>
          <w:rFonts w:ascii="Arial" w:cs="Arial" w:eastAsia="Arial" w:hAnsi="Arial"/>
          <w:sz w:val="17"/>
          <w:szCs w:val="17"/>
          <w:color w:val="auto"/>
        </w:rPr>
        <w:t>. The amendments in this update modify the disclosure requirements on fair value measurements in Topic 820, Fair Value Measurement. The</w:t>
      </w:r>
      <w:r>
        <w:rPr>
          <w:rFonts w:ascii="Arial" w:cs="Arial" w:eastAsia="Arial" w:hAnsi="Arial"/>
          <w:sz w:val="17"/>
          <w:szCs w:val="17"/>
          <w:i w:val="1"/>
          <w:iCs w:val="1"/>
          <w:color w:val="auto"/>
        </w:rPr>
        <w:t xml:space="preserve"> </w:t>
      </w:r>
      <w:r>
        <w:rPr>
          <w:rFonts w:ascii="Arial" w:cs="Arial" w:eastAsia="Arial" w:hAnsi="Arial"/>
          <w:sz w:val="17"/>
          <w:szCs w:val="17"/>
          <w:color w:val="auto"/>
        </w:rPr>
        <w:t>amendments in this update are effective for all entities for fiscal years, and interim periods within those fiscal years, beginning after December 15, 2019. The amendments on changes in unrealized gains and losses, the range and weighted average of significant unobservable inputs used to develop Level 3 fair value measurements, and the narrative description of measurement uncertainty should be applied prospectively for only the most recent interim or annual period presented in the initial fiscal year of adoption. All other amendments should be applied retrospectively to all periods presented upon their effective date. Early adoption is permitted. The Company does not plan to early adopt the standard. The impact of the implementation of this standard is still being determined by the Company, and it is not expected to be material to the consolidated financial statements.</w:t>
      </w:r>
    </w:p>
    <w:p>
      <w:pPr>
        <w:spacing w:after="0" w:line="148" w:lineRule="exact"/>
        <w:rPr>
          <w:sz w:val="20"/>
          <w:szCs w:val="20"/>
          <w:color w:val="auto"/>
        </w:rPr>
      </w:pPr>
    </w:p>
    <w:p>
      <w:pPr>
        <w:ind w:left="420" w:hanging="412"/>
        <w:spacing w:after="0"/>
        <w:tabs>
          <w:tab w:leader="none" w:pos="42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Mergers and Acquisitions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Verra Mobility Merger</w:t>
      </w:r>
    </w:p>
    <w:p>
      <w:pPr>
        <w:spacing w:after="0" w:line="185" w:lineRule="exact"/>
        <w:rPr>
          <w:sz w:val="20"/>
          <w:szCs w:val="20"/>
          <w:color w:val="auto"/>
        </w:rPr>
      </w:pPr>
    </w:p>
    <w:p>
      <w:pPr>
        <w:jc w:val="both"/>
        <w:ind w:firstLine="815"/>
        <w:spacing w:after="0" w:line="287" w:lineRule="auto"/>
        <w:rPr>
          <w:sz w:val="20"/>
          <w:szCs w:val="20"/>
          <w:color w:val="auto"/>
        </w:rPr>
      </w:pPr>
      <w:r>
        <w:rPr>
          <w:rFonts w:ascii="Arial" w:cs="Arial" w:eastAsia="Arial" w:hAnsi="Arial"/>
          <w:sz w:val="16"/>
          <w:szCs w:val="16"/>
          <w:color w:val="auto"/>
        </w:rPr>
        <w:t xml:space="preserve">As described in Note 1, Gores and Greenlight consummated the Business Combination on October 17, 2018. Pursuant to </w:t>
      </w:r>
      <w:r>
        <w:rPr>
          <w:rFonts w:ascii="Arial" w:cs="Arial" w:eastAsia="Arial" w:hAnsi="Arial"/>
          <w:sz w:val="16"/>
          <w:szCs w:val="16"/>
          <w:i w:val="1"/>
          <w:iCs w:val="1"/>
          <w:color w:val="auto"/>
        </w:rPr>
        <w:t>Business Combinations</w:t>
      </w:r>
      <w:r>
        <w:rPr>
          <w:rFonts w:ascii="Arial" w:cs="Arial" w:eastAsia="Arial" w:hAnsi="Arial"/>
          <w:sz w:val="16"/>
          <w:szCs w:val="16"/>
          <w:color w:val="auto"/>
        </w:rPr>
        <w:t xml:space="preserve"> </w:t>
      </w:r>
      <w:r>
        <w:rPr>
          <w:rFonts w:ascii="Arial" w:cs="Arial" w:eastAsia="Arial" w:hAnsi="Arial"/>
          <w:sz w:val="16"/>
          <w:szCs w:val="16"/>
          <w:i w:val="1"/>
          <w:iCs w:val="1"/>
          <w:color w:val="auto"/>
        </w:rPr>
        <w:t>(Topic 805)</w:t>
      </w:r>
      <w:r>
        <w:rPr>
          <w:rFonts w:ascii="Arial" w:cs="Arial" w:eastAsia="Arial" w:hAnsi="Arial"/>
          <w:sz w:val="16"/>
          <w:szCs w:val="16"/>
          <w:color w:val="auto"/>
        </w:rPr>
        <w:t>, the Business Combination qualified as a reverse acquisition because immediately following completion of the transaction the stockholders of</w:t>
      </w:r>
      <w:r>
        <w:rPr>
          <w:rFonts w:ascii="Arial" w:cs="Arial" w:eastAsia="Arial" w:hAnsi="Arial"/>
          <w:sz w:val="16"/>
          <w:szCs w:val="16"/>
          <w:i w:val="1"/>
          <w:iCs w:val="1"/>
          <w:color w:val="auto"/>
        </w:rPr>
        <w:t xml:space="preserve"> </w:t>
      </w:r>
      <w:r>
        <w:rPr>
          <w:rFonts w:ascii="Arial" w:cs="Arial" w:eastAsia="Arial" w:hAnsi="Arial"/>
          <w:sz w:val="16"/>
          <w:szCs w:val="16"/>
          <w:color w:val="auto"/>
        </w:rPr>
        <w:t>Greenlight immediately prior to the Business Combination maintained effective control of Verra Mobility, the post-combination company. For accounting purposes, Greenlight is deemed the accounting acquirer in the transaction and, consequently, the transaction is treated as recapitalization of Greenlight (i.e. a capital transaction involving the issuance of stock by Greenlight in exchange for the payment of cash by Gores to the selling shareholders of Greenlight). Accordingly, the consolidated assets, liabilities and results of operations of Greenlight are the historical financial statements of Verra Mobility and the Gores assets, liabilities and results of operations are consolidated with Greenlight beginning on the acquisition date. No step-up in basis of intangible assets or goodwill was recorded for this transaction. The Company effected this treatment through opening stockholders’ equity by adjusting the number of common shares outstanding. Other than underwriting and professional fees paid to consummate the transaction, the Business Combination primarily involved the exchange of cash and equity between Gores, Greenlight and the stockholders of the respective companies. During the six months ended June 30, 2019, the Company recorded a $6.2 million payable to Platinum, a related party, for the recapitalization related to the working capital adjustment required by the merger agreements. This resulted in a decrease to the additional paid-in capital account for $6.2 million, and a corresponding increase to accrued liabilities.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13" w:name="page14"/>
    <w:bookmarkEnd w:id="1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ATS Merger</w:t>
      </w:r>
    </w:p>
    <w:p>
      <w:pPr>
        <w:spacing w:after="0" w:line="198" w:lineRule="exact"/>
        <w:rPr>
          <w:sz w:val="20"/>
          <w:szCs w:val="20"/>
          <w:color w:val="auto"/>
        </w:rPr>
      </w:pPr>
    </w:p>
    <w:p>
      <w:pPr>
        <w:jc w:val="both"/>
        <w:ind w:firstLine="815"/>
        <w:spacing w:after="0" w:line="259" w:lineRule="auto"/>
        <w:rPr>
          <w:sz w:val="20"/>
          <w:szCs w:val="20"/>
          <w:color w:val="auto"/>
        </w:rPr>
      </w:pPr>
      <w:r>
        <w:rPr>
          <w:rFonts w:ascii="Arial" w:cs="Arial" w:eastAsia="Arial" w:hAnsi="Arial"/>
          <w:sz w:val="18"/>
          <w:szCs w:val="18"/>
          <w:color w:val="auto"/>
        </w:rPr>
        <w:t>On May 31, 2017, ATS was acquired by Parent through the merger of ATS Merger Sub with and into ATS for a total purchase price of $548.2 million ($550.0 million less adjustments set forth in the ATS Merger agreement). The Company recognized approximately $9.9 million of costs related to the ATS Merger, which consisted of $8.0 million of payments for acquisition services to Platinum Equity Advisors, LLC, an affiliate of Platinum (“</w:t>
      </w:r>
      <w:r>
        <w:rPr>
          <w:rFonts w:ascii="Arial" w:cs="Arial" w:eastAsia="Arial" w:hAnsi="Arial"/>
          <w:sz w:val="18"/>
          <w:szCs w:val="18"/>
          <w:b w:val="1"/>
          <w:bCs w:val="1"/>
          <w:i w:val="1"/>
          <w:iCs w:val="1"/>
          <w:color w:val="auto"/>
        </w:rPr>
        <w:t>Advisors</w:t>
      </w:r>
      <w:r>
        <w:rPr>
          <w:rFonts w:ascii="Arial" w:cs="Arial" w:eastAsia="Arial" w:hAnsi="Arial"/>
          <w:sz w:val="18"/>
          <w:szCs w:val="18"/>
          <w:color w:val="auto"/>
        </w:rPr>
        <w:t>”), and $1.9 million of professional fees and other expenses related to the ATS Merger.</w:t>
      </w:r>
    </w:p>
    <w:p>
      <w:pPr>
        <w:spacing w:after="0" w:line="146" w:lineRule="exact"/>
        <w:rPr>
          <w:sz w:val="20"/>
          <w:szCs w:val="20"/>
          <w:color w:val="auto"/>
        </w:rPr>
      </w:pPr>
    </w:p>
    <w:p>
      <w:pPr>
        <w:jc w:val="both"/>
        <w:ind w:firstLine="815"/>
        <w:spacing w:after="0" w:line="277" w:lineRule="auto"/>
        <w:rPr>
          <w:sz w:val="20"/>
          <w:szCs w:val="20"/>
          <w:color w:val="auto"/>
        </w:rPr>
      </w:pPr>
      <w:r>
        <w:rPr>
          <w:rFonts w:ascii="Arial" w:cs="Arial" w:eastAsia="Arial" w:hAnsi="Arial"/>
          <w:sz w:val="18"/>
          <w:szCs w:val="18"/>
          <w:color w:val="auto"/>
        </w:rPr>
        <w:t>On May 31, 2017, ATS Merger Sub obtained debt financing pursuant to a credit agreement entered into with a syndicate of lenders. ATS Merger Sub was merged with and into ATS on the same date, effectively making ATS the sole borrower (see Note 8).</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HTA Merger</w:t>
      </w:r>
    </w:p>
    <w:p>
      <w:pPr>
        <w:spacing w:after="0" w:line="198" w:lineRule="exact"/>
        <w:rPr>
          <w:sz w:val="20"/>
          <w:szCs w:val="20"/>
          <w:color w:val="auto"/>
        </w:rPr>
      </w:pPr>
    </w:p>
    <w:p>
      <w:pPr>
        <w:jc w:val="both"/>
        <w:ind w:firstLine="815"/>
        <w:spacing w:after="0" w:line="293" w:lineRule="auto"/>
        <w:rPr>
          <w:sz w:val="20"/>
          <w:szCs w:val="20"/>
          <w:color w:val="auto"/>
        </w:rPr>
      </w:pPr>
      <w:r>
        <w:rPr>
          <w:rFonts w:ascii="Arial" w:cs="Arial" w:eastAsia="Arial" w:hAnsi="Arial"/>
          <w:sz w:val="16"/>
          <w:szCs w:val="16"/>
          <w:color w:val="auto"/>
        </w:rPr>
        <w:t>On March 1, 2018, the Company acquired all of the issued and outstanding membership interests of Highway Toll Administration, LLC, and Canada Highway Toll Administration (collectively, “</w:t>
      </w:r>
      <w:r>
        <w:rPr>
          <w:rFonts w:ascii="Arial" w:cs="Arial" w:eastAsia="Arial" w:hAnsi="Arial"/>
          <w:sz w:val="16"/>
          <w:szCs w:val="16"/>
          <w:b w:val="1"/>
          <w:bCs w:val="1"/>
          <w:i w:val="1"/>
          <w:iCs w:val="1"/>
          <w:color w:val="auto"/>
        </w:rPr>
        <w:t>HTA</w:t>
      </w:r>
      <w:r>
        <w:rPr>
          <w:rFonts w:ascii="Arial" w:cs="Arial" w:eastAsia="Arial" w:hAnsi="Arial"/>
          <w:sz w:val="16"/>
          <w:szCs w:val="16"/>
          <w:color w:val="auto"/>
        </w:rPr>
        <w:t>”), pursuant to a unit purchase agreement (“</w:t>
      </w:r>
      <w:r>
        <w:rPr>
          <w:rFonts w:ascii="Arial" w:cs="Arial" w:eastAsia="Arial" w:hAnsi="Arial"/>
          <w:sz w:val="16"/>
          <w:szCs w:val="16"/>
          <w:b w:val="1"/>
          <w:bCs w:val="1"/>
          <w:i w:val="1"/>
          <w:iCs w:val="1"/>
          <w:color w:val="auto"/>
        </w:rPr>
        <w:t>Unit Agreement</w:t>
      </w:r>
      <w:r>
        <w:rPr>
          <w:rFonts w:ascii="Arial" w:cs="Arial" w:eastAsia="Arial" w:hAnsi="Arial"/>
          <w:sz w:val="16"/>
          <w:szCs w:val="16"/>
          <w:color w:val="auto"/>
        </w:rPr>
        <w:t>”) for a cash purchase price of $525.0 million subject to adjustments set forth in the Unit Agreement which aggregated $9.7 million, a $11.3 million payable to the HTA sellers for certain tax items and the issuance of 5.26 shares of Greenlight common stock resulting in an aggregate purchase price of $603.3 million (the “</w:t>
      </w:r>
      <w:r>
        <w:rPr>
          <w:rFonts w:ascii="Arial" w:cs="Arial" w:eastAsia="Arial" w:hAnsi="Arial"/>
          <w:sz w:val="16"/>
          <w:szCs w:val="16"/>
          <w:b w:val="1"/>
          <w:bCs w:val="1"/>
          <w:i w:val="1"/>
          <w:iCs w:val="1"/>
          <w:color w:val="auto"/>
        </w:rPr>
        <w:t>HTA Merger</w:t>
      </w:r>
      <w:r>
        <w:rPr>
          <w:rFonts w:ascii="Arial" w:cs="Arial" w:eastAsia="Arial" w:hAnsi="Arial"/>
          <w:sz w:val="16"/>
          <w:szCs w:val="16"/>
          <w:color w:val="auto"/>
        </w:rPr>
        <w:t>”). The Greenlight shares issued to the Company were determined to have a fair value of $57.3 million. The Company reflected the receipt of the Greenlight common shares as a capital contribution from Parent and then delivered these shares to the HTA sellers as non-cash purchase consideration.</w:t>
      </w:r>
    </w:p>
    <w:p>
      <w:pPr>
        <w:spacing w:after="0" w:line="124" w:lineRule="exact"/>
        <w:rPr>
          <w:sz w:val="20"/>
          <w:szCs w:val="20"/>
          <w:color w:val="auto"/>
        </w:rPr>
      </w:pPr>
    </w:p>
    <w:p>
      <w:pPr>
        <w:jc w:val="both"/>
        <w:ind w:firstLine="815"/>
        <w:spacing w:after="0" w:line="255" w:lineRule="auto"/>
        <w:rPr>
          <w:sz w:val="20"/>
          <w:szCs w:val="20"/>
          <w:color w:val="auto"/>
        </w:rPr>
      </w:pPr>
      <w:r>
        <w:rPr>
          <w:rFonts w:ascii="Arial" w:cs="Arial" w:eastAsia="Arial" w:hAnsi="Arial"/>
          <w:sz w:val="18"/>
          <w:szCs w:val="18"/>
          <w:color w:val="auto"/>
        </w:rPr>
        <w:t>The Company estimated the fair value of the Greenlight common shares issued in connection with this transaction with input from management and a contemporaneous third-party valuation of the Company. Management determined the fair value of Greenlight was the same as the Company as Greenlight’s only holdings were the Company. The valuation advisory firm prepared a valuation report as of March 1, 2018. The assumptions and inputs used in connection with the valuation reflected management’s best estimate of the Company’s business condition, prospects and operating performance on the valuation date. The Company averaged the results of a discounted cash flow analysis, comparable public company analysis and comparable acquisitions analysis to determine an enterprise value of $2.1 billion. The Company then deducted debt of $1.0 billion to arrive at a concluded equity value of $1.1 billion, which was used to derive a per share value.</w:t>
      </w:r>
    </w:p>
    <w:p>
      <w:pPr>
        <w:spacing w:after="0" w:line="14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The final allocation of the purchase consideration is summarized as follows:</w:t>
      </w:r>
    </w:p>
    <w:p>
      <w:pPr>
        <w:spacing w:after="0" w:line="325"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46620" cy="1460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Assets acquired</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80" w:type="dxa"/>
            <w:vAlign w:val="bottom"/>
          </w:tcPr>
          <w:p>
            <w:pPr>
              <w:ind w:left="260"/>
              <w:spacing w:after="0"/>
              <w:rPr>
                <w:sz w:val="20"/>
                <w:szCs w:val="20"/>
                <w:color w:val="auto"/>
              </w:rPr>
            </w:pPr>
            <w:r>
              <w:rPr>
                <w:rFonts w:ascii="Arial" w:cs="Arial" w:eastAsia="Arial" w:hAnsi="Arial"/>
                <w:sz w:val="18"/>
                <w:szCs w:val="18"/>
                <w:color w:val="auto"/>
              </w:rPr>
              <w:t>Cash</w:t>
            </w:r>
          </w:p>
        </w:tc>
        <w:tc>
          <w:tcPr>
            <w:tcW w:w="3820" w:type="dxa"/>
            <w:vAlign w:val="bottom"/>
            <w:gridSpan w:val="2"/>
          </w:tcPr>
          <w:p>
            <w:pPr>
              <w:jc w:val="right"/>
              <w:ind w:right="51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2,996</w:t>
            </w:r>
          </w:p>
        </w:tc>
        <w:tc>
          <w:tcPr>
            <w:tcW w:w="100" w:type="dxa"/>
            <w:vAlign w:val="bottom"/>
          </w:tcPr>
          <w:p>
            <w:pPr>
              <w:spacing w:after="0"/>
              <w:rPr>
                <w:sz w:val="19"/>
                <w:szCs w:val="19"/>
                <w:color w:val="auto"/>
              </w:rPr>
            </w:pPr>
          </w:p>
        </w:tc>
      </w:tr>
      <w:tr>
        <w:trPr>
          <w:trHeight w:val="230"/>
        </w:trPr>
        <w:tc>
          <w:tcPr>
            <w:tcW w:w="6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Accounts receivable</w:t>
            </w:r>
          </w:p>
        </w:tc>
        <w:tc>
          <w:tcPr>
            <w:tcW w:w="31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10,220</w:t>
            </w:r>
          </w:p>
        </w:tc>
        <w:tc>
          <w:tcPr>
            <w:tcW w:w="100" w:type="dxa"/>
            <w:vAlign w:val="bottom"/>
            <w:shd w:val="clear" w:color="auto" w:fill="CFF0FC"/>
          </w:tcPr>
          <w:p>
            <w:pPr>
              <w:spacing w:after="0"/>
              <w:rPr>
                <w:sz w:val="19"/>
                <w:szCs w:val="19"/>
                <w:color w:val="auto"/>
              </w:rPr>
            </w:pPr>
          </w:p>
        </w:tc>
      </w:tr>
      <w:tr>
        <w:trPr>
          <w:trHeight w:val="230"/>
        </w:trPr>
        <w:tc>
          <w:tcPr>
            <w:tcW w:w="6280" w:type="dxa"/>
            <w:vAlign w:val="bottom"/>
          </w:tcPr>
          <w:p>
            <w:pPr>
              <w:ind w:left="260"/>
              <w:spacing w:after="0"/>
              <w:rPr>
                <w:sz w:val="20"/>
                <w:szCs w:val="20"/>
                <w:color w:val="auto"/>
              </w:rPr>
            </w:pPr>
            <w:r>
              <w:rPr>
                <w:rFonts w:ascii="Arial" w:cs="Arial" w:eastAsia="Arial" w:hAnsi="Arial"/>
                <w:sz w:val="18"/>
                <w:szCs w:val="18"/>
                <w:color w:val="auto"/>
              </w:rPr>
              <w:t>Prepaid expense and other current assets</w:t>
            </w:r>
          </w:p>
        </w:tc>
        <w:tc>
          <w:tcPr>
            <w:tcW w:w="3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5,266</w:t>
            </w:r>
          </w:p>
        </w:tc>
        <w:tc>
          <w:tcPr>
            <w:tcW w:w="100" w:type="dxa"/>
            <w:vAlign w:val="bottom"/>
          </w:tcPr>
          <w:p>
            <w:pPr>
              <w:spacing w:after="0"/>
              <w:rPr>
                <w:sz w:val="19"/>
                <w:szCs w:val="19"/>
                <w:color w:val="auto"/>
              </w:rPr>
            </w:pPr>
          </w:p>
        </w:tc>
      </w:tr>
      <w:tr>
        <w:trPr>
          <w:trHeight w:val="230"/>
        </w:trPr>
        <w:tc>
          <w:tcPr>
            <w:tcW w:w="6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Installation and service parts</w:t>
            </w:r>
          </w:p>
        </w:tc>
        <w:tc>
          <w:tcPr>
            <w:tcW w:w="31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296</w:t>
            </w:r>
          </w:p>
        </w:tc>
        <w:tc>
          <w:tcPr>
            <w:tcW w:w="100" w:type="dxa"/>
            <w:vAlign w:val="bottom"/>
            <w:shd w:val="clear" w:color="auto" w:fill="CFF0FC"/>
          </w:tcPr>
          <w:p>
            <w:pPr>
              <w:spacing w:after="0"/>
              <w:rPr>
                <w:sz w:val="19"/>
                <w:szCs w:val="19"/>
                <w:color w:val="auto"/>
              </w:rPr>
            </w:pPr>
          </w:p>
        </w:tc>
      </w:tr>
      <w:tr>
        <w:trPr>
          <w:trHeight w:val="230"/>
        </w:trPr>
        <w:tc>
          <w:tcPr>
            <w:tcW w:w="6280" w:type="dxa"/>
            <w:vAlign w:val="bottom"/>
          </w:tcPr>
          <w:p>
            <w:pPr>
              <w:ind w:left="260"/>
              <w:spacing w:after="0"/>
              <w:rPr>
                <w:sz w:val="20"/>
                <w:szCs w:val="20"/>
                <w:color w:val="auto"/>
              </w:rPr>
            </w:pPr>
            <w:r>
              <w:rPr>
                <w:rFonts w:ascii="Arial" w:cs="Arial" w:eastAsia="Arial" w:hAnsi="Arial"/>
                <w:sz w:val="18"/>
                <w:szCs w:val="18"/>
                <w:color w:val="auto"/>
              </w:rPr>
              <w:t>Property and equipment</w:t>
            </w:r>
          </w:p>
        </w:tc>
        <w:tc>
          <w:tcPr>
            <w:tcW w:w="3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996</w:t>
            </w:r>
          </w:p>
        </w:tc>
        <w:tc>
          <w:tcPr>
            <w:tcW w:w="100" w:type="dxa"/>
            <w:vAlign w:val="bottom"/>
          </w:tcPr>
          <w:p>
            <w:pPr>
              <w:spacing w:after="0"/>
              <w:rPr>
                <w:sz w:val="19"/>
                <w:szCs w:val="19"/>
                <w:color w:val="auto"/>
              </w:rPr>
            </w:pPr>
          </w:p>
        </w:tc>
      </w:tr>
      <w:tr>
        <w:trPr>
          <w:trHeight w:val="230"/>
        </w:trPr>
        <w:tc>
          <w:tcPr>
            <w:tcW w:w="6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Customer relationships</w:t>
            </w:r>
          </w:p>
        </w:tc>
        <w:tc>
          <w:tcPr>
            <w:tcW w:w="31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242,500</w:t>
            </w:r>
          </w:p>
        </w:tc>
        <w:tc>
          <w:tcPr>
            <w:tcW w:w="100" w:type="dxa"/>
            <w:vAlign w:val="bottom"/>
            <w:shd w:val="clear" w:color="auto" w:fill="CFF0FC"/>
          </w:tcPr>
          <w:p>
            <w:pPr>
              <w:spacing w:after="0"/>
              <w:rPr>
                <w:sz w:val="19"/>
                <w:szCs w:val="19"/>
                <w:color w:val="auto"/>
              </w:rPr>
            </w:pPr>
          </w:p>
        </w:tc>
      </w:tr>
      <w:tr>
        <w:trPr>
          <w:trHeight w:val="230"/>
        </w:trPr>
        <w:tc>
          <w:tcPr>
            <w:tcW w:w="6280" w:type="dxa"/>
            <w:vAlign w:val="bottom"/>
          </w:tcPr>
          <w:p>
            <w:pPr>
              <w:ind w:left="260"/>
              <w:spacing w:after="0"/>
              <w:rPr>
                <w:sz w:val="20"/>
                <w:szCs w:val="20"/>
                <w:color w:val="auto"/>
              </w:rPr>
            </w:pPr>
            <w:r>
              <w:rPr>
                <w:rFonts w:ascii="Arial" w:cs="Arial" w:eastAsia="Arial" w:hAnsi="Arial"/>
                <w:sz w:val="18"/>
                <w:szCs w:val="18"/>
                <w:color w:val="auto"/>
              </w:rPr>
              <w:t>Developed technology</w:t>
            </w:r>
          </w:p>
        </w:tc>
        <w:tc>
          <w:tcPr>
            <w:tcW w:w="3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72,800</w:t>
            </w:r>
          </w:p>
        </w:tc>
        <w:tc>
          <w:tcPr>
            <w:tcW w:w="100" w:type="dxa"/>
            <w:vAlign w:val="bottom"/>
          </w:tcPr>
          <w:p>
            <w:pPr>
              <w:spacing w:after="0"/>
              <w:rPr>
                <w:sz w:val="19"/>
                <w:szCs w:val="19"/>
                <w:color w:val="auto"/>
              </w:rPr>
            </w:pPr>
          </w:p>
        </w:tc>
      </w:tr>
      <w:tr>
        <w:trPr>
          <w:trHeight w:val="230"/>
        </w:trPr>
        <w:tc>
          <w:tcPr>
            <w:tcW w:w="6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Non-compete agreements</w:t>
            </w:r>
          </w:p>
        </w:tc>
        <w:tc>
          <w:tcPr>
            <w:tcW w:w="31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48,500</w:t>
            </w:r>
          </w:p>
        </w:tc>
        <w:tc>
          <w:tcPr>
            <w:tcW w:w="100" w:type="dxa"/>
            <w:vAlign w:val="bottom"/>
            <w:shd w:val="clear" w:color="auto" w:fill="CFF0FC"/>
          </w:tcPr>
          <w:p>
            <w:pPr>
              <w:spacing w:after="0"/>
              <w:rPr>
                <w:sz w:val="19"/>
                <w:szCs w:val="19"/>
                <w:color w:val="auto"/>
              </w:rPr>
            </w:pPr>
          </w:p>
        </w:tc>
      </w:tr>
      <w:tr>
        <w:trPr>
          <w:trHeight w:val="230"/>
        </w:trPr>
        <w:tc>
          <w:tcPr>
            <w:tcW w:w="6280" w:type="dxa"/>
            <w:vAlign w:val="bottom"/>
          </w:tcPr>
          <w:p>
            <w:pPr>
              <w:ind w:left="260"/>
              <w:spacing w:after="0"/>
              <w:rPr>
                <w:sz w:val="20"/>
                <w:szCs w:val="20"/>
                <w:color w:val="auto"/>
              </w:rPr>
            </w:pPr>
            <w:r>
              <w:rPr>
                <w:rFonts w:ascii="Arial" w:cs="Arial" w:eastAsia="Arial" w:hAnsi="Arial"/>
                <w:sz w:val="18"/>
                <w:szCs w:val="18"/>
                <w:color w:val="auto"/>
              </w:rPr>
              <w:t>Trademark</w:t>
            </w:r>
          </w:p>
        </w:tc>
        <w:tc>
          <w:tcPr>
            <w:tcW w:w="3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5,500</w:t>
            </w:r>
          </w:p>
        </w:tc>
        <w:tc>
          <w:tcPr>
            <w:tcW w:w="100" w:type="dxa"/>
            <w:vAlign w:val="bottom"/>
          </w:tcPr>
          <w:p>
            <w:pPr>
              <w:spacing w:after="0"/>
              <w:rPr>
                <w:sz w:val="19"/>
                <w:szCs w:val="19"/>
                <w:color w:val="auto"/>
              </w:rPr>
            </w:pPr>
          </w:p>
        </w:tc>
      </w:tr>
      <w:tr>
        <w:trPr>
          <w:trHeight w:val="230"/>
        </w:trPr>
        <w:tc>
          <w:tcPr>
            <w:tcW w:w="6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Goodwill</w:t>
            </w:r>
          </w:p>
        </w:tc>
        <w:tc>
          <w:tcPr>
            <w:tcW w:w="3120" w:type="dxa"/>
            <w:vAlign w:val="bottom"/>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233,271</w:t>
            </w:r>
          </w:p>
        </w:tc>
        <w:tc>
          <w:tcPr>
            <w:tcW w:w="100" w:type="dxa"/>
            <w:vAlign w:val="bottom"/>
            <w:shd w:val="clear" w:color="auto" w:fill="CFF0FC"/>
          </w:tcPr>
          <w:p>
            <w:pPr>
              <w:spacing w:after="0"/>
              <w:rPr>
                <w:sz w:val="19"/>
                <w:szCs w:val="19"/>
                <w:color w:val="auto"/>
              </w:rPr>
            </w:pPr>
          </w:p>
        </w:tc>
      </w:tr>
      <w:tr>
        <w:trPr>
          <w:trHeight w:val="223"/>
        </w:trPr>
        <w:tc>
          <w:tcPr>
            <w:tcW w:w="6280" w:type="dxa"/>
            <w:vAlign w:val="bottom"/>
          </w:tcPr>
          <w:p>
            <w:pPr>
              <w:spacing w:after="0"/>
              <w:rPr>
                <w:sz w:val="20"/>
                <w:szCs w:val="20"/>
                <w:color w:val="auto"/>
              </w:rPr>
            </w:pPr>
            <w:r>
              <w:rPr>
                <w:rFonts w:ascii="Arial" w:cs="Arial" w:eastAsia="Arial" w:hAnsi="Arial"/>
                <w:sz w:val="18"/>
                <w:szCs w:val="18"/>
                <w:color w:val="auto"/>
              </w:rPr>
              <w:t>Total assets acquired</w:t>
            </w:r>
          </w:p>
        </w:tc>
        <w:tc>
          <w:tcPr>
            <w:tcW w:w="3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622,345</w:t>
            </w:r>
          </w:p>
        </w:tc>
        <w:tc>
          <w:tcPr>
            <w:tcW w:w="100" w:type="dxa"/>
            <w:vAlign w:val="bottom"/>
          </w:tcPr>
          <w:p>
            <w:pPr>
              <w:spacing w:after="0"/>
              <w:rPr>
                <w:sz w:val="19"/>
                <w:szCs w:val="19"/>
                <w:color w:val="auto"/>
              </w:rPr>
            </w:pPr>
          </w:p>
        </w:tc>
      </w:tr>
      <w:tr>
        <w:trPr>
          <w:trHeight w:val="230"/>
        </w:trPr>
        <w:tc>
          <w:tcPr>
            <w:tcW w:w="6280" w:type="dxa"/>
            <w:vAlign w:val="bottom"/>
            <w:shd w:val="clear" w:color="auto" w:fill="CFF0FC"/>
          </w:tcPr>
          <w:p>
            <w:pPr>
              <w:spacing w:after="0"/>
              <w:rPr>
                <w:sz w:val="20"/>
                <w:szCs w:val="20"/>
                <w:color w:val="auto"/>
              </w:rPr>
            </w:pPr>
            <w:r>
              <w:rPr>
                <w:rFonts w:ascii="Arial" w:cs="Arial" w:eastAsia="Arial" w:hAnsi="Arial"/>
                <w:sz w:val="18"/>
                <w:szCs w:val="18"/>
                <w:color w:val="auto"/>
              </w:rPr>
              <w:t>Liabilities assumed</w:t>
            </w:r>
          </w:p>
        </w:tc>
        <w:tc>
          <w:tcPr>
            <w:tcW w:w="31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6280" w:type="dxa"/>
            <w:vAlign w:val="bottom"/>
          </w:tcPr>
          <w:p>
            <w:pPr>
              <w:ind w:left="260"/>
              <w:spacing w:after="0"/>
              <w:rPr>
                <w:sz w:val="20"/>
                <w:szCs w:val="20"/>
                <w:color w:val="auto"/>
              </w:rPr>
            </w:pPr>
            <w:r>
              <w:rPr>
                <w:rFonts w:ascii="Arial" w:cs="Arial" w:eastAsia="Arial" w:hAnsi="Arial"/>
                <w:sz w:val="18"/>
                <w:szCs w:val="18"/>
                <w:color w:val="auto"/>
              </w:rPr>
              <w:t>Accounts payable and accrued expenses</w:t>
            </w:r>
          </w:p>
        </w:tc>
        <w:tc>
          <w:tcPr>
            <w:tcW w:w="3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14,268</w:t>
            </w:r>
          </w:p>
        </w:tc>
        <w:tc>
          <w:tcPr>
            <w:tcW w:w="100" w:type="dxa"/>
            <w:vAlign w:val="bottom"/>
          </w:tcPr>
          <w:p>
            <w:pPr>
              <w:spacing w:after="0"/>
              <w:rPr>
                <w:sz w:val="19"/>
                <w:szCs w:val="19"/>
                <w:color w:val="auto"/>
              </w:rPr>
            </w:pPr>
          </w:p>
        </w:tc>
      </w:tr>
      <w:tr>
        <w:trPr>
          <w:trHeight w:val="230"/>
        </w:trPr>
        <w:tc>
          <w:tcPr>
            <w:tcW w:w="6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Deferred tax liability</w:t>
            </w:r>
          </w:p>
        </w:tc>
        <w:tc>
          <w:tcPr>
            <w:tcW w:w="3120" w:type="dxa"/>
            <w:vAlign w:val="bottom"/>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4,733</w:t>
            </w:r>
          </w:p>
        </w:tc>
        <w:tc>
          <w:tcPr>
            <w:tcW w:w="100" w:type="dxa"/>
            <w:vAlign w:val="bottom"/>
            <w:shd w:val="clear" w:color="auto" w:fill="CFF0FC"/>
          </w:tcPr>
          <w:p>
            <w:pPr>
              <w:spacing w:after="0"/>
              <w:rPr>
                <w:sz w:val="19"/>
                <w:szCs w:val="19"/>
                <w:color w:val="auto"/>
              </w:rPr>
            </w:pPr>
          </w:p>
        </w:tc>
      </w:tr>
      <w:tr>
        <w:trPr>
          <w:trHeight w:val="223"/>
        </w:trPr>
        <w:tc>
          <w:tcPr>
            <w:tcW w:w="62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liabilities assumed</w:t>
            </w:r>
          </w:p>
        </w:tc>
        <w:tc>
          <w:tcPr>
            <w:tcW w:w="3120" w:type="dxa"/>
            <w:vAlign w:val="bottom"/>
            <w:tcBorders>
              <w:bottom w:val="single" w:sz="8" w:color="CFF0FC"/>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19,001</w:t>
            </w:r>
          </w:p>
        </w:tc>
        <w:tc>
          <w:tcPr>
            <w:tcW w:w="100" w:type="dxa"/>
            <w:vAlign w:val="bottom"/>
            <w:tcBorders>
              <w:bottom w:val="single" w:sz="8" w:color="CFF0FC"/>
            </w:tcBorders>
          </w:tcPr>
          <w:p>
            <w:pPr>
              <w:spacing w:after="0"/>
              <w:rPr>
                <w:sz w:val="19"/>
                <w:szCs w:val="19"/>
                <w:color w:val="auto"/>
              </w:rPr>
            </w:pPr>
          </w:p>
        </w:tc>
      </w:tr>
      <w:tr>
        <w:trPr>
          <w:trHeight w:val="223"/>
        </w:trPr>
        <w:tc>
          <w:tcPr>
            <w:tcW w:w="62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purchase price</w:t>
            </w:r>
          </w:p>
        </w:tc>
        <w:tc>
          <w:tcPr>
            <w:tcW w:w="3120" w:type="dxa"/>
            <w:vAlign w:val="bottom"/>
            <w:tcBorders>
              <w:bottom w:val="single" w:sz="8" w:color="CFF0FC"/>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ind w:right="51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603,344</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628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firstLine="815"/>
        <w:spacing w:after="0" w:line="259" w:lineRule="auto"/>
        <w:rPr>
          <w:sz w:val="20"/>
          <w:szCs w:val="20"/>
          <w:color w:val="auto"/>
        </w:rPr>
      </w:pPr>
      <w:r>
        <w:rPr>
          <w:rFonts w:ascii="Arial" w:cs="Arial" w:eastAsia="Arial" w:hAnsi="Arial"/>
          <w:sz w:val="18"/>
          <w:szCs w:val="18"/>
          <w:color w:val="auto"/>
        </w:rPr>
        <w:t>The excess of cost of the HTA Merger over the net amounts assigned to the fair value of the net assets acquired was recorded as goodwill and was assigned to the Company’s Commercial Services segment. The Company made certain immaterial adjustments to the preliminary purchase price allocation resulting in a $1.2 million net reduction to goodwill. The goodwill consists largely of the expected cash flows and future growth anticipated for the Company. Most of the goodwill is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14" w:name="page15"/>
    <w:bookmarkEnd w:id="1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expected to be deductible for tax purposes. The customer relationship value was based on an excess earnings methodology utilizing projected cash flows. The non-compete agreement values were based on the with-or-without method. The trademark and the developed technology values were based on a relief-from-royalty method. The customer relationship, developed technology, non-compete and trademark intangibles were assigned useful lives of 9 years, 5.5 years, 5 years and 3 years, respectively.</w:t>
      </w:r>
    </w:p>
    <w:p>
      <w:pPr>
        <w:spacing w:after="0" w:line="148" w:lineRule="exact"/>
        <w:rPr>
          <w:sz w:val="20"/>
          <w:szCs w:val="20"/>
          <w:color w:val="auto"/>
        </w:rPr>
      </w:pPr>
    </w:p>
    <w:p>
      <w:pPr>
        <w:jc w:val="both"/>
        <w:ind w:firstLine="815"/>
        <w:spacing w:after="0" w:line="264" w:lineRule="auto"/>
        <w:rPr>
          <w:sz w:val="20"/>
          <w:szCs w:val="20"/>
          <w:color w:val="auto"/>
        </w:rPr>
      </w:pPr>
      <w:r>
        <w:rPr>
          <w:rFonts w:ascii="Arial" w:cs="Arial" w:eastAsia="Arial" w:hAnsi="Arial"/>
          <w:sz w:val="18"/>
          <w:szCs w:val="18"/>
          <w:color w:val="auto"/>
        </w:rPr>
        <w:t>The Company recognized $15.6 million of costs related to the HTA Merger, which were included in selling, general and administrative expenses in the condensed consolidated statement of operations in the six months ended June 30, 2018. These costs consisted of $7.2 million for acquisition services to Advisors and $8.4 million of professional fees and other expenses related to the transaction.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EPC Merger</w:t>
      </w:r>
    </w:p>
    <w:p>
      <w:pPr>
        <w:spacing w:after="0" w:line="185" w:lineRule="exact"/>
        <w:rPr>
          <w:sz w:val="20"/>
          <w:szCs w:val="20"/>
          <w:color w:val="auto"/>
        </w:rPr>
      </w:pPr>
    </w:p>
    <w:p>
      <w:pPr>
        <w:jc w:val="both"/>
        <w:ind w:firstLine="815"/>
        <w:spacing w:after="0" w:line="257" w:lineRule="auto"/>
        <w:rPr>
          <w:sz w:val="20"/>
          <w:szCs w:val="20"/>
          <w:color w:val="auto"/>
        </w:rPr>
      </w:pPr>
      <w:r>
        <w:rPr>
          <w:rFonts w:ascii="Arial" w:cs="Arial" w:eastAsia="Arial" w:hAnsi="Arial"/>
          <w:sz w:val="18"/>
          <w:szCs w:val="18"/>
          <w:color w:val="auto"/>
        </w:rPr>
        <w:t>On April 6, 2018, the Company acquired all of the issued and outstanding capital stock of Euro Parking Collection plc (“</w:t>
      </w:r>
      <w:r>
        <w:rPr>
          <w:rFonts w:ascii="Arial" w:cs="Arial" w:eastAsia="Arial" w:hAnsi="Arial"/>
          <w:sz w:val="18"/>
          <w:szCs w:val="18"/>
          <w:b w:val="1"/>
          <w:bCs w:val="1"/>
          <w:i w:val="1"/>
          <w:iCs w:val="1"/>
          <w:color w:val="auto"/>
        </w:rPr>
        <w:t>EPC</w:t>
      </w:r>
      <w:r>
        <w:rPr>
          <w:rFonts w:ascii="Arial" w:cs="Arial" w:eastAsia="Arial" w:hAnsi="Arial"/>
          <w:sz w:val="18"/>
          <w:szCs w:val="18"/>
          <w:color w:val="auto"/>
        </w:rPr>
        <w:t>”), pursuant to a stock purchase agreement for purchase consideration of 5.54 shares of Greenlight common stock and working capital adjustments set forth in the stock purchase agreement, which aggregated $2.6 million, resulting in an aggregate purchase price of $62.9 million (the “</w:t>
      </w:r>
      <w:r>
        <w:rPr>
          <w:rFonts w:ascii="Arial" w:cs="Arial" w:eastAsia="Arial" w:hAnsi="Arial"/>
          <w:sz w:val="18"/>
          <w:szCs w:val="18"/>
          <w:b w:val="1"/>
          <w:bCs w:val="1"/>
          <w:i w:val="1"/>
          <w:iCs w:val="1"/>
          <w:color w:val="auto"/>
        </w:rPr>
        <w:t>EPC Merger</w:t>
      </w:r>
      <w:r>
        <w:rPr>
          <w:rFonts w:ascii="Arial" w:cs="Arial" w:eastAsia="Arial" w:hAnsi="Arial"/>
          <w:sz w:val="18"/>
          <w:szCs w:val="18"/>
          <w:color w:val="auto"/>
        </w:rPr>
        <w:t>”). The Company reflected the receipt of the Greenlight common shares as a capital contribution from Parent and then delivered these shares to the EPC sellers as non-cash purchase consideration.</w:t>
      </w:r>
    </w:p>
    <w:p>
      <w:pPr>
        <w:spacing w:after="0" w:line="148" w:lineRule="exact"/>
        <w:rPr>
          <w:sz w:val="20"/>
          <w:szCs w:val="20"/>
          <w:color w:val="auto"/>
        </w:rPr>
      </w:pPr>
    </w:p>
    <w:p>
      <w:pPr>
        <w:jc w:val="both"/>
        <w:ind w:firstLine="815"/>
        <w:spacing w:after="0" w:line="255" w:lineRule="auto"/>
        <w:rPr>
          <w:sz w:val="20"/>
          <w:szCs w:val="20"/>
          <w:color w:val="auto"/>
        </w:rPr>
      </w:pPr>
      <w:r>
        <w:rPr>
          <w:rFonts w:ascii="Arial" w:cs="Arial" w:eastAsia="Arial" w:hAnsi="Arial"/>
          <w:sz w:val="18"/>
          <w:szCs w:val="18"/>
          <w:color w:val="auto"/>
        </w:rPr>
        <w:t>The Company estimated the fair value of the Greenlight common shares issued in connection with this transaction with input from management and a contemporaneous third-party valuation of the Company. Management determined the fair value of Greenlight was the same as the Company as Greenlight’s only holdings were the Company. The valuation advisory firm prepared a valuation report as of March 1, 2018. The assumptions and inputs used in connection with the valuation reflected management’s best estimate of the Company’s business condition, prospects and operating performance on the valuation date. The Company averaged the results of a discounted cash flow analysis, comparable public company analysis and comparable acquisitions analysis to determine an enterprise value of $2.1 billion. The Company then deducted debt of $1.0 billion to arrive at a concluded equity value of $1.1 billion, which was used to derive a per share value.</w:t>
      </w:r>
    </w:p>
    <w:p>
      <w:pPr>
        <w:spacing w:after="0" w:line="162" w:lineRule="exact"/>
        <w:rPr>
          <w:sz w:val="20"/>
          <w:szCs w:val="20"/>
          <w:color w:val="auto"/>
        </w:rPr>
      </w:pPr>
    </w:p>
    <w:p>
      <w:pPr>
        <w:ind w:left="820"/>
        <w:spacing w:after="0"/>
        <w:rPr>
          <w:sz w:val="20"/>
          <w:szCs w:val="20"/>
          <w:color w:val="auto"/>
        </w:rPr>
      </w:pPr>
      <w:r>
        <w:rPr>
          <w:rFonts w:ascii="Arial" w:cs="Arial" w:eastAsia="Arial" w:hAnsi="Arial"/>
          <w:sz w:val="18"/>
          <w:szCs w:val="18"/>
          <w:color w:val="auto"/>
        </w:rPr>
        <w:t>The allocation of the purchase consideration is summarized as follows:</w:t>
      </w:r>
    </w:p>
    <w:p>
      <w:pPr>
        <w:spacing w:after="0" w:line="325"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46620" cy="1460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Assets acquired</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80" w:type="dxa"/>
            <w:vAlign w:val="bottom"/>
          </w:tcPr>
          <w:p>
            <w:pPr>
              <w:ind w:left="260"/>
              <w:spacing w:after="0"/>
              <w:rPr>
                <w:sz w:val="20"/>
                <w:szCs w:val="20"/>
                <w:color w:val="auto"/>
              </w:rPr>
            </w:pPr>
            <w:r>
              <w:rPr>
                <w:rFonts w:ascii="Arial" w:cs="Arial" w:eastAsia="Arial" w:hAnsi="Arial"/>
                <w:sz w:val="18"/>
                <w:szCs w:val="18"/>
                <w:color w:val="auto"/>
              </w:rPr>
              <w:t>Cash</w:t>
            </w:r>
          </w:p>
        </w:tc>
        <w:tc>
          <w:tcPr>
            <w:tcW w:w="3880" w:type="dxa"/>
            <w:vAlign w:val="bottom"/>
            <w:gridSpan w:val="2"/>
          </w:tcPr>
          <w:p>
            <w:pPr>
              <w:jc w:val="right"/>
              <w:ind w:right="57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9,029</w:t>
            </w:r>
          </w:p>
        </w:tc>
        <w:tc>
          <w:tcPr>
            <w:tcW w:w="100" w:type="dxa"/>
            <w:vAlign w:val="bottom"/>
          </w:tcPr>
          <w:p>
            <w:pPr>
              <w:spacing w:after="0"/>
              <w:rPr>
                <w:sz w:val="19"/>
                <w:szCs w:val="19"/>
                <w:color w:val="auto"/>
              </w:rPr>
            </w:pPr>
          </w:p>
        </w:tc>
      </w:tr>
      <w:tr>
        <w:trPr>
          <w:trHeight w:val="230"/>
        </w:trPr>
        <w:tc>
          <w:tcPr>
            <w:tcW w:w="6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assets</w:t>
            </w:r>
          </w:p>
        </w:tc>
        <w:tc>
          <w:tcPr>
            <w:tcW w:w="31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1,948</w:t>
            </w:r>
          </w:p>
        </w:tc>
        <w:tc>
          <w:tcPr>
            <w:tcW w:w="100" w:type="dxa"/>
            <w:vAlign w:val="bottom"/>
            <w:shd w:val="clear" w:color="auto" w:fill="CFF0FC"/>
          </w:tcPr>
          <w:p>
            <w:pPr>
              <w:spacing w:after="0"/>
              <w:rPr>
                <w:sz w:val="19"/>
                <w:szCs w:val="19"/>
                <w:color w:val="auto"/>
              </w:rPr>
            </w:pPr>
          </w:p>
        </w:tc>
      </w:tr>
      <w:tr>
        <w:trPr>
          <w:trHeight w:val="230"/>
        </w:trPr>
        <w:tc>
          <w:tcPr>
            <w:tcW w:w="6280" w:type="dxa"/>
            <w:vAlign w:val="bottom"/>
          </w:tcPr>
          <w:p>
            <w:pPr>
              <w:ind w:left="260"/>
              <w:spacing w:after="0"/>
              <w:rPr>
                <w:sz w:val="20"/>
                <w:szCs w:val="20"/>
                <w:color w:val="auto"/>
              </w:rPr>
            </w:pPr>
            <w:r>
              <w:rPr>
                <w:rFonts w:ascii="Arial" w:cs="Arial" w:eastAsia="Arial" w:hAnsi="Arial"/>
                <w:sz w:val="18"/>
                <w:szCs w:val="18"/>
                <w:color w:val="auto"/>
              </w:rPr>
              <w:t>Trademark</w:t>
            </w:r>
          </w:p>
        </w:tc>
        <w:tc>
          <w:tcPr>
            <w:tcW w:w="3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1,100</w:t>
            </w:r>
          </w:p>
        </w:tc>
        <w:tc>
          <w:tcPr>
            <w:tcW w:w="100" w:type="dxa"/>
            <w:vAlign w:val="bottom"/>
          </w:tcPr>
          <w:p>
            <w:pPr>
              <w:spacing w:after="0"/>
              <w:rPr>
                <w:sz w:val="19"/>
                <w:szCs w:val="19"/>
                <w:color w:val="auto"/>
              </w:rPr>
            </w:pPr>
          </w:p>
        </w:tc>
      </w:tr>
      <w:tr>
        <w:trPr>
          <w:trHeight w:val="230"/>
        </w:trPr>
        <w:tc>
          <w:tcPr>
            <w:tcW w:w="6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Customer relationships</w:t>
            </w:r>
          </w:p>
        </w:tc>
        <w:tc>
          <w:tcPr>
            <w:tcW w:w="31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19,400</w:t>
            </w:r>
          </w:p>
        </w:tc>
        <w:tc>
          <w:tcPr>
            <w:tcW w:w="100" w:type="dxa"/>
            <w:vAlign w:val="bottom"/>
            <w:shd w:val="clear" w:color="auto" w:fill="CFF0FC"/>
          </w:tcPr>
          <w:p>
            <w:pPr>
              <w:spacing w:after="0"/>
              <w:rPr>
                <w:sz w:val="19"/>
                <w:szCs w:val="19"/>
                <w:color w:val="auto"/>
              </w:rPr>
            </w:pPr>
          </w:p>
        </w:tc>
      </w:tr>
      <w:tr>
        <w:trPr>
          <w:trHeight w:val="230"/>
        </w:trPr>
        <w:tc>
          <w:tcPr>
            <w:tcW w:w="6280" w:type="dxa"/>
            <w:vAlign w:val="bottom"/>
          </w:tcPr>
          <w:p>
            <w:pPr>
              <w:ind w:left="260"/>
              <w:spacing w:after="0"/>
              <w:rPr>
                <w:sz w:val="20"/>
                <w:szCs w:val="20"/>
                <w:color w:val="auto"/>
              </w:rPr>
            </w:pPr>
            <w:r>
              <w:rPr>
                <w:rFonts w:ascii="Arial" w:cs="Arial" w:eastAsia="Arial" w:hAnsi="Arial"/>
                <w:sz w:val="18"/>
                <w:szCs w:val="18"/>
                <w:color w:val="auto"/>
              </w:rPr>
              <w:t>Developed technology</w:t>
            </w:r>
          </w:p>
        </w:tc>
        <w:tc>
          <w:tcPr>
            <w:tcW w:w="3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3,900</w:t>
            </w:r>
          </w:p>
        </w:tc>
        <w:tc>
          <w:tcPr>
            <w:tcW w:w="100" w:type="dxa"/>
            <w:vAlign w:val="bottom"/>
          </w:tcPr>
          <w:p>
            <w:pPr>
              <w:spacing w:after="0"/>
              <w:rPr>
                <w:sz w:val="19"/>
                <w:szCs w:val="19"/>
                <w:color w:val="auto"/>
              </w:rPr>
            </w:pPr>
          </w:p>
        </w:tc>
      </w:tr>
      <w:tr>
        <w:trPr>
          <w:trHeight w:val="230"/>
        </w:trPr>
        <w:tc>
          <w:tcPr>
            <w:tcW w:w="6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Goodwill</w:t>
            </w:r>
          </w:p>
        </w:tc>
        <w:tc>
          <w:tcPr>
            <w:tcW w:w="3120" w:type="dxa"/>
            <w:vAlign w:val="bottom"/>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40,826</w:t>
            </w:r>
          </w:p>
        </w:tc>
        <w:tc>
          <w:tcPr>
            <w:tcW w:w="100" w:type="dxa"/>
            <w:vAlign w:val="bottom"/>
            <w:shd w:val="clear" w:color="auto" w:fill="CFF0FC"/>
          </w:tcPr>
          <w:p>
            <w:pPr>
              <w:spacing w:after="0"/>
              <w:rPr>
                <w:sz w:val="19"/>
                <w:szCs w:val="19"/>
                <w:color w:val="auto"/>
              </w:rPr>
            </w:pPr>
          </w:p>
        </w:tc>
      </w:tr>
      <w:tr>
        <w:trPr>
          <w:trHeight w:val="223"/>
        </w:trPr>
        <w:tc>
          <w:tcPr>
            <w:tcW w:w="6280" w:type="dxa"/>
            <w:vAlign w:val="bottom"/>
          </w:tcPr>
          <w:p>
            <w:pPr>
              <w:spacing w:after="0"/>
              <w:rPr>
                <w:sz w:val="20"/>
                <w:szCs w:val="20"/>
                <w:color w:val="auto"/>
              </w:rPr>
            </w:pPr>
            <w:r>
              <w:rPr>
                <w:rFonts w:ascii="Arial" w:cs="Arial" w:eastAsia="Arial" w:hAnsi="Arial"/>
                <w:sz w:val="18"/>
                <w:szCs w:val="18"/>
                <w:color w:val="auto"/>
              </w:rPr>
              <w:t>Total assets acquired</w:t>
            </w:r>
          </w:p>
        </w:tc>
        <w:tc>
          <w:tcPr>
            <w:tcW w:w="3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76,203</w:t>
            </w:r>
          </w:p>
        </w:tc>
        <w:tc>
          <w:tcPr>
            <w:tcW w:w="100" w:type="dxa"/>
            <w:vAlign w:val="bottom"/>
          </w:tcPr>
          <w:p>
            <w:pPr>
              <w:spacing w:after="0"/>
              <w:rPr>
                <w:sz w:val="19"/>
                <w:szCs w:val="19"/>
                <w:color w:val="auto"/>
              </w:rPr>
            </w:pPr>
          </w:p>
        </w:tc>
      </w:tr>
      <w:tr>
        <w:trPr>
          <w:trHeight w:val="230"/>
        </w:trPr>
        <w:tc>
          <w:tcPr>
            <w:tcW w:w="6280" w:type="dxa"/>
            <w:vAlign w:val="bottom"/>
            <w:shd w:val="clear" w:color="auto" w:fill="CFF0FC"/>
          </w:tcPr>
          <w:p>
            <w:pPr>
              <w:spacing w:after="0"/>
              <w:rPr>
                <w:sz w:val="20"/>
                <w:szCs w:val="20"/>
                <w:color w:val="auto"/>
              </w:rPr>
            </w:pPr>
            <w:r>
              <w:rPr>
                <w:rFonts w:ascii="Arial" w:cs="Arial" w:eastAsia="Arial" w:hAnsi="Arial"/>
                <w:sz w:val="18"/>
                <w:szCs w:val="18"/>
                <w:color w:val="auto"/>
              </w:rPr>
              <w:t>Liabilities assumed</w:t>
            </w:r>
          </w:p>
        </w:tc>
        <w:tc>
          <w:tcPr>
            <w:tcW w:w="31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6280" w:type="dxa"/>
            <w:vAlign w:val="bottom"/>
          </w:tcPr>
          <w:p>
            <w:pPr>
              <w:ind w:left="260"/>
              <w:spacing w:after="0"/>
              <w:rPr>
                <w:sz w:val="20"/>
                <w:szCs w:val="20"/>
                <w:color w:val="auto"/>
              </w:rPr>
            </w:pPr>
            <w:r>
              <w:rPr>
                <w:rFonts w:ascii="Arial" w:cs="Arial" w:eastAsia="Arial" w:hAnsi="Arial"/>
                <w:sz w:val="18"/>
                <w:szCs w:val="18"/>
                <w:color w:val="auto"/>
              </w:rPr>
              <w:t>Accounts payable and accrued expenses</w:t>
            </w:r>
          </w:p>
        </w:tc>
        <w:tc>
          <w:tcPr>
            <w:tcW w:w="3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8,995</w:t>
            </w:r>
          </w:p>
        </w:tc>
        <w:tc>
          <w:tcPr>
            <w:tcW w:w="100" w:type="dxa"/>
            <w:vAlign w:val="bottom"/>
          </w:tcPr>
          <w:p>
            <w:pPr>
              <w:spacing w:after="0"/>
              <w:rPr>
                <w:sz w:val="19"/>
                <w:szCs w:val="19"/>
                <w:color w:val="auto"/>
              </w:rPr>
            </w:pPr>
          </w:p>
        </w:tc>
      </w:tr>
      <w:tr>
        <w:trPr>
          <w:trHeight w:val="230"/>
        </w:trPr>
        <w:tc>
          <w:tcPr>
            <w:tcW w:w="6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Deferred tax liability</w:t>
            </w:r>
          </w:p>
        </w:tc>
        <w:tc>
          <w:tcPr>
            <w:tcW w:w="3120" w:type="dxa"/>
            <w:vAlign w:val="bottom"/>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4,273</w:t>
            </w:r>
          </w:p>
        </w:tc>
        <w:tc>
          <w:tcPr>
            <w:tcW w:w="100" w:type="dxa"/>
            <w:vAlign w:val="bottom"/>
            <w:shd w:val="clear" w:color="auto" w:fill="CFF0FC"/>
          </w:tcPr>
          <w:p>
            <w:pPr>
              <w:spacing w:after="0"/>
              <w:rPr>
                <w:sz w:val="19"/>
                <w:szCs w:val="19"/>
                <w:color w:val="auto"/>
              </w:rPr>
            </w:pPr>
          </w:p>
        </w:tc>
      </w:tr>
      <w:tr>
        <w:trPr>
          <w:trHeight w:val="223"/>
        </w:trPr>
        <w:tc>
          <w:tcPr>
            <w:tcW w:w="62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liabilities assumed</w:t>
            </w:r>
          </w:p>
        </w:tc>
        <w:tc>
          <w:tcPr>
            <w:tcW w:w="3120" w:type="dxa"/>
            <w:vAlign w:val="bottom"/>
            <w:tcBorders>
              <w:bottom w:val="single" w:sz="8" w:color="CFF0FC"/>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13,268</w:t>
            </w:r>
          </w:p>
        </w:tc>
        <w:tc>
          <w:tcPr>
            <w:tcW w:w="100" w:type="dxa"/>
            <w:vAlign w:val="bottom"/>
            <w:tcBorders>
              <w:bottom w:val="single" w:sz="8" w:color="CFF0FC"/>
            </w:tcBorders>
          </w:tcPr>
          <w:p>
            <w:pPr>
              <w:spacing w:after="0"/>
              <w:rPr>
                <w:sz w:val="19"/>
                <w:szCs w:val="19"/>
                <w:color w:val="auto"/>
              </w:rPr>
            </w:pPr>
          </w:p>
        </w:tc>
      </w:tr>
      <w:tr>
        <w:trPr>
          <w:trHeight w:val="223"/>
        </w:trPr>
        <w:tc>
          <w:tcPr>
            <w:tcW w:w="62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purchase price</w:t>
            </w:r>
          </w:p>
        </w:tc>
        <w:tc>
          <w:tcPr>
            <w:tcW w:w="3120" w:type="dxa"/>
            <w:vAlign w:val="bottom"/>
            <w:tcBorders>
              <w:bottom w:val="single" w:sz="8" w:color="CFF0FC"/>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ind w:right="5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62,935</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628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firstLine="815"/>
        <w:spacing w:after="0" w:line="257" w:lineRule="auto"/>
        <w:rPr>
          <w:sz w:val="20"/>
          <w:szCs w:val="20"/>
          <w:color w:val="auto"/>
        </w:rPr>
      </w:pPr>
      <w:r>
        <w:rPr>
          <w:rFonts w:ascii="Arial" w:cs="Arial" w:eastAsia="Arial" w:hAnsi="Arial"/>
          <w:sz w:val="18"/>
          <w:szCs w:val="18"/>
          <w:color w:val="auto"/>
        </w:rPr>
        <w:t>Goodwill arising from the EPC Merger was assigned to the Company’s Commercial Services segment and consists largely of the expected cash flows and future growth anticipated for the Company. The goodwill is not expected to be deductible for tax purposes. The customer relationship value was based on an excess earnings methodology utilizing projected cash flows. The trademark and the developed technology values were based on a relief-from-royalty method. The customer relationship, trademark, and developed technology intangibles were assigned useful lives of 10 years, 5 years and 4.5 years, respectively.</w:t>
      </w:r>
    </w:p>
    <w:p>
      <w:pPr>
        <w:spacing w:after="0" w:line="148" w:lineRule="exact"/>
        <w:rPr>
          <w:sz w:val="20"/>
          <w:szCs w:val="20"/>
          <w:color w:val="auto"/>
        </w:rPr>
      </w:pPr>
    </w:p>
    <w:p>
      <w:pPr>
        <w:jc w:val="both"/>
        <w:ind w:firstLine="815"/>
        <w:spacing w:after="0" w:line="277" w:lineRule="auto"/>
        <w:rPr>
          <w:sz w:val="20"/>
          <w:szCs w:val="20"/>
          <w:color w:val="auto"/>
        </w:rPr>
      </w:pPr>
      <w:r>
        <w:rPr>
          <w:rFonts w:ascii="Arial" w:cs="Arial" w:eastAsia="Arial" w:hAnsi="Arial"/>
          <w:sz w:val="18"/>
          <w:szCs w:val="18"/>
          <w:color w:val="auto"/>
        </w:rPr>
        <w:t>The Company recognized $3.0 million of costs related to the EPC Merger in the three months ended June 30, 2018, which consisted of $2.5 million for acquisition services to Advisors and $0.5 million of professional fees and other expenses.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15" w:name="page16"/>
    <w:bookmarkEnd w:id="1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 Forma Financial Information</w:t>
      </w:r>
    </w:p>
    <w:p>
      <w:pPr>
        <w:spacing w:after="0" w:line="198" w:lineRule="exact"/>
        <w:rPr>
          <w:sz w:val="20"/>
          <w:szCs w:val="20"/>
          <w:color w:val="auto"/>
        </w:rPr>
      </w:pPr>
    </w:p>
    <w:p>
      <w:pPr>
        <w:jc w:val="both"/>
        <w:ind w:right="20" w:firstLine="815"/>
        <w:spacing w:after="0" w:line="255" w:lineRule="auto"/>
        <w:rPr>
          <w:sz w:val="20"/>
          <w:szCs w:val="20"/>
          <w:color w:val="auto"/>
        </w:rPr>
      </w:pPr>
      <w:r>
        <w:rPr>
          <w:rFonts w:ascii="Arial" w:cs="Arial" w:eastAsia="Arial" w:hAnsi="Arial"/>
          <w:sz w:val="18"/>
          <w:szCs w:val="18"/>
          <w:color w:val="auto"/>
        </w:rPr>
        <w:t>The pro forma information below gives effect to the Merger, the HTA Merger and the EPC Merger (collectively, the “</w:t>
      </w:r>
      <w:r>
        <w:rPr>
          <w:rFonts w:ascii="Arial" w:cs="Arial" w:eastAsia="Arial" w:hAnsi="Arial"/>
          <w:sz w:val="18"/>
          <w:szCs w:val="18"/>
          <w:b w:val="1"/>
          <w:bCs w:val="1"/>
          <w:i w:val="1"/>
          <w:iCs w:val="1"/>
          <w:color w:val="auto"/>
        </w:rPr>
        <w:t>Transactions</w:t>
      </w:r>
      <w:r>
        <w:rPr>
          <w:rFonts w:ascii="Arial" w:cs="Arial" w:eastAsia="Arial" w:hAnsi="Arial"/>
          <w:sz w:val="18"/>
          <w:szCs w:val="18"/>
          <w:color w:val="auto"/>
        </w:rPr>
        <w:t>”) as if they had been completed on the first day of the period presented. The pro forma results of operations are presented for information purposes only. As such, they are not necessarily indicative of the Company’s results had the Transactions been completed on the first day of the period presented, nor do they intend to represent the Company’s future results. The pro forma information does not reflect any cost savings from operating efficiencies or synergies that could result from the acquisitions and does not reflect additional revenue opportunities following the Transactions. The pro forma information includes adjustments to record the assets and liabilities associated with the Transactions at their respective fair values based on available information and to give effect to the financing for the Transactions.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0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Six Months Ended</w:t>
            </w:r>
          </w:p>
        </w:tc>
      </w:tr>
      <w:tr>
        <w:trPr>
          <w:trHeight w:val="178"/>
        </w:trPr>
        <w:tc>
          <w:tcPr>
            <w:tcW w:w="1000" w:type="dxa"/>
            <w:vAlign w:val="bottom"/>
            <w:tcBorders>
              <w:bottom w:val="single" w:sz="8" w:color="auto"/>
            </w:tcBorders>
          </w:tcPr>
          <w:p>
            <w:pPr>
              <w:spacing w:after="0" w:line="158" w:lineRule="exact"/>
              <w:rPr>
                <w:sz w:val="20"/>
                <w:szCs w:val="20"/>
                <w:color w:val="auto"/>
              </w:rPr>
            </w:pPr>
            <w:r>
              <w:rPr>
                <w:rFonts w:ascii="Arial" w:cs="Arial" w:eastAsia="Arial" w:hAnsi="Arial"/>
                <w:sz w:val="14"/>
                <w:szCs w:val="14"/>
                <w:b w:val="1"/>
                <w:bCs w:val="1"/>
                <w:u w:val="single" w:color="auto"/>
                <w:color w:val="auto"/>
                <w:w w:val="90"/>
              </w:rPr>
              <w:t>(</w:t>
            </w:r>
            <w:r>
              <w:rPr>
                <w:rFonts w:ascii="Arial" w:cs="Arial" w:eastAsia="Arial" w:hAnsi="Arial"/>
                <w:sz w:val="14"/>
                <w:szCs w:val="14"/>
                <w:b w:val="1"/>
                <w:bCs w:val="1"/>
                <w:color w:val="auto"/>
                <w:w w:val="90"/>
              </w:rPr>
              <w:t>$ in thousands)</w:t>
            </w:r>
          </w:p>
        </w:tc>
        <w:tc>
          <w:tcPr>
            <w:tcW w:w="4680" w:type="dxa"/>
            <w:vAlign w:val="bottom"/>
          </w:tcPr>
          <w:p>
            <w:pPr>
              <w:spacing w:after="0"/>
              <w:rPr>
                <w:sz w:val="15"/>
                <w:szCs w:val="15"/>
                <w:color w:val="auto"/>
              </w:rPr>
            </w:pPr>
          </w:p>
        </w:tc>
        <w:tc>
          <w:tcPr>
            <w:tcW w:w="3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80" w:type="dxa"/>
            <w:vAlign w:val="bottom"/>
            <w:gridSpan w:val="2"/>
          </w:tcPr>
          <w:p>
            <w:pPr>
              <w:jc w:val="right"/>
              <w:ind w:right="640"/>
              <w:spacing w:after="0" w:line="158" w:lineRule="exact"/>
              <w:rPr>
                <w:sz w:val="20"/>
                <w:szCs w:val="20"/>
                <w:color w:val="auto"/>
              </w:rPr>
            </w:pPr>
            <w:r>
              <w:rPr>
                <w:rFonts w:ascii="Arial" w:cs="Arial" w:eastAsia="Arial" w:hAnsi="Arial"/>
                <w:sz w:val="14"/>
                <w:szCs w:val="14"/>
                <w:b w:val="1"/>
                <w:bCs w:val="1"/>
                <w:color w:val="auto"/>
              </w:rPr>
              <w:t>June 30, 2018</w:t>
            </w:r>
          </w:p>
        </w:tc>
      </w:tr>
      <w:tr>
        <w:trPr>
          <w:trHeight w:val="217"/>
        </w:trPr>
        <w:tc>
          <w:tcPr>
            <w:tcW w:w="568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Revenue</w:t>
            </w:r>
          </w:p>
        </w:tc>
        <w:tc>
          <w:tcPr>
            <w:tcW w:w="372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186,659</w:t>
            </w:r>
          </w:p>
        </w:tc>
        <w:tc>
          <w:tcPr>
            <w:tcW w:w="100" w:type="dxa"/>
            <w:vAlign w:val="bottom"/>
            <w:tcBorders>
              <w:top w:val="single" w:sz="8" w:color="CFF0FC"/>
            </w:tcBorders>
            <w:shd w:val="clear" w:color="auto" w:fill="CFF0FC"/>
          </w:tcPr>
          <w:p>
            <w:pPr>
              <w:spacing w:after="0"/>
              <w:rPr>
                <w:sz w:val="18"/>
                <w:szCs w:val="18"/>
                <w:color w:val="auto"/>
              </w:rPr>
            </w:pPr>
          </w:p>
        </w:tc>
      </w:tr>
      <w:tr>
        <w:trPr>
          <w:trHeight w:val="230"/>
        </w:trPr>
        <w:tc>
          <w:tcPr>
            <w:tcW w:w="5680" w:type="dxa"/>
            <w:vAlign w:val="bottom"/>
            <w:gridSpan w:val="2"/>
          </w:tcPr>
          <w:p>
            <w:pPr>
              <w:spacing w:after="0"/>
              <w:rPr>
                <w:sz w:val="20"/>
                <w:szCs w:val="20"/>
                <w:color w:val="auto"/>
              </w:rPr>
            </w:pPr>
            <w:r>
              <w:rPr>
                <w:rFonts w:ascii="Arial" w:cs="Arial" w:eastAsia="Arial" w:hAnsi="Arial"/>
                <w:sz w:val="18"/>
                <w:szCs w:val="18"/>
                <w:color w:val="auto"/>
              </w:rPr>
              <w:t>Income from operations</w:t>
            </w:r>
          </w:p>
        </w:tc>
        <w:tc>
          <w:tcPr>
            <w:tcW w:w="3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24,349</w:t>
            </w:r>
          </w:p>
        </w:tc>
        <w:tc>
          <w:tcPr>
            <w:tcW w:w="100" w:type="dxa"/>
            <w:vAlign w:val="bottom"/>
          </w:tcPr>
          <w:p>
            <w:pPr>
              <w:spacing w:after="0"/>
              <w:rPr>
                <w:sz w:val="19"/>
                <w:szCs w:val="19"/>
                <w:color w:val="auto"/>
              </w:rPr>
            </w:pPr>
          </w:p>
        </w:tc>
      </w:tr>
      <w:tr>
        <w:trPr>
          <w:trHeight w:val="230"/>
        </w:trPr>
        <w:tc>
          <w:tcPr>
            <w:tcW w:w="56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Net loss before income tax</w:t>
            </w:r>
          </w:p>
        </w:tc>
        <w:tc>
          <w:tcPr>
            <w:tcW w:w="37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7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(332)</w:t>
            </w:r>
          </w:p>
        </w:tc>
      </w:tr>
      <w:tr>
        <w:trPr>
          <w:trHeight w:val="230"/>
        </w:trPr>
        <w:tc>
          <w:tcPr>
            <w:tcW w:w="568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3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80" w:type="dxa"/>
            <w:vAlign w:val="bottom"/>
            <w:gridSpan w:val="2"/>
          </w:tcPr>
          <w:p>
            <w:pPr>
              <w:jc w:val="right"/>
              <w:ind w:right="40"/>
              <w:spacing w:after="0"/>
              <w:rPr>
                <w:sz w:val="20"/>
                <w:szCs w:val="20"/>
                <w:color w:val="auto"/>
              </w:rPr>
            </w:pPr>
            <w:r>
              <w:rPr>
                <w:rFonts w:ascii="Arial" w:cs="Arial" w:eastAsia="Arial" w:hAnsi="Arial"/>
                <w:sz w:val="18"/>
                <w:szCs w:val="18"/>
                <w:color w:val="auto"/>
              </w:rPr>
              <w:t>(2,138)</w:t>
            </w:r>
          </w:p>
        </w:tc>
      </w:tr>
      <w:tr>
        <w:trPr>
          <w:trHeight w:val="230"/>
        </w:trPr>
        <w:tc>
          <w:tcPr>
            <w:tcW w:w="56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Loss per share - basic</w:t>
            </w:r>
          </w:p>
        </w:tc>
        <w:tc>
          <w:tcPr>
            <w:tcW w:w="396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7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(0.03)</w:t>
            </w:r>
          </w:p>
        </w:tc>
      </w:tr>
    </w:tbl>
    <w:p>
      <w:pPr>
        <w:spacing w:after="0" w:line="229" w:lineRule="exact"/>
        <w:rPr>
          <w:sz w:val="20"/>
          <w:szCs w:val="20"/>
          <w:color w:val="auto"/>
        </w:rPr>
      </w:pPr>
    </w:p>
    <w:p>
      <w:pPr>
        <w:jc w:val="both"/>
        <w:ind w:right="20" w:firstLine="815"/>
        <w:spacing w:after="0" w:line="277" w:lineRule="auto"/>
        <w:rPr>
          <w:sz w:val="20"/>
          <w:szCs w:val="20"/>
          <w:color w:val="auto"/>
        </w:rPr>
      </w:pPr>
      <w:r>
        <w:rPr>
          <w:rFonts w:ascii="Arial" w:cs="Arial" w:eastAsia="Arial" w:hAnsi="Arial"/>
          <w:sz w:val="18"/>
          <w:szCs w:val="18"/>
          <w:color w:val="auto"/>
        </w:rPr>
        <w:t>The pro forma results include adjustments to reflect additional amortization of intangibles associated with the acquired businesses and additional interest expense for debt issued in connection with the HTA Merger.</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0" w:type="dxa"/>
            <w:vAlign w:val="bottom"/>
          </w:tcPr>
          <w:p>
            <w:pPr>
              <w:spacing w:after="0"/>
              <w:rPr>
                <w:sz w:val="20"/>
                <w:szCs w:val="20"/>
                <w:color w:val="auto"/>
              </w:rPr>
            </w:pPr>
            <w:r>
              <w:rPr>
                <w:rFonts w:ascii="Arial" w:cs="Arial" w:eastAsia="Arial" w:hAnsi="Arial"/>
                <w:sz w:val="18"/>
                <w:szCs w:val="18"/>
                <w:b w:val="1"/>
                <w:bCs w:val="1"/>
                <w:color w:val="auto"/>
              </w:rPr>
              <w:t>4.</w:t>
            </w:r>
          </w:p>
        </w:tc>
        <w:tc>
          <w:tcPr>
            <w:tcW w:w="6540" w:type="dxa"/>
            <w:vAlign w:val="bottom"/>
            <w:gridSpan w:val="2"/>
          </w:tcPr>
          <w:p>
            <w:pPr>
              <w:ind w:left="140"/>
              <w:spacing w:after="0"/>
              <w:rPr>
                <w:sz w:val="20"/>
                <w:szCs w:val="20"/>
                <w:color w:val="auto"/>
              </w:rPr>
            </w:pPr>
            <w:r>
              <w:rPr>
                <w:rFonts w:ascii="Arial" w:cs="Arial" w:eastAsia="Arial" w:hAnsi="Arial"/>
                <w:sz w:val="18"/>
                <w:szCs w:val="18"/>
                <w:b w:val="1"/>
                <w:bCs w:val="1"/>
                <w:color w:val="auto"/>
              </w:rPr>
              <w:t>Prepaid Expenses and Other Current Assets</w:t>
            </w:r>
          </w:p>
        </w:tc>
        <w:tc>
          <w:tcPr>
            <w:tcW w:w="10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280" w:type="dxa"/>
            <w:vAlign w:val="bottom"/>
          </w:tcPr>
          <w:p>
            <w:pPr>
              <w:spacing w:after="0"/>
              <w:rPr>
                <w:sz w:val="24"/>
                <w:szCs w:val="24"/>
                <w:color w:val="auto"/>
              </w:rPr>
            </w:pPr>
          </w:p>
        </w:tc>
        <w:tc>
          <w:tcPr>
            <w:tcW w:w="6540" w:type="dxa"/>
            <w:vAlign w:val="bottom"/>
            <w:gridSpan w:val="2"/>
          </w:tcPr>
          <w:p>
            <w:pPr>
              <w:ind w:left="540"/>
              <w:spacing w:after="0"/>
              <w:rPr>
                <w:sz w:val="20"/>
                <w:szCs w:val="20"/>
                <w:color w:val="auto"/>
              </w:rPr>
            </w:pPr>
            <w:r>
              <w:rPr>
                <w:rFonts w:ascii="Arial" w:cs="Arial" w:eastAsia="Arial" w:hAnsi="Arial"/>
                <w:sz w:val="18"/>
                <w:szCs w:val="18"/>
                <w:color w:val="auto"/>
              </w:rPr>
              <w:t>Prepaid expenses and other current assets consist of the following at:</w:t>
            </w:r>
          </w:p>
        </w:tc>
        <w:tc>
          <w:tcPr>
            <w:tcW w:w="10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2"/>
        </w:trPr>
        <w:tc>
          <w:tcPr>
            <w:tcW w:w="1000" w:type="dxa"/>
            <w:vAlign w:val="bottom"/>
            <w:gridSpan w:val="2"/>
            <w:vMerge w:val="restart"/>
          </w:tcPr>
          <w:p>
            <w:pPr>
              <w:spacing w:after="0"/>
              <w:rPr>
                <w:sz w:val="20"/>
                <w:szCs w:val="20"/>
                <w:color w:val="auto"/>
              </w:rPr>
            </w:pPr>
            <w:r>
              <w:rPr>
                <w:rFonts w:ascii="Arial" w:cs="Arial" w:eastAsia="Arial" w:hAnsi="Arial"/>
                <w:sz w:val="14"/>
                <w:szCs w:val="14"/>
                <w:b w:val="1"/>
                <w:bCs w:val="1"/>
                <w:u w:val="single" w:color="auto"/>
                <w:color w:val="auto"/>
                <w:w w:val="90"/>
              </w:rPr>
              <w:t>(</w:t>
            </w:r>
            <w:r>
              <w:rPr>
                <w:rFonts w:ascii="Arial" w:cs="Arial" w:eastAsia="Arial" w:hAnsi="Arial"/>
                <w:sz w:val="14"/>
                <w:szCs w:val="14"/>
                <w:b w:val="1"/>
                <w:bCs w:val="1"/>
                <w:color w:val="auto"/>
                <w:w w:val="90"/>
              </w:rPr>
              <w:t>$ in thousands)</w:t>
            </w:r>
          </w:p>
        </w:tc>
        <w:tc>
          <w:tcPr>
            <w:tcW w:w="5820" w:type="dxa"/>
            <w:vAlign w:val="bottom"/>
            <w:vMerge w:val="restart"/>
          </w:tcPr>
          <w:p>
            <w:pPr>
              <w:spacing w:after="0"/>
              <w:rPr>
                <w:sz w:val="24"/>
                <w:szCs w:val="24"/>
                <w:color w:val="auto"/>
              </w:rPr>
            </w:pPr>
          </w:p>
        </w:tc>
        <w:tc>
          <w:tcPr>
            <w:tcW w:w="10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June 30,</w:t>
            </w: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gridSpan w:val="2"/>
          </w:tcPr>
          <w:p>
            <w:pPr>
              <w:ind w:left="1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8"/>
        </w:trPr>
        <w:tc>
          <w:tcPr>
            <w:tcW w:w="1000" w:type="dxa"/>
            <w:vAlign w:val="bottom"/>
            <w:tcBorders>
              <w:bottom w:val="single" w:sz="8" w:color="auto"/>
            </w:tcBorders>
            <w:gridSpan w:val="2"/>
            <w:vMerge w:val="continue"/>
          </w:tcPr>
          <w:p>
            <w:pPr>
              <w:spacing w:after="0"/>
              <w:rPr>
                <w:sz w:val="15"/>
                <w:szCs w:val="15"/>
                <w:color w:val="auto"/>
              </w:rPr>
            </w:pPr>
          </w:p>
        </w:tc>
        <w:tc>
          <w:tcPr>
            <w:tcW w:w="5820" w:type="dxa"/>
            <w:vAlign w:val="bottom"/>
            <w:vMerge w:val="continue"/>
          </w:tcPr>
          <w:p>
            <w:pPr>
              <w:spacing w:after="0"/>
              <w:rPr>
                <w:sz w:val="15"/>
                <w:szCs w:val="15"/>
                <w:color w:val="auto"/>
              </w:rPr>
            </w:pPr>
          </w:p>
        </w:tc>
        <w:tc>
          <w:tcPr>
            <w:tcW w:w="2100" w:type="dxa"/>
            <w:vAlign w:val="bottom"/>
            <w:gridSpan w:val="2"/>
          </w:tcPr>
          <w:p>
            <w:pPr>
              <w:jc w:val="right"/>
              <w:ind w:right="56"/>
              <w:spacing w:after="0" w:line="158" w:lineRule="exact"/>
              <w:rPr>
                <w:sz w:val="20"/>
                <w:szCs w:val="20"/>
                <w:color w:val="auto"/>
              </w:rPr>
            </w:pPr>
            <w:r>
              <w:rPr>
                <w:rFonts w:ascii="Arial" w:cs="Arial" w:eastAsia="Arial" w:hAnsi="Arial"/>
                <w:sz w:val="14"/>
                <w:szCs w:val="14"/>
                <w:b w:val="1"/>
                <w:bCs w:val="1"/>
                <w:color w:val="auto"/>
              </w:rPr>
              <w:t>2019</w:t>
            </w: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tcPr>
          <w:p>
            <w:pPr>
              <w:jc w:val="right"/>
              <w:ind w:right="573"/>
              <w:spacing w:after="0" w:line="158" w:lineRule="exact"/>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6820" w:type="dxa"/>
            <w:vAlign w:val="bottom"/>
            <w:tcBorders>
              <w:top w:val="single" w:sz="8" w:color="CFF0FC"/>
            </w:tcBorders>
            <w:gridSpan w:val="3"/>
            <w:shd w:val="clear" w:color="auto" w:fill="CFF0FC"/>
          </w:tcPr>
          <w:p>
            <w:pPr>
              <w:spacing w:after="0"/>
              <w:rPr>
                <w:sz w:val="20"/>
                <w:szCs w:val="20"/>
                <w:color w:val="auto"/>
              </w:rPr>
            </w:pPr>
            <w:r>
              <w:rPr>
                <w:rFonts w:ascii="Arial" w:cs="Arial" w:eastAsia="Arial" w:hAnsi="Arial"/>
                <w:sz w:val="18"/>
                <w:szCs w:val="18"/>
                <w:color w:val="auto"/>
              </w:rPr>
              <w:t>Prepaid income taxes</w:t>
            </w:r>
          </w:p>
        </w:tc>
        <w:tc>
          <w:tcPr>
            <w:tcW w:w="1040" w:type="dxa"/>
            <w:vAlign w:val="bottom"/>
            <w:tcBorders>
              <w:top w:val="single" w:sz="8" w:color="CFF0FC"/>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jc w:val="right"/>
              <w:ind w:right="876"/>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2,466</w:t>
            </w:r>
          </w:p>
        </w:tc>
        <w:tc>
          <w:tcPr>
            <w:tcW w:w="28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1,562</w:t>
            </w: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820" w:type="dxa"/>
            <w:vAlign w:val="bottom"/>
            <w:gridSpan w:val="3"/>
          </w:tcPr>
          <w:p>
            <w:pPr>
              <w:spacing w:after="0"/>
              <w:rPr>
                <w:sz w:val="20"/>
                <w:szCs w:val="20"/>
                <w:color w:val="auto"/>
              </w:rPr>
            </w:pPr>
            <w:r>
              <w:rPr>
                <w:rFonts w:ascii="Arial" w:cs="Arial" w:eastAsia="Arial" w:hAnsi="Arial"/>
                <w:sz w:val="18"/>
                <w:szCs w:val="18"/>
                <w:color w:val="auto"/>
              </w:rPr>
              <w:t>Prepaid services</w:t>
            </w:r>
          </w:p>
        </w:tc>
        <w:tc>
          <w:tcPr>
            <w:tcW w:w="10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4,277</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3,017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2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Prepaid tolls</w:t>
            </w:r>
          </w:p>
        </w:tc>
        <w:tc>
          <w:tcPr>
            <w:tcW w:w="104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9,878</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8,434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20" w:type="dxa"/>
            <w:vAlign w:val="bottom"/>
            <w:gridSpan w:val="3"/>
          </w:tcPr>
          <w:p>
            <w:pPr>
              <w:spacing w:after="0"/>
              <w:rPr>
                <w:sz w:val="20"/>
                <w:szCs w:val="20"/>
                <w:color w:val="auto"/>
              </w:rPr>
            </w:pPr>
            <w:r>
              <w:rPr>
                <w:rFonts w:ascii="Arial" w:cs="Arial" w:eastAsia="Arial" w:hAnsi="Arial"/>
                <w:sz w:val="18"/>
                <w:szCs w:val="18"/>
                <w:color w:val="auto"/>
              </w:rPr>
              <w:t>Prepaid computer maintenance</w:t>
            </w:r>
          </w:p>
        </w:tc>
        <w:tc>
          <w:tcPr>
            <w:tcW w:w="10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2,556</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1,709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2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Prepaid insurance</w:t>
            </w:r>
          </w:p>
        </w:tc>
        <w:tc>
          <w:tcPr>
            <w:tcW w:w="104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443</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20" w:type="dxa"/>
            <w:vAlign w:val="bottom"/>
            <w:gridSpan w:val="3"/>
          </w:tcPr>
          <w:p>
            <w:pPr>
              <w:spacing w:after="0"/>
              <w:rPr>
                <w:sz w:val="20"/>
                <w:szCs w:val="20"/>
                <w:color w:val="auto"/>
              </w:rPr>
            </w:pPr>
            <w:r>
              <w:rPr>
                <w:rFonts w:ascii="Arial" w:cs="Arial" w:eastAsia="Arial" w:hAnsi="Arial"/>
                <w:sz w:val="18"/>
                <w:szCs w:val="18"/>
                <w:color w:val="auto"/>
              </w:rPr>
              <w:t>Deposits</w:t>
            </w:r>
          </w:p>
        </w:tc>
        <w:tc>
          <w:tcPr>
            <w:tcW w:w="10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1,331</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839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2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Prepaid rent</w:t>
            </w:r>
          </w:p>
        </w:tc>
        <w:tc>
          <w:tcPr>
            <w:tcW w:w="104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490</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20" w:type="dxa"/>
            <w:vAlign w:val="bottom"/>
            <w:tcBorders>
              <w:bottom w:val="single" w:sz="8" w:color="CFF0FC"/>
            </w:tcBorders>
            <w:gridSpan w:val="3"/>
          </w:tcPr>
          <w:p>
            <w:pPr>
              <w:spacing w:after="0"/>
              <w:rPr>
                <w:sz w:val="20"/>
                <w:szCs w:val="20"/>
                <w:color w:val="auto"/>
              </w:rPr>
            </w:pPr>
            <w:r>
              <w:rPr>
                <w:rFonts w:ascii="Arial" w:cs="Arial" w:eastAsia="Arial" w:hAnsi="Arial"/>
                <w:sz w:val="18"/>
                <w:szCs w:val="18"/>
                <w:color w:val="auto"/>
              </w:rPr>
              <w:t>Other</w:t>
            </w:r>
          </w:p>
        </w:tc>
        <w:tc>
          <w:tcPr>
            <w:tcW w:w="1040" w:type="dxa"/>
            <w:vAlign w:val="bottom"/>
            <w:tcBorders>
              <w:bottom w:val="single" w:sz="8" w:color="CFF0FC"/>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w:t>
            </w:r>
          </w:p>
        </w:tc>
        <w:tc>
          <w:tcPr>
            <w:tcW w:w="2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403</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20" w:type="dxa"/>
            <w:vAlign w:val="bottom"/>
            <w:tcBorders>
              <w:bottom w:val="single" w:sz="8" w:color="CFF0FC"/>
            </w:tcBorders>
            <w:gridSpan w:val="3"/>
            <w:shd w:val="clear" w:color="auto" w:fill="CFF0FC"/>
          </w:tcPr>
          <w:p>
            <w:pPr>
              <w:ind w:left="140"/>
              <w:spacing w:after="0"/>
              <w:rPr>
                <w:sz w:val="20"/>
                <w:szCs w:val="20"/>
                <w:color w:val="auto"/>
              </w:rPr>
            </w:pPr>
            <w:r>
              <w:rPr>
                <w:rFonts w:ascii="Arial" w:cs="Arial" w:eastAsia="Arial" w:hAnsi="Arial"/>
                <w:sz w:val="18"/>
                <w:szCs w:val="18"/>
                <w:color w:val="auto"/>
              </w:rPr>
              <w:t>Total prepaid expenses and other current assets</w:t>
            </w:r>
          </w:p>
        </w:tc>
        <w:tc>
          <w:tcPr>
            <w:tcW w:w="1040" w:type="dxa"/>
            <w:vAlign w:val="bottom"/>
            <w:tcBorders>
              <w:bottom w:val="single" w:sz="8" w:color="CFF0FC"/>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ind w:right="876"/>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7"/>
              </w:rPr>
              <w:t>21,646</w:t>
            </w:r>
          </w:p>
        </w:tc>
        <w:tc>
          <w:tcPr>
            <w:tcW w:w="2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17,600</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left="420" w:hanging="412"/>
        <w:spacing w:after="0"/>
        <w:tabs>
          <w:tab w:leader="none" w:pos="42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Intangible Assets</w:t>
      </w:r>
    </w:p>
    <w:p>
      <w:pPr>
        <w:spacing w:after="0" w:line="18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The following table presents the changes in the carrying amount of goodwill by reportable segment:</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0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Commercial</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jc w:val="right"/>
              <w:ind w:right="197"/>
              <w:spacing w:after="0"/>
              <w:rPr>
                <w:sz w:val="20"/>
                <w:szCs w:val="20"/>
                <w:color w:val="auto"/>
              </w:rPr>
            </w:pPr>
            <w:r>
              <w:rPr>
                <w:rFonts w:ascii="Arial" w:cs="Arial" w:eastAsia="Arial" w:hAnsi="Arial"/>
                <w:sz w:val="14"/>
                <w:szCs w:val="14"/>
                <w:b w:val="1"/>
                <w:bCs w:val="1"/>
                <w:color w:val="auto"/>
              </w:rPr>
              <w:t>Government</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1000" w:type="dxa"/>
            <w:vAlign w:val="bottom"/>
            <w:tcBorders>
              <w:bottom w:val="single" w:sz="8" w:color="auto"/>
            </w:tcBorders>
          </w:tcPr>
          <w:p>
            <w:pPr>
              <w:spacing w:after="0" w:line="158" w:lineRule="exact"/>
              <w:rPr>
                <w:sz w:val="20"/>
                <w:szCs w:val="20"/>
                <w:color w:val="auto"/>
              </w:rPr>
            </w:pPr>
            <w:r>
              <w:rPr>
                <w:rFonts w:ascii="Arial" w:cs="Arial" w:eastAsia="Arial" w:hAnsi="Arial"/>
                <w:sz w:val="14"/>
                <w:szCs w:val="14"/>
                <w:b w:val="1"/>
                <w:bCs w:val="1"/>
                <w:u w:val="single" w:color="auto"/>
                <w:color w:val="auto"/>
                <w:w w:val="90"/>
              </w:rPr>
              <w:t>(</w:t>
            </w:r>
            <w:r>
              <w:rPr>
                <w:rFonts w:ascii="Arial" w:cs="Arial" w:eastAsia="Arial" w:hAnsi="Arial"/>
                <w:sz w:val="14"/>
                <w:szCs w:val="14"/>
                <w:b w:val="1"/>
                <w:bCs w:val="1"/>
                <w:color w:val="auto"/>
                <w:w w:val="90"/>
              </w:rPr>
              <w:t>$ in thousands)</w:t>
            </w:r>
          </w:p>
        </w:tc>
        <w:tc>
          <w:tcPr>
            <w:tcW w:w="326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00" w:type="dxa"/>
            <w:vAlign w:val="bottom"/>
            <w:gridSpan w:val="2"/>
          </w:tcPr>
          <w:p>
            <w:pPr>
              <w:jc w:val="right"/>
              <w:ind w:right="580"/>
              <w:spacing w:after="0" w:line="158" w:lineRule="exact"/>
              <w:rPr>
                <w:sz w:val="20"/>
                <w:szCs w:val="20"/>
                <w:color w:val="auto"/>
              </w:rPr>
            </w:pPr>
            <w:r>
              <w:rPr>
                <w:rFonts w:ascii="Arial" w:cs="Arial" w:eastAsia="Arial" w:hAnsi="Arial"/>
                <w:sz w:val="14"/>
                <w:szCs w:val="14"/>
                <w:b w:val="1"/>
                <w:bCs w:val="1"/>
                <w:color w:val="auto"/>
              </w:rPr>
              <w:t>Services</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jc w:val="right"/>
              <w:ind w:right="317"/>
              <w:spacing w:after="0" w:line="158" w:lineRule="exact"/>
              <w:rPr>
                <w:sz w:val="20"/>
                <w:szCs w:val="20"/>
                <w:color w:val="auto"/>
              </w:rPr>
            </w:pPr>
            <w:r>
              <w:rPr>
                <w:rFonts w:ascii="Arial" w:cs="Arial" w:eastAsia="Arial" w:hAnsi="Arial"/>
                <w:sz w:val="14"/>
                <w:szCs w:val="14"/>
                <w:b w:val="1"/>
                <w:bCs w:val="1"/>
                <w:color w:val="auto"/>
              </w:rPr>
              <w:t>Solutions</w:t>
            </w: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gridSpan w:val="2"/>
          </w:tcPr>
          <w:p>
            <w:pPr>
              <w:jc w:val="right"/>
              <w:ind w:right="620"/>
              <w:spacing w:after="0" w:line="158" w:lineRule="exact"/>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426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Balance at December 31, 2018</w:t>
            </w:r>
          </w:p>
        </w:tc>
        <w:tc>
          <w:tcPr>
            <w:tcW w:w="252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404,977</w:t>
            </w:r>
          </w:p>
        </w:tc>
        <w:tc>
          <w:tcPr>
            <w:tcW w:w="1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159,746</w:t>
            </w:r>
          </w:p>
        </w:tc>
        <w:tc>
          <w:tcPr>
            <w:tcW w:w="26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564,723</w:t>
            </w:r>
          </w:p>
        </w:tc>
        <w:tc>
          <w:tcPr>
            <w:tcW w:w="100" w:type="dxa"/>
            <w:vAlign w:val="bottom"/>
            <w:tcBorders>
              <w:top w:val="single" w:sz="8" w:color="CFF0FC"/>
            </w:tcBorders>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60" w:type="dxa"/>
            <w:vAlign w:val="bottom"/>
            <w:gridSpan w:val="2"/>
          </w:tcPr>
          <w:p>
            <w:pPr>
              <w:spacing w:after="0"/>
              <w:rPr>
                <w:sz w:val="20"/>
                <w:szCs w:val="20"/>
                <w:color w:val="auto"/>
              </w:rPr>
            </w:pPr>
            <w:r>
              <w:rPr>
                <w:rFonts w:ascii="Arial" w:cs="Arial" w:eastAsia="Arial" w:hAnsi="Arial"/>
                <w:sz w:val="18"/>
                <w:szCs w:val="18"/>
                <w:color w:val="auto"/>
              </w:rPr>
              <w:t>Foreign currency translation adjustment</w:t>
            </w:r>
          </w:p>
        </w:tc>
        <w:tc>
          <w:tcPr>
            <w:tcW w:w="2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(85)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6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Balance at June 30, 2019</w:t>
            </w:r>
          </w:p>
        </w:tc>
        <w:tc>
          <w:tcPr>
            <w:tcW w:w="252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404,892</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159,746</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564,638</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2520" w:type="dxa"/>
            <w:vAlign w:val="bottom"/>
            <w:vMerge w:val="restart"/>
          </w:tcPr>
          <w:p>
            <w:pPr>
              <w:jc w:val="right"/>
              <w:ind w:right="890"/>
              <w:spacing w:after="0"/>
              <w:rPr>
                <w:sz w:val="20"/>
                <w:szCs w:val="20"/>
                <w:color w:val="auto"/>
              </w:rPr>
            </w:pPr>
            <w:r>
              <w:rPr>
                <w:rFonts w:ascii="Arial" w:cs="Arial" w:eastAsia="Arial" w:hAnsi="Arial"/>
                <w:sz w:val="18"/>
                <w:szCs w:val="18"/>
                <w:color w:val="auto"/>
              </w:rPr>
              <w:t>16</w:t>
            </w: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100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252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000" w:type="dxa"/>
            <w:vAlign w:val="bottom"/>
            <w:tcBorders>
              <w:bottom w:val="single" w:sz="8" w:color="9A9A9A"/>
            </w:tcBorders>
          </w:tcPr>
          <w:p>
            <w:pPr>
              <w:spacing w:after="0"/>
              <w:rPr>
                <w:sz w:val="10"/>
                <w:szCs w:val="10"/>
                <w:color w:val="auto"/>
              </w:rPr>
            </w:pPr>
          </w:p>
        </w:tc>
        <w:tc>
          <w:tcPr>
            <w:tcW w:w="3260" w:type="dxa"/>
            <w:vAlign w:val="bottom"/>
            <w:tcBorders>
              <w:bottom w:val="single" w:sz="8" w:color="9A9A9A"/>
            </w:tcBorders>
          </w:tcPr>
          <w:p>
            <w:pPr>
              <w:spacing w:after="0"/>
              <w:rPr>
                <w:sz w:val="10"/>
                <w:szCs w:val="10"/>
                <w:color w:val="auto"/>
              </w:rPr>
            </w:pPr>
          </w:p>
        </w:tc>
        <w:tc>
          <w:tcPr>
            <w:tcW w:w="25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30" w:right="219" w:bottom="1440" w:gutter="0" w:footer="0" w:header="0"/>
        </w:sectPr>
      </w:pPr>
    </w:p>
    <w:bookmarkStart w:id="16" w:name="page17"/>
    <w:bookmarkEnd w:id="1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2" w:lineRule="exact"/>
        <w:rPr>
          <w:sz w:val="20"/>
          <w:szCs w:val="20"/>
          <w:color w:val="auto"/>
        </w:rPr>
      </w:pPr>
    </w:p>
    <w:p>
      <w:pPr>
        <w:ind w:left="820"/>
        <w:spacing w:after="0"/>
        <w:rPr>
          <w:sz w:val="20"/>
          <w:szCs w:val="20"/>
          <w:color w:val="auto"/>
        </w:rPr>
      </w:pPr>
      <w:r>
        <w:rPr>
          <w:rFonts w:ascii="Arial" w:cs="Arial" w:eastAsia="Arial" w:hAnsi="Arial"/>
          <w:sz w:val="18"/>
          <w:szCs w:val="18"/>
          <w:color w:val="auto"/>
        </w:rPr>
        <w:t>Intangible assets consist of the following as of the respective period-ends:</w:t>
      </w: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0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4"/>
                <w:szCs w:val="14"/>
                <w:b w:val="1"/>
                <w:bCs w:val="1"/>
                <w:color w:val="auto"/>
                <w:w w:val="96"/>
              </w:rPr>
              <w:t>June 30, 2019</w:t>
            </w: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4"/>
                <w:szCs w:val="14"/>
                <w:b w:val="1"/>
                <w:bCs w:val="1"/>
                <w:color w:val="auto"/>
                <w:w w:val="91"/>
              </w:rPr>
              <w:t>December 31, 2018</w:t>
            </w: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100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1180" w:type="dxa"/>
            <w:vAlign w:val="bottom"/>
            <w:gridSpan w:val="2"/>
          </w:tcPr>
          <w:p>
            <w:pPr>
              <w:jc w:val="center"/>
              <w:ind w:right="160"/>
              <w:spacing w:after="0" w:line="147" w:lineRule="exact"/>
              <w:rPr>
                <w:sz w:val="20"/>
                <w:szCs w:val="20"/>
                <w:color w:val="auto"/>
              </w:rPr>
            </w:pPr>
            <w:r>
              <w:rPr>
                <w:rFonts w:ascii="Arial" w:cs="Arial" w:eastAsia="Arial" w:hAnsi="Arial"/>
                <w:sz w:val="14"/>
                <w:szCs w:val="14"/>
                <w:b w:val="1"/>
                <w:bCs w:val="1"/>
                <w:color w:val="auto"/>
                <w:w w:val="91"/>
              </w:rPr>
              <w:t>Weighted</w:t>
            </w: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1"/>
              </w:rPr>
              <w:t>Weighted</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00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1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0"/>
              </w:rPr>
              <w:t>Average</w:t>
            </w:r>
          </w:p>
        </w:tc>
        <w:tc>
          <w:tcPr>
            <w:tcW w:w="140" w:type="dxa"/>
            <w:vAlign w:val="bottom"/>
          </w:tcPr>
          <w:p>
            <w:pPr>
              <w:spacing w:after="0"/>
              <w:rPr>
                <w:sz w:val="14"/>
                <w:szCs w:val="14"/>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Gross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0"/>
              </w:rPr>
              <w:t>Average</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8"/>
              </w:rPr>
              <w:t>Gross</w:t>
            </w: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00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1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Remaining</w:t>
            </w:r>
          </w:p>
        </w:tc>
        <w:tc>
          <w:tcPr>
            <w:tcW w:w="140" w:type="dxa"/>
            <w:vAlign w:val="bottom"/>
          </w:tcPr>
          <w:p>
            <w:pPr>
              <w:spacing w:after="0"/>
              <w:rPr>
                <w:sz w:val="14"/>
                <w:szCs w:val="14"/>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Carrying</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ind w:right="75"/>
              <w:spacing w:after="0"/>
              <w:rPr>
                <w:sz w:val="20"/>
                <w:szCs w:val="20"/>
                <w:color w:val="auto"/>
              </w:rPr>
            </w:pPr>
            <w:r>
              <w:rPr>
                <w:rFonts w:ascii="Arial" w:cs="Arial" w:eastAsia="Arial" w:hAnsi="Arial"/>
                <w:sz w:val="14"/>
                <w:szCs w:val="14"/>
                <w:b w:val="1"/>
                <w:bCs w:val="1"/>
                <w:color w:val="auto"/>
                <w:w w:val="93"/>
              </w:rPr>
              <w:t>Accumulated</w:t>
            </w:r>
          </w:p>
        </w:tc>
        <w:tc>
          <w:tcPr>
            <w:tcW w:w="30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2"/>
              </w:rPr>
              <w:t>Remaining</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Carrying</w:t>
            </w:r>
          </w:p>
        </w:tc>
        <w:tc>
          <w:tcPr>
            <w:tcW w:w="100" w:type="dxa"/>
            <w:vAlign w:val="bottom"/>
          </w:tcPr>
          <w:p>
            <w:pPr>
              <w:spacing w:after="0"/>
              <w:rPr>
                <w:sz w:val="14"/>
                <w:szCs w:val="14"/>
                <w:color w:val="auto"/>
              </w:rPr>
            </w:pPr>
          </w:p>
        </w:tc>
        <w:tc>
          <w:tcPr>
            <w:tcW w:w="1100" w:type="dxa"/>
            <w:vAlign w:val="bottom"/>
            <w:gridSpan w:val="2"/>
          </w:tcPr>
          <w:p>
            <w:pPr>
              <w:ind w:left="20"/>
              <w:spacing w:after="0"/>
              <w:rPr>
                <w:sz w:val="20"/>
                <w:szCs w:val="20"/>
                <w:color w:val="auto"/>
              </w:rPr>
            </w:pPr>
            <w:r>
              <w:rPr>
                <w:rFonts w:ascii="Arial" w:cs="Arial" w:eastAsia="Arial" w:hAnsi="Arial"/>
                <w:sz w:val="14"/>
                <w:szCs w:val="14"/>
                <w:b w:val="1"/>
                <w:bCs w:val="1"/>
                <w:color w:val="auto"/>
              </w:rPr>
              <w:t>Accumulated</w:t>
            </w:r>
          </w:p>
        </w:tc>
        <w:tc>
          <w:tcPr>
            <w:tcW w:w="0" w:type="dxa"/>
            <w:vAlign w:val="bottom"/>
          </w:tcPr>
          <w:p>
            <w:pPr>
              <w:spacing w:after="0"/>
              <w:rPr>
                <w:sz w:val="1"/>
                <w:szCs w:val="1"/>
                <w:color w:val="auto"/>
              </w:rPr>
            </w:pPr>
          </w:p>
        </w:tc>
      </w:tr>
      <w:tr>
        <w:trPr>
          <w:trHeight w:val="178"/>
        </w:trPr>
        <w:tc>
          <w:tcPr>
            <w:tcW w:w="1000" w:type="dxa"/>
            <w:vAlign w:val="bottom"/>
            <w:tcBorders>
              <w:bottom w:val="single" w:sz="8" w:color="auto"/>
            </w:tcBorders>
          </w:tcPr>
          <w:p>
            <w:pPr>
              <w:spacing w:after="0" w:line="158" w:lineRule="exact"/>
              <w:rPr>
                <w:sz w:val="20"/>
                <w:szCs w:val="20"/>
                <w:color w:val="auto"/>
              </w:rPr>
            </w:pPr>
            <w:r>
              <w:rPr>
                <w:rFonts w:ascii="Arial" w:cs="Arial" w:eastAsia="Arial" w:hAnsi="Arial"/>
                <w:sz w:val="14"/>
                <w:szCs w:val="14"/>
                <w:b w:val="1"/>
                <w:bCs w:val="1"/>
                <w:u w:val="single" w:color="auto"/>
                <w:color w:val="auto"/>
                <w:w w:val="90"/>
              </w:rPr>
              <w:t>(</w:t>
            </w:r>
            <w:r>
              <w:rPr>
                <w:rFonts w:ascii="Arial" w:cs="Arial" w:eastAsia="Arial" w:hAnsi="Arial"/>
                <w:sz w:val="14"/>
                <w:szCs w:val="14"/>
                <w:b w:val="1"/>
                <w:bCs w:val="1"/>
                <w:color w:val="auto"/>
                <w:w w:val="90"/>
              </w:rPr>
              <w:t>$ in thousands)</w:t>
            </w:r>
          </w:p>
        </w:tc>
        <w:tc>
          <w:tcPr>
            <w:tcW w:w="2800" w:type="dxa"/>
            <w:vAlign w:val="bottom"/>
          </w:tcPr>
          <w:p>
            <w:pPr>
              <w:spacing w:after="0"/>
              <w:rPr>
                <w:sz w:val="15"/>
                <w:szCs w:val="15"/>
                <w:color w:val="auto"/>
              </w:rPr>
            </w:pPr>
          </w:p>
        </w:tc>
        <w:tc>
          <w:tcPr>
            <w:tcW w:w="1180" w:type="dxa"/>
            <w:vAlign w:val="bottom"/>
            <w:gridSpan w:val="2"/>
          </w:tcPr>
          <w:p>
            <w:pPr>
              <w:jc w:val="center"/>
              <w:ind w:right="140"/>
              <w:spacing w:after="0" w:line="158" w:lineRule="exact"/>
              <w:rPr>
                <w:sz w:val="20"/>
                <w:szCs w:val="20"/>
                <w:color w:val="auto"/>
              </w:rPr>
            </w:pPr>
            <w:r>
              <w:rPr>
                <w:rFonts w:ascii="Arial" w:cs="Arial" w:eastAsia="Arial" w:hAnsi="Arial"/>
                <w:sz w:val="14"/>
                <w:szCs w:val="14"/>
                <w:b w:val="1"/>
                <w:bCs w:val="1"/>
                <w:color w:val="auto"/>
                <w:w w:val="94"/>
              </w:rPr>
              <w:t>Useful Life</w:t>
            </w:r>
          </w:p>
        </w:tc>
        <w:tc>
          <w:tcPr>
            <w:tcW w:w="140" w:type="dxa"/>
            <w:vAlign w:val="bottom"/>
          </w:tcPr>
          <w:p>
            <w:pPr>
              <w:spacing w:after="0"/>
              <w:rPr>
                <w:sz w:val="15"/>
                <w:szCs w:val="15"/>
                <w:color w:val="auto"/>
              </w:rPr>
            </w:pPr>
          </w:p>
        </w:tc>
        <w:tc>
          <w:tcPr>
            <w:tcW w:w="1080" w:type="dxa"/>
            <w:vAlign w:val="bottom"/>
            <w:gridSpan w:val="2"/>
          </w:tcPr>
          <w:p>
            <w:pPr>
              <w:jc w:val="center"/>
              <w:ind w:right="300"/>
              <w:spacing w:after="0" w:line="158" w:lineRule="exact"/>
              <w:rPr>
                <w:sz w:val="20"/>
                <w:szCs w:val="20"/>
                <w:color w:val="auto"/>
              </w:rPr>
            </w:pPr>
            <w:r>
              <w:rPr>
                <w:rFonts w:ascii="Arial" w:cs="Arial" w:eastAsia="Arial" w:hAnsi="Arial"/>
                <w:sz w:val="14"/>
                <w:szCs w:val="14"/>
                <w:b w:val="1"/>
                <w:bCs w:val="1"/>
                <w:color w:val="auto"/>
                <w:w w:val="94"/>
              </w:rPr>
              <w:t>Amount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right"/>
              <w:ind w:right="75"/>
              <w:spacing w:after="0" w:line="158" w:lineRule="exact"/>
              <w:rPr>
                <w:sz w:val="20"/>
                <w:szCs w:val="20"/>
                <w:color w:val="auto"/>
              </w:rPr>
            </w:pPr>
            <w:r>
              <w:rPr>
                <w:rFonts w:ascii="Arial" w:cs="Arial" w:eastAsia="Arial" w:hAnsi="Arial"/>
                <w:sz w:val="14"/>
                <w:szCs w:val="14"/>
                <w:b w:val="1"/>
                <w:bCs w:val="1"/>
                <w:color w:val="auto"/>
                <w:w w:val="95"/>
              </w:rPr>
              <w:t>Amortization</w:t>
            </w:r>
          </w:p>
        </w:tc>
        <w:tc>
          <w:tcPr>
            <w:tcW w:w="300" w:type="dxa"/>
            <w:vAlign w:val="bottom"/>
          </w:tcPr>
          <w:p>
            <w:pPr>
              <w:spacing w:after="0"/>
              <w:rPr>
                <w:sz w:val="15"/>
                <w:szCs w:val="15"/>
                <w:color w:val="auto"/>
              </w:rPr>
            </w:pPr>
          </w:p>
        </w:tc>
        <w:tc>
          <w:tcPr>
            <w:tcW w:w="104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4"/>
              </w:rPr>
              <w:t>Useful Life</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gridSpan w:val="2"/>
          </w:tcPr>
          <w:p>
            <w:pPr>
              <w:jc w:val="center"/>
              <w:ind w:right="420"/>
              <w:spacing w:after="0" w:line="158" w:lineRule="exact"/>
              <w:rPr>
                <w:sz w:val="20"/>
                <w:szCs w:val="20"/>
                <w:color w:val="auto"/>
              </w:rPr>
            </w:pPr>
            <w:r>
              <w:rPr>
                <w:rFonts w:ascii="Arial" w:cs="Arial" w:eastAsia="Arial" w:hAnsi="Arial"/>
                <w:sz w:val="14"/>
                <w:szCs w:val="14"/>
                <w:b w:val="1"/>
                <w:bCs w:val="1"/>
                <w:color w:val="auto"/>
                <w:w w:val="94"/>
              </w:rPr>
              <w:t>Amount</w:t>
            </w:r>
          </w:p>
        </w:tc>
        <w:tc>
          <w:tcPr>
            <w:tcW w:w="100" w:type="dxa"/>
            <w:vAlign w:val="bottom"/>
          </w:tcPr>
          <w:p>
            <w:pPr>
              <w:spacing w:after="0"/>
              <w:rPr>
                <w:sz w:val="15"/>
                <w:szCs w:val="15"/>
                <w:color w:val="auto"/>
              </w:rPr>
            </w:pPr>
          </w:p>
        </w:tc>
        <w:tc>
          <w:tcPr>
            <w:tcW w:w="1100" w:type="dxa"/>
            <w:vAlign w:val="bottom"/>
            <w:gridSpan w:val="2"/>
          </w:tcPr>
          <w:p>
            <w:pPr>
              <w:ind w:left="20"/>
              <w:spacing w:after="0" w:line="158" w:lineRule="exact"/>
              <w:rPr>
                <w:sz w:val="20"/>
                <w:szCs w:val="20"/>
                <w:color w:val="auto"/>
              </w:rPr>
            </w:pPr>
            <w:r>
              <w:rPr>
                <w:rFonts w:ascii="Arial" w:cs="Arial" w:eastAsia="Arial" w:hAnsi="Arial"/>
                <w:sz w:val="14"/>
                <w:szCs w:val="14"/>
                <w:b w:val="1"/>
                <w:bCs w:val="1"/>
                <w:color w:val="auto"/>
              </w:rPr>
              <w:t>Amortization</w:t>
            </w:r>
          </w:p>
        </w:tc>
        <w:tc>
          <w:tcPr>
            <w:tcW w:w="0" w:type="dxa"/>
            <w:vAlign w:val="bottom"/>
          </w:tcPr>
          <w:p>
            <w:pPr>
              <w:spacing w:after="0"/>
              <w:rPr>
                <w:sz w:val="1"/>
                <w:szCs w:val="1"/>
                <w:color w:val="auto"/>
              </w:rPr>
            </w:pPr>
          </w:p>
        </w:tc>
      </w:tr>
      <w:tr>
        <w:trPr>
          <w:trHeight w:val="217"/>
        </w:trPr>
        <w:tc>
          <w:tcPr>
            <w:tcW w:w="380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Trademarks</w:t>
            </w:r>
          </w:p>
        </w:tc>
        <w:tc>
          <w:tcPr>
            <w:tcW w:w="104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6"/>
              </w:rPr>
              <w:t>2.1 years</w:t>
            </w:r>
          </w:p>
        </w:tc>
        <w:tc>
          <w:tcPr>
            <w:tcW w:w="14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31,297</w:t>
            </w:r>
          </w:p>
        </w:tc>
        <w:tc>
          <w:tcPr>
            <w:tcW w:w="1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13,984</w:t>
            </w:r>
          </w:p>
        </w:tc>
        <w:tc>
          <w:tcPr>
            <w:tcW w:w="300" w:type="dxa"/>
            <w:vAlign w:val="bottom"/>
            <w:tcBorders>
              <w:top w:val="single" w:sz="8" w:color="CFF0FC"/>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9"/>
              </w:rPr>
              <w:t>2.7 years</w:t>
            </w:r>
          </w:p>
        </w:tc>
        <w:tc>
          <w:tcPr>
            <w:tcW w:w="14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jc w:val="right"/>
              <w:ind w:right="6"/>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31,302</w:t>
            </w:r>
          </w:p>
        </w:tc>
        <w:tc>
          <w:tcPr>
            <w:tcW w:w="2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8,902</w:t>
            </w: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00" w:type="dxa"/>
            <w:vAlign w:val="bottom"/>
            <w:gridSpan w:val="2"/>
          </w:tcPr>
          <w:p>
            <w:pPr>
              <w:spacing w:after="0"/>
              <w:rPr>
                <w:sz w:val="20"/>
                <w:szCs w:val="20"/>
                <w:color w:val="auto"/>
              </w:rPr>
            </w:pPr>
            <w:r>
              <w:rPr>
                <w:rFonts w:ascii="Arial" w:cs="Arial" w:eastAsia="Arial" w:hAnsi="Arial"/>
                <w:sz w:val="18"/>
                <w:szCs w:val="18"/>
                <w:color w:val="auto"/>
              </w:rPr>
              <w:t>Non-compete agreements</w:t>
            </w:r>
          </w:p>
        </w:tc>
        <w:tc>
          <w:tcPr>
            <w:tcW w:w="1180" w:type="dxa"/>
            <w:vAlign w:val="bottom"/>
            <w:gridSpan w:val="2"/>
          </w:tcPr>
          <w:p>
            <w:pPr>
              <w:jc w:val="center"/>
              <w:ind w:right="140"/>
              <w:spacing w:after="0"/>
              <w:rPr>
                <w:sz w:val="20"/>
                <w:szCs w:val="20"/>
                <w:color w:val="auto"/>
              </w:rPr>
            </w:pPr>
            <w:r>
              <w:rPr>
                <w:rFonts w:ascii="Arial" w:cs="Arial" w:eastAsia="Arial" w:hAnsi="Arial"/>
                <w:sz w:val="18"/>
                <w:szCs w:val="18"/>
                <w:color w:val="auto"/>
                <w:w w:val="86"/>
              </w:rPr>
              <w:t>3.5 years</w:t>
            </w: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62,100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18,600</w:t>
            </w:r>
          </w:p>
        </w:tc>
        <w:tc>
          <w:tcPr>
            <w:tcW w:w="300" w:type="dxa"/>
            <w:vAlign w:val="bottom"/>
          </w:tcPr>
          <w:p>
            <w:pPr>
              <w:spacing w:after="0"/>
              <w:rPr>
                <w:sz w:val="19"/>
                <w:szCs w:val="19"/>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89"/>
              </w:rPr>
              <w:t>4.0 years</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62,100</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12,390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Customer relationships</w:t>
            </w:r>
          </w:p>
        </w:tc>
        <w:tc>
          <w:tcPr>
            <w:tcW w:w="1180" w:type="dxa"/>
            <w:vAlign w:val="bottom"/>
            <w:gridSpan w:val="2"/>
            <w:shd w:val="clear" w:color="auto" w:fill="CFF0FC"/>
          </w:tcPr>
          <w:p>
            <w:pPr>
              <w:jc w:val="center"/>
              <w:ind w:right="140"/>
              <w:spacing w:after="0"/>
              <w:rPr>
                <w:sz w:val="20"/>
                <w:szCs w:val="20"/>
                <w:color w:val="auto"/>
              </w:rPr>
            </w:pPr>
            <w:r>
              <w:rPr>
                <w:rFonts w:ascii="Arial" w:cs="Arial" w:eastAsia="Arial" w:hAnsi="Arial"/>
                <w:sz w:val="18"/>
                <w:szCs w:val="18"/>
                <w:color w:val="auto"/>
                <w:w w:val="86"/>
              </w:rPr>
              <w:t>7.4 years</w:t>
            </w: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359,683</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62,409</w:t>
            </w: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7.9 years</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359,768</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42,201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0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Developed technology</w:t>
            </w:r>
          </w:p>
        </w:tc>
        <w:tc>
          <w:tcPr>
            <w:tcW w:w="1180" w:type="dxa"/>
            <w:vAlign w:val="bottom"/>
            <w:tcBorders>
              <w:bottom w:val="single" w:sz="8" w:color="CFF0FC"/>
            </w:tcBorders>
            <w:gridSpan w:val="2"/>
          </w:tcPr>
          <w:p>
            <w:pPr>
              <w:jc w:val="center"/>
              <w:ind w:right="140"/>
              <w:spacing w:after="0"/>
              <w:rPr>
                <w:sz w:val="20"/>
                <w:szCs w:val="20"/>
                <w:color w:val="auto"/>
              </w:rPr>
            </w:pPr>
            <w:r>
              <w:rPr>
                <w:rFonts w:ascii="Arial" w:cs="Arial" w:eastAsia="Arial" w:hAnsi="Arial"/>
                <w:sz w:val="18"/>
                <w:szCs w:val="18"/>
                <w:color w:val="auto"/>
                <w:w w:val="86"/>
              </w:rPr>
              <w:t>3.8 years</w:t>
            </w: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160,835</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50,709</w:t>
            </w:r>
          </w:p>
        </w:tc>
        <w:tc>
          <w:tcPr>
            <w:tcW w:w="300" w:type="dxa"/>
            <w:vAlign w:val="bottom"/>
            <w:tcBorders>
              <w:bottom w:val="single" w:sz="8" w:color="CFF0FC"/>
            </w:tcBorders>
          </w:tcPr>
          <w:p>
            <w:pPr>
              <w:spacing w:after="0"/>
              <w:rPr>
                <w:sz w:val="19"/>
                <w:szCs w:val="19"/>
                <w:color w:val="auto"/>
              </w:rPr>
            </w:pPr>
          </w:p>
        </w:tc>
        <w:tc>
          <w:tcPr>
            <w:tcW w:w="1040" w:type="dxa"/>
            <w:vAlign w:val="bottom"/>
            <w:tcBorders>
              <w:bottom w:val="single" w:sz="8" w:color="CFF0FC"/>
            </w:tcBorders>
          </w:tcPr>
          <w:p>
            <w:pPr>
              <w:jc w:val="center"/>
              <w:spacing w:after="0"/>
              <w:rPr>
                <w:sz w:val="20"/>
                <w:szCs w:val="20"/>
                <w:color w:val="auto"/>
              </w:rPr>
            </w:pPr>
            <w:r>
              <w:rPr>
                <w:rFonts w:ascii="Arial" w:cs="Arial" w:eastAsia="Arial" w:hAnsi="Arial"/>
                <w:sz w:val="18"/>
                <w:szCs w:val="18"/>
                <w:color w:val="auto"/>
                <w:w w:val="89"/>
              </w:rPr>
              <w:t>4.3 years</w:t>
            </w:r>
          </w:p>
        </w:tc>
        <w:tc>
          <w:tcPr>
            <w:tcW w:w="1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160,852</w:t>
            </w:r>
          </w:p>
        </w:tc>
        <w:tc>
          <w:tcPr>
            <w:tcW w:w="24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35,987</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0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Gross carrying value of intangible assets</w:t>
            </w:r>
          </w:p>
        </w:tc>
        <w:tc>
          <w:tcPr>
            <w:tcW w:w="10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9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613,915</w:t>
            </w:r>
          </w:p>
        </w:tc>
        <w:tc>
          <w:tcPr>
            <w:tcW w:w="1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145,702</w:t>
            </w:r>
          </w:p>
        </w:tc>
        <w:tc>
          <w:tcPr>
            <w:tcW w:w="300" w:type="dxa"/>
            <w:vAlign w:val="bottom"/>
            <w:tcBorders>
              <w:bottom w:val="single" w:sz="8" w:color="CFF0FC"/>
            </w:tcBorders>
            <w:shd w:val="clear" w:color="auto" w:fill="CFF0FC"/>
          </w:tcPr>
          <w:p>
            <w:pPr>
              <w:spacing w:after="0"/>
              <w:rPr>
                <w:sz w:val="19"/>
                <w:szCs w:val="19"/>
                <w:color w:val="auto"/>
              </w:rPr>
            </w:pPr>
          </w:p>
        </w:tc>
        <w:tc>
          <w:tcPr>
            <w:tcW w:w="10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9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614,022</w:t>
            </w:r>
          </w:p>
        </w:tc>
        <w:tc>
          <w:tcPr>
            <w:tcW w:w="2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99,480</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00" w:type="dxa"/>
            <w:vAlign w:val="bottom"/>
            <w:gridSpan w:val="2"/>
            <w:vMerge w:val="restart"/>
          </w:tcPr>
          <w:p>
            <w:pPr>
              <w:spacing w:after="0"/>
              <w:rPr>
                <w:sz w:val="20"/>
                <w:szCs w:val="20"/>
                <w:color w:val="auto"/>
              </w:rPr>
            </w:pPr>
            <w:r>
              <w:rPr>
                <w:rFonts w:ascii="Arial" w:cs="Arial" w:eastAsia="Arial" w:hAnsi="Arial"/>
                <w:sz w:val="18"/>
                <w:szCs w:val="18"/>
                <w:color w:val="auto"/>
              </w:rPr>
              <w:t>Less: accumulated amortization</w:t>
            </w: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(145,702)</w:t>
            </w: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(99,480)</w:t>
            </w: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800" w:type="dxa"/>
            <w:vAlign w:val="bottom"/>
            <w:gridSpan w:val="2"/>
            <w:vMerge w:val="continue"/>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800" w:type="dxa"/>
            <w:vAlign w:val="bottom"/>
            <w:tcBorders>
              <w:top w:val="single" w:sz="8" w:color="CFF0FC"/>
              <w:bottom w:val="single" w:sz="8" w:color="CFF0FC"/>
            </w:tcBorders>
            <w:gridSpan w:val="2"/>
            <w:shd w:val="clear" w:color="auto" w:fill="CFF0FC"/>
          </w:tcPr>
          <w:p>
            <w:pPr>
              <w:ind w:left="140"/>
              <w:spacing w:after="0"/>
              <w:rPr>
                <w:sz w:val="20"/>
                <w:szCs w:val="20"/>
                <w:color w:val="auto"/>
              </w:rPr>
            </w:pPr>
            <w:r>
              <w:rPr>
                <w:rFonts w:ascii="Arial" w:cs="Arial" w:eastAsia="Arial" w:hAnsi="Arial"/>
                <w:sz w:val="18"/>
                <w:szCs w:val="18"/>
                <w:color w:val="auto"/>
              </w:rPr>
              <w:t>Intangible assets, net</w:t>
            </w:r>
          </w:p>
        </w:tc>
        <w:tc>
          <w:tcPr>
            <w:tcW w:w="104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468,213</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00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104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6"/>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514,542</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9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firstLine="815"/>
        <w:spacing w:after="0" w:line="277" w:lineRule="auto"/>
        <w:rPr>
          <w:sz w:val="20"/>
          <w:szCs w:val="20"/>
          <w:color w:val="auto"/>
        </w:rPr>
      </w:pPr>
      <w:r>
        <w:rPr>
          <w:rFonts w:ascii="Arial" w:cs="Arial" w:eastAsia="Arial" w:hAnsi="Arial"/>
          <w:sz w:val="18"/>
          <w:szCs w:val="18"/>
          <w:color w:val="auto"/>
        </w:rPr>
        <w:t>Amortization expense was $23.1 million and $22.2 million for the three months ended June 30, 2019 and 2018, respectively, and was $46.3 million and $34.5 million for the six months ended June 30, 2019 and 2018, respectively.</w:t>
      </w:r>
    </w:p>
    <w:p>
      <w:pPr>
        <w:spacing w:after="0" w:line="197" w:lineRule="exact"/>
        <w:rPr>
          <w:sz w:val="20"/>
          <w:szCs w:val="20"/>
          <w:color w:val="auto"/>
        </w:rPr>
      </w:pPr>
    </w:p>
    <w:p>
      <w:pPr>
        <w:ind w:left="820"/>
        <w:spacing w:after="0"/>
        <w:rPr>
          <w:sz w:val="20"/>
          <w:szCs w:val="20"/>
          <w:color w:val="auto"/>
        </w:rPr>
      </w:pPr>
      <w:r>
        <w:rPr>
          <w:rFonts w:ascii="Arial" w:cs="Arial" w:eastAsia="Arial" w:hAnsi="Arial"/>
          <w:sz w:val="18"/>
          <w:szCs w:val="18"/>
          <w:color w:val="auto"/>
        </w:rPr>
        <w:t>Estimated amortization expense in future years is expected to be:</w:t>
      </w: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720" w:type="dxa"/>
            <w:vAlign w:val="bottom"/>
            <w:gridSpan w:val="3"/>
          </w:tcPr>
          <w:p>
            <w:pPr>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thousands)</w:t>
            </w:r>
          </w:p>
        </w:tc>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97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Remainder of 2019</w:t>
            </w:r>
          </w:p>
        </w:tc>
        <w:tc>
          <w:tcPr>
            <w:tcW w:w="540" w:type="dxa"/>
            <w:vAlign w:val="bottom"/>
            <w:gridSpan w:val="2"/>
            <w:shd w:val="clear" w:color="auto" w:fill="CFF0FC"/>
          </w:tcPr>
          <w:p>
            <w:pPr>
              <w:jc w:val="right"/>
              <w:ind w:right="410"/>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46,096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80" w:type="dxa"/>
            <w:vAlign w:val="bottom"/>
          </w:tcPr>
          <w:p>
            <w:pPr>
              <w:spacing w:after="0"/>
              <w:rPr>
                <w:sz w:val="20"/>
                <w:szCs w:val="20"/>
                <w:color w:val="auto"/>
              </w:rPr>
            </w:pPr>
            <w:r>
              <w:rPr>
                <w:rFonts w:ascii="Arial" w:cs="Arial" w:eastAsia="Arial" w:hAnsi="Arial"/>
                <w:sz w:val="18"/>
                <w:szCs w:val="18"/>
                <w:color w:val="auto"/>
              </w:rPr>
              <w:t>2020</w:t>
            </w:r>
          </w:p>
        </w:tc>
        <w:tc>
          <w:tcPr>
            <w:tcW w:w="8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92,193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80" w:type="dxa"/>
            <w:vAlign w:val="bottom"/>
            <w:shd w:val="clear" w:color="auto" w:fill="CFF0FC"/>
          </w:tcPr>
          <w:p>
            <w:pPr>
              <w:spacing w:after="0"/>
              <w:rPr>
                <w:sz w:val="20"/>
                <w:szCs w:val="20"/>
                <w:color w:val="auto"/>
              </w:rPr>
            </w:pPr>
            <w:r>
              <w:rPr>
                <w:rFonts w:ascii="Arial" w:cs="Arial" w:eastAsia="Arial" w:hAnsi="Arial"/>
                <w:sz w:val="18"/>
                <w:szCs w:val="18"/>
                <w:color w:val="auto"/>
              </w:rPr>
              <w:t>2021</w:t>
            </w:r>
          </w:p>
        </w:tc>
        <w:tc>
          <w:tcPr>
            <w:tcW w:w="87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83,902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80" w:type="dxa"/>
            <w:vAlign w:val="bottom"/>
          </w:tcPr>
          <w:p>
            <w:pPr>
              <w:spacing w:after="0"/>
              <w:rPr>
                <w:sz w:val="20"/>
                <w:szCs w:val="20"/>
                <w:color w:val="auto"/>
              </w:rPr>
            </w:pPr>
            <w:r>
              <w:rPr>
                <w:rFonts w:ascii="Arial" w:cs="Arial" w:eastAsia="Arial" w:hAnsi="Arial"/>
                <w:sz w:val="18"/>
                <w:szCs w:val="18"/>
                <w:color w:val="auto"/>
              </w:rPr>
              <w:t>2022</w:t>
            </w:r>
          </w:p>
        </w:tc>
        <w:tc>
          <w:tcPr>
            <w:tcW w:w="8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79,186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8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87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50,755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80" w:type="dxa"/>
            <w:vAlign w:val="bottom"/>
          </w:tcPr>
          <w:p>
            <w:pPr>
              <w:spacing w:after="0"/>
              <w:rPr>
                <w:sz w:val="20"/>
                <w:szCs w:val="20"/>
                <w:color w:val="auto"/>
              </w:rPr>
            </w:pPr>
            <w:r>
              <w:rPr>
                <w:rFonts w:ascii="Arial" w:cs="Arial" w:eastAsia="Arial" w:hAnsi="Arial"/>
                <w:sz w:val="18"/>
                <w:szCs w:val="18"/>
                <w:color w:val="auto"/>
              </w:rPr>
              <w:t>2024</w:t>
            </w:r>
          </w:p>
        </w:tc>
        <w:tc>
          <w:tcPr>
            <w:tcW w:w="8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40,265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7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Thereafter</w:t>
            </w:r>
          </w:p>
        </w:tc>
        <w:tc>
          <w:tcPr>
            <w:tcW w:w="20" w:type="dxa"/>
            <w:vAlign w:val="bottom"/>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75,816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700" w:type="dxa"/>
            <w:vAlign w:val="bottom"/>
            <w:gridSpan w:val="2"/>
          </w:tcPr>
          <w:p>
            <w:pPr>
              <w:ind w:left="12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ind w:right="410"/>
              <w:spacing w:after="0"/>
              <w:rPr>
                <w:sz w:val="20"/>
                <w:szCs w:val="20"/>
                <w:color w:val="auto"/>
              </w:rPr>
            </w:pPr>
            <w:r>
              <w:rPr>
                <w:rFonts w:ascii="Arial" w:cs="Arial" w:eastAsia="Arial" w:hAnsi="Arial"/>
                <w:sz w:val="10"/>
                <w:szCs w:val="10"/>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468,213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left="420" w:hanging="412"/>
        <w:spacing w:after="0"/>
        <w:tabs>
          <w:tab w:leader="none" w:pos="42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Impairment of Property and Equipment</w:t>
      </w:r>
    </w:p>
    <w:p>
      <w:pPr>
        <w:spacing w:after="0" w:line="256" w:lineRule="exact"/>
        <w:rPr>
          <w:sz w:val="20"/>
          <w:szCs w:val="20"/>
          <w:color w:val="auto"/>
        </w:rPr>
      </w:pPr>
    </w:p>
    <w:p>
      <w:pPr>
        <w:jc w:val="both"/>
        <w:ind w:firstLine="555"/>
        <w:spacing w:after="0" w:line="279" w:lineRule="auto"/>
        <w:rPr>
          <w:sz w:val="20"/>
          <w:szCs w:val="20"/>
          <w:color w:val="auto"/>
        </w:rPr>
      </w:pPr>
      <w:r>
        <w:rPr>
          <w:rFonts w:ascii="Arial" w:cs="Arial" w:eastAsia="Arial" w:hAnsi="Arial"/>
          <w:sz w:val="17"/>
          <w:szCs w:val="17"/>
          <w:color w:val="auto"/>
        </w:rPr>
        <w:t>The Company reviews its long-lived assets for impairment whenever events or circumstances indicate that the carrying value of an asset may not be fully recoverable. The Company assesses recoverability by comparing the estimated undiscounted future cash flows expected to be generated by the assets with their carrying value. If the carrying value of the assets exceeds the estimated undiscounted future cash flows expected to be generated by the assets, an impairment loss is recognized for the difference between the estimated fair value of the assets and their carrying value.</w:t>
      </w:r>
    </w:p>
    <w:p>
      <w:pPr>
        <w:spacing w:after="0" w:line="198" w:lineRule="exact"/>
        <w:rPr>
          <w:sz w:val="20"/>
          <w:szCs w:val="20"/>
          <w:color w:val="auto"/>
        </w:rPr>
      </w:pPr>
    </w:p>
    <w:p>
      <w:pPr>
        <w:jc w:val="both"/>
        <w:ind w:firstLine="555"/>
        <w:spacing w:after="0" w:line="257" w:lineRule="auto"/>
        <w:rPr>
          <w:sz w:val="20"/>
          <w:szCs w:val="20"/>
          <w:color w:val="auto"/>
        </w:rPr>
      </w:pPr>
      <w:r>
        <w:rPr>
          <w:rFonts w:ascii="Arial" w:cs="Arial" w:eastAsia="Arial" w:hAnsi="Arial"/>
          <w:sz w:val="18"/>
          <w:szCs w:val="18"/>
          <w:color w:val="auto"/>
        </w:rPr>
        <w:t>The state of Texas passed legislation as of June 1, 2019 to ban red-light photo enforcement programs across the state, with certain carve-outs for some existing programs. The Company considered this event an indicator for potential impairment and, as such, evaluated the recoverability of property and equipment used in the operations of red-light photo enforcement programs in Texas. As a result, the Company recognized an impairment charge in the Government Solutions segment of $5.9 million for the three and six months ended June 30, 2019, which is included in impairment of property and equipment in the condensed consolidated statements of operations.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17" w:name="page18"/>
    <w:bookmarkEnd w:id="1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2" w:lineRule="exact"/>
        <w:rPr>
          <w:sz w:val="20"/>
          <w:szCs w:val="20"/>
          <w:color w:val="auto"/>
        </w:rPr>
      </w:pPr>
    </w:p>
    <w:p>
      <w:pPr>
        <w:ind w:left="420" w:hanging="412"/>
        <w:spacing w:after="0"/>
        <w:tabs>
          <w:tab w:leader="none" w:pos="42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Accrued Liabilities</w:t>
      </w:r>
    </w:p>
    <w:p>
      <w:pPr>
        <w:spacing w:after="0" w:line="176" w:lineRule="exact"/>
        <w:rPr>
          <w:sz w:val="20"/>
          <w:szCs w:val="20"/>
          <w:color w:val="auto"/>
        </w:rPr>
      </w:pPr>
    </w:p>
    <w:p>
      <w:pPr>
        <w:ind w:left="820"/>
        <w:spacing w:after="0"/>
        <w:rPr>
          <w:sz w:val="20"/>
          <w:szCs w:val="20"/>
          <w:color w:val="auto"/>
        </w:rPr>
      </w:pPr>
      <w:r>
        <w:rPr>
          <w:rFonts w:ascii="Arial" w:cs="Arial" w:eastAsia="Arial" w:hAnsi="Arial"/>
          <w:sz w:val="18"/>
          <w:szCs w:val="18"/>
          <w:color w:val="auto"/>
        </w:rPr>
        <w:t>Accrued liabilities consist of the following at:</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0" w:type="dxa"/>
            <w:vAlign w:val="bottom"/>
            <w:gridSpan w:val="2"/>
            <w:vMerge w:val="restart"/>
          </w:tcPr>
          <w:p>
            <w:pPr>
              <w:spacing w:after="0"/>
              <w:rPr>
                <w:sz w:val="20"/>
                <w:szCs w:val="20"/>
                <w:color w:val="auto"/>
              </w:rPr>
            </w:pPr>
            <w:r>
              <w:rPr>
                <w:rFonts w:ascii="Arial" w:cs="Arial" w:eastAsia="Arial" w:hAnsi="Arial"/>
                <w:sz w:val="14"/>
                <w:szCs w:val="14"/>
                <w:b w:val="1"/>
                <w:bCs w:val="1"/>
                <w:u w:val="single" w:color="auto"/>
                <w:color w:val="auto"/>
                <w:w w:val="90"/>
              </w:rPr>
              <w:t>(</w:t>
            </w:r>
            <w:r>
              <w:rPr>
                <w:rFonts w:ascii="Arial" w:cs="Arial" w:eastAsia="Arial" w:hAnsi="Arial"/>
                <w:sz w:val="14"/>
                <w:szCs w:val="14"/>
                <w:b w:val="1"/>
                <w:bCs w:val="1"/>
                <w:color w:val="auto"/>
                <w:w w:val="90"/>
              </w:rPr>
              <w:t>$ in thousands)</w:t>
            </w:r>
          </w:p>
        </w:tc>
        <w:tc>
          <w:tcPr>
            <w:tcW w:w="6140" w:type="dxa"/>
            <w:vAlign w:val="bottom"/>
            <w:vMerge w:val="restart"/>
          </w:tcPr>
          <w:p>
            <w:pPr>
              <w:spacing w:after="0"/>
              <w:rPr>
                <w:sz w:val="14"/>
                <w:szCs w:val="14"/>
                <w:color w:val="auto"/>
              </w:rPr>
            </w:pPr>
          </w:p>
        </w:tc>
        <w:tc>
          <w:tcPr>
            <w:tcW w:w="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4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92"/>
              </w:rPr>
              <w:t>June 30,</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8"/>
        </w:trPr>
        <w:tc>
          <w:tcPr>
            <w:tcW w:w="1000" w:type="dxa"/>
            <w:vAlign w:val="bottom"/>
            <w:tcBorders>
              <w:bottom w:val="single" w:sz="8" w:color="auto"/>
            </w:tcBorders>
            <w:gridSpan w:val="2"/>
            <w:vMerge w:val="continue"/>
          </w:tcPr>
          <w:p>
            <w:pPr>
              <w:spacing w:after="0"/>
              <w:rPr>
                <w:sz w:val="15"/>
                <w:szCs w:val="15"/>
                <w:color w:val="auto"/>
              </w:rPr>
            </w:pPr>
          </w:p>
        </w:tc>
        <w:tc>
          <w:tcPr>
            <w:tcW w:w="6140" w:type="dxa"/>
            <w:vAlign w:val="bottom"/>
            <w:vMerge w:val="continue"/>
          </w:tcPr>
          <w:p>
            <w:pPr>
              <w:spacing w:after="0"/>
              <w:rPr>
                <w:sz w:val="15"/>
                <w:szCs w:val="15"/>
                <w:color w:val="auto"/>
              </w:rPr>
            </w:pPr>
          </w:p>
        </w:tc>
        <w:tc>
          <w:tcPr>
            <w:tcW w:w="7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60" w:type="dxa"/>
            <w:vAlign w:val="bottom"/>
          </w:tcPr>
          <w:p>
            <w:pPr>
              <w:jc w:val="center"/>
              <w:ind w:right="253"/>
              <w:spacing w:after="0" w:line="158" w:lineRule="exact"/>
              <w:rPr>
                <w:sz w:val="20"/>
                <w:szCs w:val="20"/>
                <w:color w:val="auto"/>
              </w:rPr>
            </w:pPr>
            <w:r>
              <w:rPr>
                <w:rFonts w:ascii="Arial" w:cs="Arial" w:eastAsia="Arial" w:hAnsi="Arial"/>
                <w:sz w:val="14"/>
                <w:szCs w:val="14"/>
                <w:b w:val="1"/>
                <w:bCs w:val="1"/>
                <w:color w:val="auto"/>
                <w:w w:val="89"/>
              </w:rPr>
              <w:t>2019</w:t>
            </w: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tcPr>
          <w:p>
            <w:pPr>
              <w:jc w:val="center"/>
              <w:ind w:right="153"/>
              <w:spacing w:after="0" w:line="158" w:lineRule="exact"/>
              <w:rPr>
                <w:sz w:val="20"/>
                <w:szCs w:val="20"/>
                <w:color w:val="auto"/>
              </w:rPr>
            </w:pPr>
            <w:r>
              <w:rPr>
                <w:rFonts w:ascii="Arial" w:cs="Arial" w:eastAsia="Arial" w:hAnsi="Arial"/>
                <w:sz w:val="14"/>
                <w:szCs w:val="14"/>
                <w:b w:val="1"/>
                <w:bCs w:val="1"/>
                <w:color w:val="auto"/>
                <w:w w:val="89"/>
              </w:rPr>
              <w:t>2018</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7140" w:type="dxa"/>
            <w:vAlign w:val="bottom"/>
            <w:tcBorders>
              <w:top w:val="single" w:sz="8" w:color="CFF0FC"/>
            </w:tcBorders>
            <w:gridSpan w:val="3"/>
            <w:shd w:val="clear" w:color="auto" w:fill="CFF0FC"/>
          </w:tcPr>
          <w:p>
            <w:pPr>
              <w:spacing w:after="0"/>
              <w:rPr>
                <w:sz w:val="20"/>
                <w:szCs w:val="20"/>
                <w:color w:val="auto"/>
              </w:rPr>
            </w:pPr>
            <w:r>
              <w:rPr>
                <w:rFonts w:ascii="Arial" w:cs="Arial" w:eastAsia="Arial" w:hAnsi="Arial"/>
                <w:sz w:val="18"/>
                <w:szCs w:val="18"/>
                <w:color w:val="auto"/>
              </w:rPr>
              <w:t>Accrued salaries and wages</w:t>
            </w:r>
          </w:p>
        </w:tc>
        <w:tc>
          <w:tcPr>
            <w:tcW w:w="720" w:type="dxa"/>
            <w:vAlign w:val="bottom"/>
            <w:tcBorders>
              <w:top w:val="single" w:sz="8" w:color="CFF0FC"/>
            </w:tcBorders>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7,025</w:t>
            </w:r>
          </w:p>
        </w:tc>
        <w:tc>
          <w:tcPr>
            <w:tcW w:w="28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jc w:val="right"/>
              <w:ind w:right="90"/>
              <w:spacing w:after="0"/>
              <w:rPr>
                <w:sz w:val="20"/>
                <w:szCs w:val="20"/>
                <w:color w:val="auto"/>
              </w:rPr>
            </w:pPr>
            <w:r>
              <w:rPr>
                <w:rFonts w:ascii="Arial" w:cs="Arial" w:eastAsia="Arial" w:hAnsi="Arial"/>
                <w:sz w:val="10"/>
                <w:szCs w:val="10"/>
                <w:color w:val="auto"/>
                <w:w w:val="71"/>
              </w:rPr>
              <w:t>$</w:t>
            </w: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8,340</w:t>
            </w: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140" w:type="dxa"/>
            <w:vAlign w:val="bottom"/>
            <w:gridSpan w:val="3"/>
          </w:tcPr>
          <w:p>
            <w:pPr>
              <w:spacing w:after="0"/>
              <w:rPr>
                <w:sz w:val="20"/>
                <w:szCs w:val="20"/>
                <w:color w:val="auto"/>
              </w:rPr>
            </w:pPr>
            <w:r>
              <w:rPr>
                <w:rFonts w:ascii="Arial" w:cs="Arial" w:eastAsia="Arial" w:hAnsi="Arial"/>
                <w:sz w:val="18"/>
                <w:szCs w:val="18"/>
                <w:color w:val="auto"/>
              </w:rPr>
              <w:t>Restricted cash due to customers</w:t>
            </w:r>
          </w:p>
        </w:tc>
        <w:tc>
          <w:tcPr>
            <w:tcW w:w="7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1,743</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2,033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4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Income taxes payable</w:t>
            </w:r>
          </w:p>
        </w:tc>
        <w:tc>
          <w:tcPr>
            <w:tcW w:w="7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190</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40" w:type="dxa"/>
            <w:vAlign w:val="bottom"/>
            <w:gridSpan w:val="3"/>
          </w:tcPr>
          <w:p>
            <w:pPr>
              <w:spacing w:after="0"/>
              <w:rPr>
                <w:sz w:val="20"/>
                <w:szCs w:val="20"/>
                <w:color w:val="auto"/>
              </w:rPr>
            </w:pPr>
            <w:r>
              <w:rPr>
                <w:rFonts w:ascii="Arial" w:cs="Arial" w:eastAsia="Arial" w:hAnsi="Arial"/>
                <w:sz w:val="18"/>
                <w:szCs w:val="18"/>
                <w:color w:val="auto"/>
              </w:rPr>
              <w:t>Accrued interest payable</w:t>
            </w:r>
          </w:p>
        </w:tc>
        <w:tc>
          <w:tcPr>
            <w:tcW w:w="7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533</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232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4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Advanced deposits payable</w:t>
            </w:r>
          </w:p>
        </w:tc>
        <w:tc>
          <w:tcPr>
            <w:tcW w:w="7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501</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40" w:type="dxa"/>
            <w:vAlign w:val="bottom"/>
            <w:gridSpan w:val="3"/>
          </w:tcPr>
          <w:p>
            <w:pPr>
              <w:spacing w:after="0"/>
              <w:rPr>
                <w:sz w:val="20"/>
                <w:szCs w:val="20"/>
                <w:color w:val="auto"/>
              </w:rPr>
            </w:pPr>
            <w:r>
              <w:rPr>
                <w:rFonts w:ascii="Arial" w:cs="Arial" w:eastAsia="Arial" w:hAnsi="Arial"/>
                <w:sz w:val="18"/>
                <w:szCs w:val="18"/>
                <w:color w:val="auto"/>
              </w:rPr>
              <w:t>Gores equity infusion working capital adjustment payable to related party</w:t>
            </w:r>
          </w:p>
        </w:tc>
        <w:tc>
          <w:tcPr>
            <w:tcW w:w="7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6,205</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14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Current portion of related party TRA liability</w:t>
            </w:r>
          </w:p>
        </w:tc>
        <w:tc>
          <w:tcPr>
            <w:tcW w:w="7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914</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140" w:type="dxa"/>
            <w:vAlign w:val="bottom"/>
            <w:gridSpan w:val="3"/>
          </w:tcPr>
          <w:p>
            <w:pPr>
              <w:spacing w:after="0"/>
              <w:rPr>
                <w:sz w:val="20"/>
                <w:szCs w:val="20"/>
                <w:color w:val="auto"/>
              </w:rPr>
            </w:pPr>
            <w:r>
              <w:rPr>
                <w:rFonts w:ascii="Arial" w:cs="Arial" w:eastAsia="Arial" w:hAnsi="Arial"/>
                <w:sz w:val="18"/>
                <w:szCs w:val="18"/>
                <w:color w:val="auto"/>
              </w:rPr>
              <w:t>Deferred rent</w:t>
            </w:r>
          </w:p>
        </w:tc>
        <w:tc>
          <w:tcPr>
            <w:tcW w:w="7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428</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523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4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Accrued sales commissions</w:t>
            </w:r>
          </w:p>
        </w:tc>
        <w:tc>
          <w:tcPr>
            <w:tcW w:w="7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431</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40" w:type="dxa"/>
            <w:vAlign w:val="bottom"/>
            <w:gridSpan w:val="3"/>
          </w:tcPr>
          <w:p>
            <w:pPr>
              <w:spacing w:after="0"/>
              <w:rPr>
                <w:sz w:val="20"/>
                <w:szCs w:val="20"/>
                <w:color w:val="auto"/>
              </w:rPr>
            </w:pPr>
            <w:r>
              <w:rPr>
                <w:rFonts w:ascii="Arial" w:cs="Arial" w:eastAsia="Arial" w:hAnsi="Arial"/>
                <w:sz w:val="18"/>
                <w:szCs w:val="18"/>
                <w:color w:val="auto"/>
              </w:rPr>
              <w:t>Accrued self-insurance liability</w:t>
            </w:r>
          </w:p>
        </w:tc>
        <w:tc>
          <w:tcPr>
            <w:tcW w:w="7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1,203</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423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4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Other</w:t>
            </w:r>
          </w:p>
        </w:tc>
        <w:tc>
          <w:tcPr>
            <w:tcW w:w="72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1,122</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140" w:type="dxa"/>
            <w:vAlign w:val="bottom"/>
            <w:gridSpan w:val="3"/>
          </w:tcPr>
          <w:p>
            <w:pPr>
              <w:ind w:left="140"/>
              <w:spacing w:after="0"/>
              <w:rPr>
                <w:sz w:val="20"/>
                <w:szCs w:val="20"/>
                <w:color w:val="auto"/>
              </w:rPr>
            </w:pPr>
            <w:r>
              <w:rPr>
                <w:rFonts w:ascii="Arial" w:cs="Arial" w:eastAsia="Arial" w:hAnsi="Arial"/>
                <w:sz w:val="18"/>
                <w:szCs w:val="18"/>
                <w:color w:val="auto"/>
              </w:rPr>
              <w:t>Total accrued liabilities</w:t>
            </w:r>
          </w:p>
        </w:tc>
        <w:tc>
          <w:tcPr>
            <w:tcW w:w="7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20,295</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bottom w:val="single" w:sz="8" w:color="auto"/>
            </w:tcBorders>
          </w:tcPr>
          <w:p>
            <w:pPr>
              <w:jc w:val="right"/>
              <w:ind w:right="90"/>
              <w:spacing w:after="0"/>
              <w:rPr>
                <w:sz w:val="20"/>
                <w:szCs w:val="20"/>
                <w:color w:val="auto"/>
              </w:rPr>
            </w:pPr>
            <w:r>
              <w:rPr>
                <w:rFonts w:ascii="Arial" w:cs="Arial" w:eastAsia="Arial" w:hAnsi="Arial"/>
                <w:sz w:val="10"/>
                <w:szCs w:val="10"/>
                <w:color w:val="auto"/>
                <w:w w:val="71"/>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14,444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0" w:type="dxa"/>
            <w:vAlign w:val="bottom"/>
            <w:vMerge w:val="restart"/>
          </w:tcPr>
          <w:p>
            <w:pPr>
              <w:spacing w:after="0"/>
              <w:rPr>
                <w:sz w:val="20"/>
                <w:szCs w:val="20"/>
                <w:color w:val="auto"/>
              </w:rPr>
            </w:pPr>
            <w:r>
              <w:rPr>
                <w:rFonts w:ascii="Arial" w:cs="Arial" w:eastAsia="Arial" w:hAnsi="Arial"/>
                <w:sz w:val="18"/>
                <w:szCs w:val="18"/>
                <w:b w:val="1"/>
                <w:bCs w:val="1"/>
                <w:color w:val="auto"/>
              </w:rPr>
              <w:t>8.</w:t>
            </w:r>
          </w:p>
        </w:tc>
        <w:tc>
          <w:tcPr>
            <w:tcW w:w="6940" w:type="dxa"/>
            <w:vAlign w:val="bottom"/>
            <w:gridSpan w:val="2"/>
            <w:vMerge w:val="restart"/>
          </w:tcPr>
          <w:p>
            <w:pPr>
              <w:ind w:left="220"/>
              <w:spacing w:after="0"/>
              <w:rPr>
                <w:sz w:val="20"/>
                <w:szCs w:val="20"/>
                <w:color w:val="auto"/>
              </w:rPr>
            </w:pPr>
            <w:r>
              <w:rPr>
                <w:rFonts w:ascii="Arial" w:cs="Arial" w:eastAsia="Arial" w:hAnsi="Arial"/>
                <w:sz w:val="18"/>
                <w:szCs w:val="18"/>
                <w:b w:val="1"/>
                <w:bCs w:val="1"/>
                <w:color w:val="auto"/>
              </w:rPr>
              <w:t>Debt</w:t>
            </w:r>
          </w:p>
        </w:tc>
        <w:tc>
          <w:tcPr>
            <w:tcW w:w="7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200" w:type="dxa"/>
            <w:vAlign w:val="bottom"/>
            <w:vMerge w:val="continue"/>
          </w:tcPr>
          <w:p>
            <w:pPr>
              <w:spacing w:after="0"/>
              <w:rPr>
                <w:sz w:val="24"/>
                <w:szCs w:val="24"/>
                <w:color w:val="auto"/>
              </w:rPr>
            </w:pPr>
          </w:p>
        </w:tc>
        <w:tc>
          <w:tcPr>
            <w:tcW w:w="6940" w:type="dxa"/>
            <w:vAlign w:val="bottom"/>
            <w:gridSpan w:val="2"/>
            <w:vMerge w:val="continue"/>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200" w:type="dxa"/>
            <w:vAlign w:val="bottom"/>
          </w:tcPr>
          <w:p>
            <w:pPr>
              <w:spacing w:after="0"/>
              <w:rPr>
                <w:sz w:val="24"/>
                <w:szCs w:val="24"/>
                <w:color w:val="auto"/>
              </w:rPr>
            </w:pPr>
          </w:p>
        </w:tc>
        <w:tc>
          <w:tcPr>
            <w:tcW w:w="6940" w:type="dxa"/>
            <w:vAlign w:val="bottom"/>
            <w:gridSpan w:val="2"/>
          </w:tcPr>
          <w:p>
            <w:pPr>
              <w:ind w:left="620"/>
              <w:spacing w:after="0"/>
              <w:rPr>
                <w:sz w:val="20"/>
                <w:szCs w:val="20"/>
                <w:color w:val="auto"/>
              </w:rPr>
            </w:pPr>
            <w:r>
              <w:rPr>
                <w:rFonts w:ascii="Arial" w:cs="Arial" w:eastAsia="Arial" w:hAnsi="Arial"/>
                <w:sz w:val="18"/>
                <w:szCs w:val="18"/>
                <w:color w:val="auto"/>
              </w:rPr>
              <w:t>The following table provides a summary of the Company’s long-term debt at:</w:t>
            </w: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2"/>
        </w:trPr>
        <w:tc>
          <w:tcPr>
            <w:tcW w:w="1000" w:type="dxa"/>
            <w:vAlign w:val="bottom"/>
            <w:gridSpan w:val="2"/>
            <w:vMerge w:val="restart"/>
          </w:tcPr>
          <w:p>
            <w:pPr>
              <w:spacing w:after="0"/>
              <w:rPr>
                <w:sz w:val="20"/>
                <w:szCs w:val="20"/>
                <w:color w:val="auto"/>
              </w:rPr>
            </w:pPr>
            <w:r>
              <w:rPr>
                <w:rFonts w:ascii="Arial" w:cs="Arial" w:eastAsia="Arial" w:hAnsi="Arial"/>
                <w:sz w:val="14"/>
                <w:szCs w:val="14"/>
                <w:b w:val="1"/>
                <w:bCs w:val="1"/>
                <w:u w:val="single" w:color="auto"/>
                <w:color w:val="auto"/>
                <w:w w:val="90"/>
              </w:rPr>
              <w:t>(</w:t>
            </w:r>
            <w:r>
              <w:rPr>
                <w:rFonts w:ascii="Arial" w:cs="Arial" w:eastAsia="Arial" w:hAnsi="Arial"/>
                <w:sz w:val="14"/>
                <w:szCs w:val="14"/>
                <w:b w:val="1"/>
                <w:bCs w:val="1"/>
                <w:color w:val="auto"/>
                <w:w w:val="90"/>
              </w:rPr>
              <w:t>$ in thousands)</w:t>
            </w:r>
          </w:p>
        </w:tc>
        <w:tc>
          <w:tcPr>
            <w:tcW w:w="6140" w:type="dxa"/>
            <w:vAlign w:val="bottom"/>
            <w:vMerge w:val="restart"/>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4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92"/>
              </w:rPr>
              <w:t>June 30,</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8"/>
        </w:trPr>
        <w:tc>
          <w:tcPr>
            <w:tcW w:w="1000" w:type="dxa"/>
            <w:vAlign w:val="bottom"/>
            <w:tcBorders>
              <w:bottom w:val="single" w:sz="8" w:color="auto"/>
            </w:tcBorders>
            <w:gridSpan w:val="2"/>
            <w:vMerge w:val="continue"/>
          </w:tcPr>
          <w:p>
            <w:pPr>
              <w:spacing w:after="0"/>
              <w:rPr>
                <w:sz w:val="15"/>
                <w:szCs w:val="15"/>
                <w:color w:val="auto"/>
              </w:rPr>
            </w:pPr>
          </w:p>
        </w:tc>
        <w:tc>
          <w:tcPr>
            <w:tcW w:w="6140" w:type="dxa"/>
            <w:vAlign w:val="bottom"/>
            <w:vMerge w:val="continue"/>
          </w:tcPr>
          <w:p>
            <w:pPr>
              <w:spacing w:after="0"/>
              <w:rPr>
                <w:sz w:val="15"/>
                <w:szCs w:val="15"/>
                <w:color w:val="auto"/>
              </w:rPr>
            </w:pPr>
          </w:p>
        </w:tc>
        <w:tc>
          <w:tcPr>
            <w:tcW w:w="7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60" w:type="dxa"/>
            <w:vAlign w:val="bottom"/>
          </w:tcPr>
          <w:p>
            <w:pPr>
              <w:jc w:val="center"/>
              <w:ind w:right="253"/>
              <w:spacing w:after="0" w:line="158" w:lineRule="exact"/>
              <w:rPr>
                <w:sz w:val="20"/>
                <w:szCs w:val="20"/>
                <w:color w:val="auto"/>
              </w:rPr>
            </w:pPr>
            <w:r>
              <w:rPr>
                <w:rFonts w:ascii="Arial" w:cs="Arial" w:eastAsia="Arial" w:hAnsi="Arial"/>
                <w:sz w:val="14"/>
                <w:szCs w:val="14"/>
                <w:b w:val="1"/>
                <w:bCs w:val="1"/>
                <w:color w:val="auto"/>
                <w:w w:val="89"/>
              </w:rPr>
              <w:t>2019</w:t>
            </w: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tcPr>
          <w:p>
            <w:pPr>
              <w:jc w:val="center"/>
              <w:ind w:right="153"/>
              <w:spacing w:after="0" w:line="158" w:lineRule="exact"/>
              <w:rPr>
                <w:sz w:val="20"/>
                <w:szCs w:val="20"/>
                <w:color w:val="auto"/>
              </w:rPr>
            </w:pPr>
            <w:r>
              <w:rPr>
                <w:rFonts w:ascii="Arial" w:cs="Arial" w:eastAsia="Arial" w:hAnsi="Arial"/>
                <w:sz w:val="14"/>
                <w:szCs w:val="14"/>
                <w:b w:val="1"/>
                <w:bCs w:val="1"/>
                <w:color w:val="auto"/>
                <w:w w:val="89"/>
              </w:rPr>
              <w:t>2018</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7140" w:type="dxa"/>
            <w:vAlign w:val="bottom"/>
            <w:tcBorders>
              <w:top w:val="single" w:sz="8" w:color="CFF0FC"/>
            </w:tcBorders>
            <w:gridSpan w:val="3"/>
            <w:shd w:val="clear" w:color="auto" w:fill="CFF0FC"/>
          </w:tcPr>
          <w:p>
            <w:pPr>
              <w:spacing w:after="0"/>
              <w:rPr>
                <w:sz w:val="20"/>
                <w:szCs w:val="20"/>
                <w:color w:val="auto"/>
              </w:rPr>
            </w:pPr>
            <w:r>
              <w:rPr>
                <w:rFonts w:ascii="Arial" w:cs="Arial" w:eastAsia="Arial" w:hAnsi="Arial"/>
                <w:sz w:val="18"/>
                <w:szCs w:val="18"/>
                <w:color w:val="auto"/>
              </w:rPr>
              <w:t>New First Lien Term Loan, due February 28, 2025</w:t>
            </w:r>
          </w:p>
        </w:tc>
        <w:tc>
          <w:tcPr>
            <w:tcW w:w="720" w:type="dxa"/>
            <w:vAlign w:val="bottom"/>
            <w:tcBorders>
              <w:top w:val="single" w:sz="8" w:color="CFF0FC"/>
            </w:tcBorders>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898,972</w:t>
            </w:r>
          </w:p>
        </w:tc>
        <w:tc>
          <w:tcPr>
            <w:tcW w:w="28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jc w:val="right"/>
              <w:ind w:right="90"/>
              <w:spacing w:after="0"/>
              <w:rPr>
                <w:sz w:val="20"/>
                <w:szCs w:val="20"/>
                <w:color w:val="auto"/>
              </w:rPr>
            </w:pPr>
            <w:r>
              <w:rPr>
                <w:rFonts w:ascii="Arial" w:cs="Arial" w:eastAsia="Arial" w:hAnsi="Arial"/>
                <w:sz w:val="10"/>
                <w:szCs w:val="10"/>
                <w:color w:val="auto"/>
                <w:w w:val="71"/>
              </w:rPr>
              <w:t>$</w:t>
            </w: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903,524</w:t>
            </w: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140" w:type="dxa"/>
            <w:vAlign w:val="bottom"/>
            <w:gridSpan w:val="3"/>
          </w:tcPr>
          <w:p>
            <w:pPr>
              <w:spacing w:after="0"/>
              <w:rPr>
                <w:sz w:val="20"/>
                <w:szCs w:val="20"/>
                <w:color w:val="auto"/>
              </w:rPr>
            </w:pPr>
            <w:r>
              <w:rPr>
                <w:rFonts w:ascii="Arial" w:cs="Arial" w:eastAsia="Arial" w:hAnsi="Arial"/>
                <w:sz w:val="18"/>
                <w:szCs w:val="18"/>
                <w:color w:val="auto"/>
              </w:rPr>
              <w:t>Less: original issue discounts</w:t>
            </w:r>
          </w:p>
        </w:tc>
        <w:tc>
          <w:tcPr>
            <w:tcW w:w="7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(5,260)</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gridSpan w:val="2"/>
          </w:tcPr>
          <w:p>
            <w:pPr>
              <w:jc w:val="right"/>
              <w:ind w:right="60"/>
              <w:spacing w:after="0"/>
              <w:rPr>
                <w:sz w:val="20"/>
                <w:szCs w:val="20"/>
                <w:color w:val="auto"/>
              </w:rPr>
            </w:pPr>
            <w:r>
              <w:rPr>
                <w:rFonts w:ascii="Arial" w:cs="Arial" w:eastAsia="Arial" w:hAnsi="Arial"/>
                <w:sz w:val="18"/>
                <w:szCs w:val="18"/>
                <w:color w:val="auto"/>
              </w:rPr>
              <w:t>(5,819)</w:t>
            </w:r>
          </w:p>
        </w:tc>
        <w:tc>
          <w:tcPr>
            <w:tcW w:w="0" w:type="dxa"/>
            <w:vAlign w:val="bottom"/>
          </w:tcPr>
          <w:p>
            <w:pPr>
              <w:spacing w:after="0"/>
              <w:rPr>
                <w:sz w:val="1"/>
                <w:szCs w:val="1"/>
                <w:color w:val="auto"/>
              </w:rPr>
            </w:pPr>
          </w:p>
        </w:tc>
      </w:tr>
      <w:tr>
        <w:trPr>
          <w:trHeight w:val="230"/>
        </w:trPr>
        <w:tc>
          <w:tcPr>
            <w:tcW w:w="714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Less: unamortized deferred financing costs</w:t>
            </w:r>
          </w:p>
        </w:tc>
        <w:tc>
          <w:tcPr>
            <w:tcW w:w="7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(25,475)</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(28,352)</w:t>
            </w:r>
          </w:p>
        </w:tc>
        <w:tc>
          <w:tcPr>
            <w:tcW w:w="0" w:type="dxa"/>
            <w:vAlign w:val="bottom"/>
          </w:tcPr>
          <w:p>
            <w:pPr>
              <w:spacing w:after="0"/>
              <w:rPr>
                <w:sz w:val="1"/>
                <w:szCs w:val="1"/>
                <w:color w:val="auto"/>
              </w:rPr>
            </w:pPr>
          </w:p>
        </w:tc>
      </w:tr>
      <w:tr>
        <w:trPr>
          <w:trHeight w:val="223"/>
        </w:trPr>
        <w:tc>
          <w:tcPr>
            <w:tcW w:w="7140" w:type="dxa"/>
            <w:vAlign w:val="bottom"/>
            <w:gridSpan w:val="3"/>
          </w:tcPr>
          <w:p>
            <w:pPr>
              <w:spacing w:after="0"/>
              <w:rPr>
                <w:sz w:val="20"/>
                <w:szCs w:val="20"/>
                <w:color w:val="auto"/>
              </w:rPr>
            </w:pPr>
            <w:r>
              <w:rPr>
                <w:rFonts w:ascii="Arial" w:cs="Arial" w:eastAsia="Arial" w:hAnsi="Arial"/>
                <w:sz w:val="18"/>
                <w:szCs w:val="18"/>
                <w:color w:val="auto"/>
              </w:rPr>
              <w:t>Total debt</w:t>
            </w:r>
          </w:p>
        </w:tc>
        <w:tc>
          <w:tcPr>
            <w:tcW w:w="7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868,237</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869,353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4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Less: Current portion of long-term debt</w:t>
            </w:r>
          </w:p>
        </w:tc>
        <w:tc>
          <w:tcPr>
            <w:tcW w:w="7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(9,104)</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(9,104)</w:t>
            </w:r>
          </w:p>
        </w:tc>
        <w:tc>
          <w:tcPr>
            <w:tcW w:w="0" w:type="dxa"/>
            <w:vAlign w:val="bottom"/>
          </w:tcPr>
          <w:p>
            <w:pPr>
              <w:spacing w:after="0"/>
              <w:rPr>
                <w:sz w:val="1"/>
                <w:szCs w:val="1"/>
                <w:color w:val="auto"/>
              </w:rPr>
            </w:pPr>
          </w:p>
        </w:tc>
      </w:tr>
      <w:tr>
        <w:trPr>
          <w:trHeight w:val="223"/>
        </w:trPr>
        <w:tc>
          <w:tcPr>
            <w:tcW w:w="200" w:type="dxa"/>
            <w:vAlign w:val="bottom"/>
          </w:tcPr>
          <w:p>
            <w:pPr>
              <w:spacing w:after="0"/>
              <w:rPr>
                <w:sz w:val="19"/>
                <w:szCs w:val="19"/>
                <w:color w:val="auto"/>
              </w:rPr>
            </w:pPr>
          </w:p>
        </w:tc>
        <w:tc>
          <w:tcPr>
            <w:tcW w:w="6940" w:type="dxa"/>
            <w:vAlign w:val="bottom"/>
            <w:gridSpan w:val="2"/>
          </w:tcPr>
          <w:p>
            <w:pPr>
              <w:ind w:left="60"/>
              <w:spacing w:after="0"/>
              <w:rPr>
                <w:sz w:val="20"/>
                <w:szCs w:val="20"/>
                <w:color w:val="auto"/>
              </w:rPr>
            </w:pPr>
            <w:r>
              <w:rPr>
                <w:rFonts w:ascii="Arial" w:cs="Arial" w:eastAsia="Arial" w:hAnsi="Arial"/>
                <w:sz w:val="18"/>
                <w:szCs w:val="18"/>
                <w:color w:val="auto"/>
              </w:rPr>
              <w:t>Total long-term debt, net of current portion</w:t>
            </w:r>
          </w:p>
        </w:tc>
        <w:tc>
          <w:tcPr>
            <w:tcW w:w="72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859,133</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0"/>
                <w:szCs w:val="10"/>
                <w:color w:val="auto"/>
                <w:w w:val="71"/>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860,249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firstLine="815"/>
        <w:spacing w:after="0" w:line="273" w:lineRule="auto"/>
        <w:rPr>
          <w:sz w:val="20"/>
          <w:szCs w:val="20"/>
          <w:color w:val="auto"/>
        </w:rPr>
      </w:pPr>
      <w:r>
        <w:rPr>
          <w:rFonts w:ascii="Arial" w:cs="Arial" w:eastAsia="Arial" w:hAnsi="Arial"/>
          <w:sz w:val="17"/>
          <w:szCs w:val="17"/>
          <w:color w:val="auto"/>
        </w:rPr>
        <w:t>In connection with the ATS Merger, ATS Consolidated, Inc., subsequently renamed VM Consolidated, Inc., a wholly owned subsidiary of the Company, entered into a First Lien Term Loan Credit Agreement (the “</w:t>
      </w:r>
      <w:r>
        <w:rPr>
          <w:rFonts w:ascii="Arial" w:cs="Arial" w:eastAsia="Arial" w:hAnsi="Arial"/>
          <w:sz w:val="17"/>
          <w:szCs w:val="17"/>
          <w:b w:val="1"/>
          <w:bCs w:val="1"/>
          <w:i w:val="1"/>
          <w:iCs w:val="1"/>
          <w:color w:val="auto"/>
        </w:rPr>
        <w:t>Old First Lien</w:t>
      </w:r>
      <w:r>
        <w:rPr>
          <w:rFonts w:ascii="Arial" w:cs="Arial" w:eastAsia="Arial" w:hAnsi="Arial"/>
          <w:sz w:val="17"/>
          <w:szCs w:val="17"/>
          <w:color w:val="auto"/>
        </w:rPr>
        <w:t>”), a Second Lien Term Loan Credit Agreement (the “</w:t>
      </w:r>
      <w:r>
        <w:rPr>
          <w:rFonts w:ascii="Arial" w:cs="Arial" w:eastAsia="Arial" w:hAnsi="Arial"/>
          <w:sz w:val="17"/>
          <w:szCs w:val="17"/>
          <w:b w:val="1"/>
          <w:bCs w:val="1"/>
          <w:i w:val="1"/>
          <w:iCs w:val="1"/>
          <w:color w:val="auto"/>
        </w:rPr>
        <w:t>Old Second</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Lien</w:t>
      </w:r>
      <w:r>
        <w:rPr>
          <w:rFonts w:ascii="Arial" w:cs="Arial" w:eastAsia="Arial" w:hAnsi="Arial"/>
          <w:sz w:val="17"/>
          <w:szCs w:val="17"/>
          <w:color w:val="auto"/>
        </w:rPr>
        <w:t>”), (collectively the “</w:t>
      </w:r>
      <w:r>
        <w:rPr>
          <w:rFonts w:ascii="Arial" w:cs="Arial" w:eastAsia="Arial" w:hAnsi="Arial"/>
          <w:sz w:val="17"/>
          <w:szCs w:val="17"/>
          <w:b w:val="1"/>
          <w:bCs w:val="1"/>
          <w:i w:val="1"/>
          <w:iCs w:val="1"/>
          <w:color w:val="auto"/>
        </w:rPr>
        <w:t>Old Term Loans</w:t>
      </w:r>
      <w:r>
        <w:rPr>
          <w:rFonts w:ascii="Arial" w:cs="Arial" w:eastAsia="Arial" w:hAnsi="Arial"/>
          <w:sz w:val="17"/>
          <w:szCs w:val="17"/>
          <w:color w:val="auto"/>
        </w:rPr>
        <w:t>”), and a Revolving Credit Agreement (the “</w:t>
      </w:r>
      <w:r>
        <w:rPr>
          <w:rFonts w:ascii="Arial" w:cs="Arial" w:eastAsia="Arial" w:hAnsi="Arial"/>
          <w:sz w:val="17"/>
          <w:szCs w:val="17"/>
          <w:b w:val="1"/>
          <w:bCs w:val="1"/>
          <w:i w:val="1"/>
          <w:iCs w:val="1"/>
          <w:color w:val="auto"/>
        </w:rPr>
        <w:t>Old Revolver</w:t>
      </w:r>
      <w:r>
        <w:rPr>
          <w:rFonts w:ascii="Arial" w:cs="Arial" w:eastAsia="Arial" w:hAnsi="Arial"/>
          <w:sz w:val="17"/>
          <w:szCs w:val="17"/>
          <w:color w:val="auto"/>
        </w:rPr>
        <w:t>”) with a syndicate of lenders (collectively, the “</w:t>
      </w:r>
      <w:r>
        <w:rPr>
          <w:rFonts w:ascii="Arial" w:cs="Arial" w:eastAsia="Arial" w:hAnsi="Arial"/>
          <w:sz w:val="17"/>
          <w:szCs w:val="17"/>
          <w:b w:val="1"/>
          <w:bCs w:val="1"/>
          <w:i w:val="1"/>
          <w:iCs w:val="1"/>
          <w:color w:val="auto"/>
        </w:rPr>
        <w:t>2017 Credit Facilities</w:t>
      </w:r>
      <w:r>
        <w:rPr>
          <w:rFonts w:ascii="Arial" w:cs="Arial" w:eastAsia="Arial" w:hAnsi="Arial"/>
          <w:sz w:val="17"/>
          <w:szCs w:val="17"/>
          <w:color w:val="auto"/>
        </w:rPr>
        <w:t>”). The 2017 Credit Facilities provided for committed senior secured financing of $490.0 million, consisting of the following: the Old Term</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Loans in an aggregate principal amount of $450.0 million; and the Old Revolver, available for loans and letters of credit with an aggregate revolving commitment of up to $40.0 million (based on borrowing based eligibility as described below).</w:t>
      </w:r>
    </w:p>
    <w:p>
      <w:pPr>
        <w:spacing w:after="0" w:line="178" w:lineRule="exact"/>
        <w:rPr>
          <w:sz w:val="20"/>
          <w:szCs w:val="20"/>
          <w:color w:val="auto"/>
        </w:rPr>
      </w:pPr>
    </w:p>
    <w:p>
      <w:pPr>
        <w:jc w:val="both"/>
        <w:ind w:firstLine="815"/>
        <w:spacing w:after="0" w:line="255" w:lineRule="auto"/>
        <w:rPr>
          <w:sz w:val="20"/>
          <w:szCs w:val="20"/>
          <w:color w:val="auto"/>
        </w:rPr>
      </w:pPr>
      <w:r>
        <w:rPr>
          <w:rFonts w:ascii="Arial" w:cs="Arial" w:eastAsia="Arial" w:hAnsi="Arial"/>
          <w:sz w:val="18"/>
          <w:szCs w:val="18"/>
          <w:color w:val="auto"/>
        </w:rPr>
        <w:t>In connection with the HTA Merger, the Company replaced the 2017 Credit Facilities by entering into a First Lien Term Loan Credit Agreement (the “</w:t>
      </w:r>
      <w:r>
        <w:rPr>
          <w:rFonts w:ascii="Arial" w:cs="Arial" w:eastAsia="Arial" w:hAnsi="Arial"/>
          <w:sz w:val="18"/>
          <w:szCs w:val="18"/>
          <w:b w:val="1"/>
          <w:bCs w:val="1"/>
          <w:i w:val="1"/>
          <w:iCs w:val="1"/>
          <w:color w:val="auto"/>
        </w:rPr>
        <w:t>New First Lien Term Loan</w:t>
      </w:r>
      <w:r>
        <w:rPr>
          <w:rFonts w:ascii="Arial" w:cs="Arial" w:eastAsia="Arial" w:hAnsi="Arial"/>
          <w:sz w:val="18"/>
          <w:szCs w:val="18"/>
          <w:color w:val="auto"/>
        </w:rPr>
        <w:t>”), a Second Lien Term Loan Credit Agreement (the “</w:t>
      </w:r>
      <w:r>
        <w:rPr>
          <w:rFonts w:ascii="Arial" w:cs="Arial" w:eastAsia="Arial" w:hAnsi="Arial"/>
          <w:sz w:val="18"/>
          <w:szCs w:val="18"/>
          <w:b w:val="1"/>
          <w:bCs w:val="1"/>
          <w:i w:val="1"/>
          <w:iCs w:val="1"/>
          <w:color w:val="auto"/>
        </w:rPr>
        <w:t>New Second Lien Term Loan</w:t>
      </w:r>
      <w:r>
        <w:rPr>
          <w:rFonts w:ascii="Arial" w:cs="Arial" w:eastAsia="Arial" w:hAnsi="Arial"/>
          <w:sz w:val="18"/>
          <w:szCs w:val="18"/>
          <w:color w:val="auto"/>
        </w:rPr>
        <w:t>”), (collectively the “</w:t>
      </w:r>
      <w:r>
        <w:rPr>
          <w:rFonts w:ascii="Arial" w:cs="Arial" w:eastAsia="Arial" w:hAnsi="Arial"/>
          <w:sz w:val="18"/>
          <w:szCs w:val="18"/>
          <w:b w:val="1"/>
          <w:bCs w:val="1"/>
          <w:i w:val="1"/>
          <w:iCs w:val="1"/>
          <w:color w:val="auto"/>
        </w:rPr>
        <w:t>New Term Loans</w:t>
      </w:r>
      <w:r>
        <w:rPr>
          <w:rFonts w:ascii="Arial" w:cs="Arial" w:eastAsia="Arial" w:hAnsi="Arial"/>
          <w:sz w:val="18"/>
          <w:szCs w:val="18"/>
          <w:color w:val="auto"/>
        </w:rPr>
        <w:t>”) and a Revolving Credit Facility Agreement (the “</w:t>
      </w:r>
      <w:r>
        <w:rPr>
          <w:rFonts w:ascii="Arial" w:cs="Arial" w:eastAsia="Arial" w:hAnsi="Arial"/>
          <w:sz w:val="18"/>
          <w:szCs w:val="18"/>
          <w:b w:val="1"/>
          <w:bCs w:val="1"/>
          <w:i w:val="1"/>
          <w:iCs w:val="1"/>
          <w:color w:val="auto"/>
        </w:rPr>
        <w:t>New Revolver</w:t>
      </w:r>
      <w:r>
        <w:rPr>
          <w:rFonts w:ascii="Arial" w:cs="Arial" w:eastAsia="Arial" w:hAnsi="Arial"/>
          <w:sz w:val="18"/>
          <w:szCs w:val="18"/>
          <w:color w:val="auto"/>
        </w:rPr>
        <w:t>”) with a syndicate of lenders (collectively, the “</w:t>
      </w:r>
      <w:r>
        <w:rPr>
          <w:rFonts w:ascii="Arial" w:cs="Arial" w:eastAsia="Arial" w:hAnsi="Arial"/>
          <w:sz w:val="18"/>
          <w:szCs w:val="18"/>
          <w:b w:val="1"/>
          <w:bCs w:val="1"/>
          <w:i w:val="1"/>
          <w:iCs w:val="1"/>
          <w:color w:val="auto"/>
        </w:rPr>
        <w:t>2018 Credit Facilities</w:t>
      </w:r>
      <w:r>
        <w:rPr>
          <w:rFonts w:ascii="Arial" w:cs="Arial" w:eastAsia="Arial" w:hAnsi="Arial"/>
          <w:sz w:val="18"/>
          <w:szCs w:val="18"/>
          <w:color w:val="auto"/>
        </w:rPr>
        <w:t>”). The 2018 Credit Facilities provide for committed senior secured financing of $1.115 billion, consisting of the New Term Loans in an aggregate principal amount of $1.04 billion and the New Revolver available for loans and letters of credit with an aggregate revolving commitment of up to $75 million (based on borrowing based eligibility as described below).</w:t>
      </w:r>
    </w:p>
    <w:p>
      <w:pPr>
        <w:spacing w:after="0" w:line="153" w:lineRule="exact"/>
        <w:rPr>
          <w:sz w:val="20"/>
          <w:szCs w:val="20"/>
          <w:color w:val="auto"/>
        </w:rPr>
      </w:pPr>
    </w:p>
    <w:p>
      <w:pPr>
        <w:jc w:val="both"/>
        <w:ind w:firstLine="815"/>
        <w:spacing w:after="0" w:line="264" w:lineRule="auto"/>
        <w:rPr>
          <w:sz w:val="20"/>
          <w:szCs w:val="20"/>
          <w:color w:val="auto"/>
        </w:rPr>
      </w:pPr>
      <w:r>
        <w:rPr>
          <w:rFonts w:ascii="Arial" w:cs="Arial" w:eastAsia="Arial" w:hAnsi="Arial"/>
          <w:sz w:val="18"/>
          <w:szCs w:val="18"/>
          <w:color w:val="auto"/>
        </w:rPr>
        <w:t>The preexisting Old Term Loans were repaid concurrent with the closing on the 2018 Credit Facilities and the preexisting Old Revolver was undrawn at close. The outstanding balances at the date of close on the Old Term Loans, which were repaid with proceeds from the 2018 Credit Facilities, were $323.4 million and $125 million, respectively.</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18" w:name="page19"/>
    <w:bookmarkEnd w:id="1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2" w:lineRule="exact"/>
        <w:rPr>
          <w:sz w:val="20"/>
          <w:szCs w:val="20"/>
          <w:color w:val="auto"/>
        </w:rPr>
      </w:pPr>
    </w:p>
    <w:p>
      <w:pPr>
        <w:jc w:val="both"/>
        <w:ind w:firstLine="815"/>
        <w:spacing w:after="0" w:line="273" w:lineRule="auto"/>
        <w:rPr>
          <w:sz w:val="20"/>
          <w:szCs w:val="20"/>
          <w:color w:val="auto"/>
        </w:rPr>
      </w:pPr>
      <w:r>
        <w:rPr>
          <w:rFonts w:ascii="Arial" w:cs="Arial" w:eastAsia="Arial" w:hAnsi="Arial"/>
          <w:sz w:val="17"/>
          <w:szCs w:val="17"/>
          <w:color w:val="auto"/>
        </w:rPr>
        <w:t>In July 2018, the Company amended the New First Lien Term Loan (the “</w:t>
      </w:r>
      <w:r>
        <w:rPr>
          <w:rFonts w:ascii="Arial" w:cs="Arial" w:eastAsia="Arial" w:hAnsi="Arial"/>
          <w:sz w:val="17"/>
          <w:szCs w:val="17"/>
          <w:b w:val="1"/>
          <w:bCs w:val="1"/>
          <w:i w:val="1"/>
          <w:iCs w:val="1"/>
          <w:color w:val="auto"/>
        </w:rPr>
        <w:t>New First Lien Term Loan Amendment</w:t>
      </w:r>
      <w:r>
        <w:rPr>
          <w:rFonts w:ascii="Arial" w:cs="Arial" w:eastAsia="Arial" w:hAnsi="Arial"/>
          <w:sz w:val="17"/>
          <w:szCs w:val="17"/>
          <w:color w:val="auto"/>
        </w:rPr>
        <w:t>”) to expand the aggregate principal loan amount under the New First Lien Term Loan from $840 million to $910 million and to modify certain defined terms. In connection with this amendment, the Company incurred a consent fee of $0.4 million, which was capitalized as deferred financing costs and is being amortized over the remaining life of the New First Lien Term Loan. The additional $70 million along with funds contributed by Platinum were used to repay the $200 million New Second Lien Term Loan in full contemporaneously with the close of the Business Combination on October 17, 2018.</w:t>
      </w:r>
    </w:p>
    <w:p>
      <w:pPr>
        <w:spacing w:after="0" w:line="203" w:lineRule="exact"/>
        <w:rPr>
          <w:sz w:val="20"/>
          <w:szCs w:val="20"/>
          <w:color w:val="auto"/>
        </w:rPr>
      </w:pPr>
    </w:p>
    <w:p>
      <w:pPr>
        <w:jc w:val="both"/>
        <w:ind w:firstLine="815"/>
        <w:spacing w:after="0" w:line="259" w:lineRule="auto"/>
        <w:rPr>
          <w:sz w:val="20"/>
          <w:szCs w:val="20"/>
          <w:color w:val="auto"/>
        </w:rPr>
      </w:pPr>
      <w:r>
        <w:rPr>
          <w:rFonts w:ascii="Arial" w:cs="Arial" w:eastAsia="Arial" w:hAnsi="Arial"/>
          <w:sz w:val="18"/>
          <w:szCs w:val="18"/>
          <w:color w:val="auto"/>
        </w:rPr>
        <w:t>The New First Lien Term Loan is repayable at 1.0% per annum of the amount initially borrowed, paid in quarterly installments. The New First Lien Term Loan matures on February 28, 2025. The New First Lien Term Loan bears interest based, at our option, on either (1) LIBOR plus an applicable margin of 3.75% per annum, or (2) an alternate base rate plus an applicable margin of 2.75% per annum. At June 30, 2019, the interest rate on the New First Lien Term Loan was 6.15%.</w:t>
      </w:r>
    </w:p>
    <w:p>
      <w:pPr>
        <w:spacing w:after="0" w:line="214" w:lineRule="exact"/>
        <w:rPr>
          <w:sz w:val="20"/>
          <w:szCs w:val="20"/>
          <w:color w:val="auto"/>
        </w:rPr>
      </w:pPr>
    </w:p>
    <w:p>
      <w:pPr>
        <w:jc w:val="both"/>
        <w:ind w:firstLine="815"/>
        <w:spacing w:after="0" w:line="264" w:lineRule="auto"/>
        <w:rPr>
          <w:sz w:val="20"/>
          <w:szCs w:val="20"/>
          <w:color w:val="auto"/>
        </w:rPr>
      </w:pPr>
      <w:r>
        <w:rPr>
          <w:rFonts w:ascii="Arial" w:cs="Arial" w:eastAsia="Arial" w:hAnsi="Arial"/>
          <w:sz w:val="18"/>
          <w:szCs w:val="18"/>
          <w:color w:val="auto"/>
        </w:rPr>
        <w:t>In addition, the New First Lien Term Loan contains provisions that require mandatory prepayments of excess cash flow (as defined by the New First Lien Term Loan agreement) to be made as of the last day of the fiscal year, beginning with fiscal year ending December 31, 2019, in an amount equal to the percentages set forth in the following table:</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3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Applicable</w:t>
            </w:r>
          </w:p>
        </w:tc>
        <w:tc>
          <w:tcPr>
            <w:tcW w:w="0" w:type="dxa"/>
            <w:vAlign w:val="bottom"/>
          </w:tcPr>
          <w:p>
            <w:pPr>
              <w:spacing w:after="0"/>
              <w:rPr>
                <w:sz w:val="1"/>
                <w:szCs w:val="1"/>
                <w:color w:val="auto"/>
              </w:rPr>
            </w:pPr>
          </w:p>
        </w:tc>
      </w:tr>
      <w:tr>
        <w:trPr>
          <w:trHeight w:val="149"/>
        </w:trPr>
        <w:tc>
          <w:tcPr>
            <w:tcW w:w="9080" w:type="dxa"/>
            <w:vAlign w:val="bottom"/>
            <w:gridSpan w:val="7"/>
            <w:vMerge w:val="restart"/>
          </w:tcPr>
          <w:p>
            <w:pPr>
              <w:spacing w:after="0"/>
              <w:rPr>
                <w:sz w:val="20"/>
                <w:szCs w:val="20"/>
                <w:color w:val="auto"/>
              </w:rPr>
            </w:pPr>
            <w:r>
              <w:rPr>
                <w:rFonts w:ascii="Arial" w:cs="Arial" w:eastAsia="Arial" w:hAnsi="Arial"/>
                <w:sz w:val="14"/>
                <w:szCs w:val="14"/>
                <w:b w:val="1"/>
                <w:bCs w:val="1"/>
                <w:color w:val="auto"/>
              </w:rPr>
              <w:t>Consolidated first lien net leverage ratio (as defined by the New First Lien Term Loan agreement)</w:t>
            </w:r>
          </w:p>
        </w:tc>
        <w:tc>
          <w:tcPr>
            <w:tcW w:w="23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prepayment</w:t>
            </w:r>
          </w:p>
        </w:tc>
        <w:tc>
          <w:tcPr>
            <w:tcW w:w="0" w:type="dxa"/>
            <w:vAlign w:val="bottom"/>
          </w:tcPr>
          <w:p>
            <w:pPr>
              <w:spacing w:after="0"/>
              <w:rPr>
                <w:sz w:val="1"/>
                <w:szCs w:val="1"/>
                <w:color w:val="auto"/>
              </w:rPr>
            </w:pPr>
          </w:p>
        </w:tc>
      </w:tr>
      <w:tr>
        <w:trPr>
          <w:trHeight w:val="171"/>
        </w:trPr>
        <w:tc>
          <w:tcPr>
            <w:tcW w:w="9080" w:type="dxa"/>
            <w:vAlign w:val="bottom"/>
            <w:gridSpan w:val="7"/>
            <w:vMerge w:val="continue"/>
          </w:tcPr>
          <w:p>
            <w:pPr>
              <w:spacing w:after="0"/>
              <w:rPr>
                <w:sz w:val="14"/>
                <w:szCs w:val="14"/>
                <w:color w:val="auto"/>
              </w:rPr>
            </w:pPr>
          </w:p>
        </w:tc>
        <w:tc>
          <w:tcPr>
            <w:tcW w:w="23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percentage</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60" w:type="dxa"/>
            <w:vAlign w:val="bottom"/>
            <w:tcBorders>
              <w:top w:val="single" w:sz="8" w:color="auto"/>
            </w:tcBorders>
            <w:gridSpan w:val="5"/>
            <w:shd w:val="clear" w:color="auto" w:fill="CFF0FC"/>
          </w:tcPr>
          <w:p>
            <w:pPr>
              <w:jc w:val="center"/>
              <w:ind w:right="20"/>
              <w:spacing w:after="0"/>
              <w:rPr>
                <w:sz w:val="20"/>
                <w:szCs w:val="20"/>
                <w:color w:val="auto"/>
              </w:rPr>
            </w:pPr>
            <w:r>
              <w:rPr>
                <w:rFonts w:ascii="Arial" w:cs="Arial" w:eastAsia="Arial" w:hAnsi="Arial"/>
                <w:sz w:val="18"/>
                <w:szCs w:val="18"/>
                <w:color w:val="auto"/>
                <w:w w:val="92"/>
              </w:rPr>
              <w:t>&gt; 3.70:1.00</w:t>
            </w:r>
          </w:p>
        </w:tc>
        <w:tc>
          <w:tcPr>
            <w:tcW w:w="200" w:type="dxa"/>
            <w:vAlign w:val="bottom"/>
            <w:tcBorders>
              <w:top w:val="single" w:sz="8" w:color="CFF0FC"/>
            </w:tcBorders>
            <w:shd w:val="clear" w:color="auto" w:fill="CFF0FC"/>
          </w:tcPr>
          <w:p>
            <w:pPr>
              <w:spacing w:after="0"/>
              <w:rPr>
                <w:sz w:val="19"/>
                <w:szCs w:val="19"/>
                <w:color w:val="auto"/>
              </w:rPr>
            </w:pPr>
          </w:p>
        </w:tc>
        <w:tc>
          <w:tcPr>
            <w:tcW w:w="222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8"/>
              </w:rPr>
              <w:t>50%</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060" w:type="dxa"/>
            <w:vAlign w:val="bottom"/>
            <w:gridSpan w:val="6"/>
          </w:tcPr>
          <w:p>
            <w:pPr>
              <w:jc w:val="center"/>
              <w:ind w:right="220"/>
              <w:spacing w:after="0" w:line="189" w:lineRule="exact"/>
              <w:rPr>
                <w:sz w:val="20"/>
                <w:szCs w:val="20"/>
                <w:color w:val="auto"/>
              </w:rPr>
            </w:pPr>
            <w:r>
              <w:rPr>
                <w:rFonts w:ascii="Arial" w:cs="Arial" w:eastAsia="Arial" w:hAnsi="Arial"/>
                <w:sz w:val="18"/>
                <w:szCs w:val="18"/>
                <w:color w:val="auto"/>
                <w:w w:val="90"/>
              </w:rPr>
              <w:t>&lt; 3.70:1.00 and &gt; 3.20:1.00</w:t>
            </w:r>
          </w:p>
        </w:tc>
        <w:tc>
          <w:tcPr>
            <w:tcW w:w="2220" w:type="dxa"/>
            <w:vAlign w:val="bottom"/>
          </w:tcPr>
          <w:p>
            <w:pPr>
              <w:jc w:val="center"/>
              <w:spacing w:after="0" w:line="189" w:lineRule="exact"/>
              <w:rPr>
                <w:sz w:val="20"/>
                <w:szCs w:val="20"/>
                <w:color w:val="auto"/>
              </w:rPr>
            </w:pPr>
            <w:r>
              <w:rPr>
                <w:rFonts w:ascii="Arial" w:cs="Arial" w:eastAsia="Arial" w:hAnsi="Arial"/>
                <w:sz w:val="18"/>
                <w:szCs w:val="18"/>
                <w:color w:val="auto"/>
                <w:w w:val="88"/>
              </w:rPr>
              <w:t>25%</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8860" w:type="dxa"/>
            <w:vAlign w:val="bottom"/>
            <w:gridSpan w:val="5"/>
            <w:shd w:val="clear" w:color="auto" w:fill="CFF0FC"/>
          </w:tcPr>
          <w:p>
            <w:pPr>
              <w:jc w:val="center"/>
              <w:ind w:right="20"/>
              <w:spacing w:after="0" w:line="189" w:lineRule="exact"/>
              <w:rPr>
                <w:sz w:val="20"/>
                <w:szCs w:val="20"/>
                <w:color w:val="auto"/>
              </w:rPr>
            </w:pPr>
            <w:r>
              <w:rPr>
                <w:rFonts w:ascii="Arial" w:cs="Arial" w:eastAsia="Arial" w:hAnsi="Arial"/>
                <w:sz w:val="18"/>
                <w:szCs w:val="18"/>
                <w:color w:val="auto"/>
                <w:w w:val="92"/>
              </w:rPr>
              <w:t>&lt; 3.20:1.00</w:t>
            </w:r>
          </w:p>
        </w:tc>
        <w:tc>
          <w:tcPr>
            <w:tcW w:w="200" w:type="dxa"/>
            <w:vAlign w:val="bottom"/>
            <w:shd w:val="clear" w:color="auto" w:fill="CFF0FC"/>
          </w:tcPr>
          <w:p>
            <w:pPr>
              <w:spacing w:after="0"/>
              <w:rPr>
                <w:sz w:val="16"/>
                <w:szCs w:val="16"/>
                <w:color w:val="auto"/>
              </w:rPr>
            </w:pPr>
          </w:p>
        </w:tc>
        <w:tc>
          <w:tcPr>
            <w:tcW w:w="2220" w:type="dxa"/>
            <w:vAlign w:val="bottom"/>
            <w:shd w:val="clear" w:color="auto" w:fill="CFF0FC"/>
          </w:tcPr>
          <w:p>
            <w:pPr>
              <w:jc w:val="center"/>
              <w:spacing w:after="0" w:line="189" w:lineRule="exact"/>
              <w:rPr>
                <w:sz w:val="20"/>
                <w:szCs w:val="20"/>
                <w:color w:val="auto"/>
              </w:rPr>
            </w:pPr>
            <w:r>
              <w:rPr>
                <w:rFonts w:ascii="Arial" w:cs="Arial" w:eastAsia="Arial" w:hAnsi="Arial"/>
                <w:sz w:val="18"/>
                <w:szCs w:val="18"/>
                <w:color w:val="auto"/>
                <w:w w:val="92"/>
              </w:rPr>
              <w:t>0%</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4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4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CFF0FC"/>
          </w:tcPr>
          <w:p>
            <w:pPr>
              <w:spacing w:after="0" w:line="20" w:lineRule="exact"/>
              <w:rPr>
                <w:sz w:val="1"/>
                <w:szCs w:val="1"/>
                <w:color w:val="auto"/>
              </w:rPr>
            </w:pPr>
          </w:p>
        </w:tc>
        <w:tc>
          <w:tcPr>
            <w:tcW w:w="476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2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firstLine="815"/>
        <w:spacing w:after="0" w:line="273" w:lineRule="auto"/>
        <w:rPr>
          <w:sz w:val="20"/>
          <w:szCs w:val="20"/>
          <w:color w:val="auto"/>
        </w:rPr>
      </w:pPr>
      <w:r>
        <w:rPr>
          <w:rFonts w:ascii="Arial" w:cs="Arial" w:eastAsia="Arial" w:hAnsi="Arial"/>
          <w:sz w:val="17"/>
          <w:szCs w:val="17"/>
          <w:color w:val="auto"/>
        </w:rPr>
        <w:t>The New Revolver matures on February 28, 2023. Borrowing eligibility under the New Revolver is subject to a monthly borrowing base calculation based on (i) certain percentages of eligible accounts receivable and inventory, less (ii) certain reserve items, including outstanding letters of credit and other reserves. The New Revolver bears interest on either (1) LIBOR plus an applicable margin, or (2) an alternate base rate, plus an applicable margin. The margin percentage applied to (1) LIBOR is either 1.25%, 1.50%, or 1.75%, or (2) the base rate is either 0.25%, 0.50%, or 0.75%, depending on the Company’s average availability to borrow under the commitment. At June 30, 2019, the Company had no outstanding borrowings on the New Revolver and availability to borrow under the New Revolver was $74.9 million, net of $0.1 million of outstanding letters of credit.</w:t>
      </w:r>
    </w:p>
    <w:p>
      <w:pPr>
        <w:spacing w:after="0" w:line="138" w:lineRule="exact"/>
        <w:rPr>
          <w:sz w:val="20"/>
          <w:szCs w:val="20"/>
          <w:color w:val="auto"/>
        </w:rPr>
      </w:pPr>
    </w:p>
    <w:p>
      <w:pPr>
        <w:jc w:val="both"/>
        <w:ind w:firstLine="815"/>
        <w:spacing w:after="0" w:line="277" w:lineRule="auto"/>
        <w:rPr>
          <w:sz w:val="20"/>
          <w:szCs w:val="20"/>
          <w:color w:val="auto"/>
        </w:rPr>
      </w:pPr>
      <w:r>
        <w:rPr>
          <w:rFonts w:ascii="Arial" w:cs="Arial" w:eastAsia="Arial" w:hAnsi="Arial"/>
          <w:sz w:val="18"/>
          <w:szCs w:val="18"/>
          <w:color w:val="auto"/>
        </w:rPr>
        <w:t>Interest on the unused portion of the New Revolver is payable quarterly at 0.375% at June 30, 2019. The Company also is required to pay participation and fronting fees on $0.1 million in outstanding letters of credit at 1.38% as of June 30, 2019.</w:t>
      </w:r>
    </w:p>
    <w:p>
      <w:pPr>
        <w:spacing w:after="0" w:line="143" w:lineRule="exact"/>
        <w:rPr>
          <w:sz w:val="20"/>
          <w:szCs w:val="20"/>
          <w:color w:val="auto"/>
        </w:rPr>
      </w:pPr>
    </w:p>
    <w:p>
      <w:pPr>
        <w:jc w:val="both"/>
        <w:ind w:firstLine="815"/>
        <w:spacing w:after="0" w:line="259" w:lineRule="auto"/>
        <w:rPr>
          <w:sz w:val="20"/>
          <w:szCs w:val="20"/>
          <w:color w:val="auto"/>
        </w:rPr>
      </w:pPr>
      <w:r>
        <w:rPr>
          <w:rFonts w:ascii="Arial" w:cs="Arial" w:eastAsia="Arial" w:hAnsi="Arial"/>
          <w:sz w:val="18"/>
          <w:szCs w:val="18"/>
          <w:color w:val="auto"/>
        </w:rPr>
        <w:t>All borrowings and other extensions of credits under the 2018 Credit Facilities are subject to the satisfaction of customary conditions and restrictive covenants including absence of defaults and accuracy in material respects of representations and warranties. At June 30, 2019, the Company was compliant with the 2018 Credit Facilities covenants. Substantially all of the Company’s assets are pledged as collateral to secure the Company’s indebtedness under the 2018 Credit Facilities.</w:t>
      </w:r>
    </w:p>
    <w:p>
      <w:pPr>
        <w:spacing w:after="0" w:line="146" w:lineRule="exact"/>
        <w:rPr>
          <w:sz w:val="20"/>
          <w:szCs w:val="20"/>
          <w:color w:val="auto"/>
        </w:rPr>
      </w:pPr>
    </w:p>
    <w:p>
      <w:pPr>
        <w:jc w:val="both"/>
        <w:ind w:firstLine="815"/>
        <w:spacing w:after="0" w:line="264" w:lineRule="auto"/>
        <w:rPr>
          <w:sz w:val="20"/>
          <w:szCs w:val="20"/>
          <w:color w:val="auto"/>
        </w:rPr>
      </w:pPr>
      <w:r>
        <w:rPr>
          <w:rFonts w:ascii="Arial" w:cs="Arial" w:eastAsia="Arial" w:hAnsi="Arial"/>
          <w:sz w:val="18"/>
          <w:szCs w:val="18"/>
          <w:color w:val="auto"/>
        </w:rPr>
        <w:t>The Company recognized a charge of $10.2 million in the six months ended June 30, 2018 consisting of a $3.8 million prepayment penalty on the Old Term Loan balances, a $2.0 million write-off of preexisting deferred financing costs and $4.4 million of lender and third-party costs associated with the issuance of the 2018 Credit Facilities.</w:t>
      </w:r>
    </w:p>
    <w:p>
      <w:pPr>
        <w:spacing w:after="0" w:line="141" w:lineRule="exact"/>
        <w:rPr>
          <w:sz w:val="20"/>
          <w:szCs w:val="20"/>
          <w:color w:val="auto"/>
        </w:rPr>
      </w:pPr>
    </w:p>
    <w:p>
      <w:pPr>
        <w:jc w:val="both"/>
        <w:ind w:firstLine="815"/>
        <w:spacing w:after="0" w:line="264" w:lineRule="auto"/>
        <w:rPr>
          <w:sz w:val="20"/>
          <w:szCs w:val="20"/>
          <w:color w:val="auto"/>
        </w:rPr>
      </w:pPr>
      <w:r>
        <w:rPr>
          <w:rFonts w:ascii="Arial" w:cs="Arial" w:eastAsia="Arial" w:hAnsi="Arial"/>
          <w:sz w:val="18"/>
          <w:szCs w:val="18"/>
          <w:color w:val="auto"/>
        </w:rPr>
        <w:t>The Company recorded interest expense, including amortization of deferred financing costs and discounts, of $15.7 million and $19.6 million for the three months ended June 30, 2019 and 2018, respectively, and $31.7 million and $32.2 million for the six months ended June 30, 2019 and 2018, respectively.</w:t>
      </w:r>
    </w:p>
    <w:p>
      <w:pPr>
        <w:spacing w:after="0" w:line="154" w:lineRule="exact"/>
        <w:rPr>
          <w:sz w:val="20"/>
          <w:szCs w:val="20"/>
          <w:color w:val="auto"/>
        </w:rPr>
      </w:pPr>
    </w:p>
    <w:p>
      <w:pPr>
        <w:ind w:left="820"/>
        <w:spacing w:after="0"/>
        <w:rPr>
          <w:sz w:val="20"/>
          <w:szCs w:val="20"/>
          <w:color w:val="auto"/>
        </w:rPr>
      </w:pPr>
      <w:r>
        <w:rPr>
          <w:rFonts w:ascii="Arial" w:cs="Arial" w:eastAsia="Arial" w:hAnsi="Arial"/>
          <w:sz w:val="16"/>
          <w:szCs w:val="16"/>
          <w:color w:val="auto"/>
        </w:rPr>
        <w:t>The weighted average effective interest rate of the Company’s outstanding borrowings under the 2018 Credit Facilities was 6.15% at June 30,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2019.</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19" w:name="page20"/>
    <w:bookmarkEnd w:id="1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86" w:lineRule="exact"/>
        <w:rPr>
          <w:sz w:val="20"/>
          <w:szCs w:val="20"/>
          <w:color w:val="auto"/>
        </w:rPr>
      </w:pPr>
    </w:p>
    <w:p>
      <w:pPr>
        <w:ind w:left="420" w:hanging="412"/>
        <w:spacing w:after="0"/>
        <w:tabs>
          <w:tab w:leader="none" w:pos="42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189" w:lineRule="exact"/>
        <w:rPr>
          <w:sz w:val="20"/>
          <w:szCs w:val="20"/>
          <w:color w:val="auto"/>
        </w:rPr>
      </w:pPr>
    </w:p>
    <w:p>
      <w:pPr>
        <w:ind w:left="820"/>
        <w:spacing w:after="0"/>
        <w:rPr>
          <w:sz w:val="20"/>
          <w:szCs w:val="20"/>
          <w:color w:val="auto"/>
        </w:rPr>
      </w:pPr>
      <w:r>
        <w:rPr>
          <w:rFonts w:ascii="Arial" w:cs="Arial" w:eastAsia="Arial" w:hAnsi="Arial"/>
          <w:sz w:val="17"/>
          <w:szCs w:val="17"/>
          <w:color w:val="auto"/>
        </w:rPr>
        <w:t>As of June 30, 2019 and December 31, 2018, the amounts of our assets and liabilities that were accounted for at fair value were immaterial.</w:t>
      </w:r>
    </w:p>
    <w:p>
      <w:pPr>
        <w:spacing w:after="0" w:line="210" w:lineRule="exact"/>
        <w:rPr>
          <w:sz w:val="20"/>
          <w:szCs w:val="20"/>
          <w:color w:val="auto"/>
        </w:rPr>
      </w:pPr>
    </w:p>
    <w:p>
      <w:pPr>
        <w:jc w:val="both"/>
        <w:ind w:firstLine="815"/>
        <w:spacing w:after="0" w:line="286" w:lineRule="auto"/>
        <w:rPr>
          <w:sz w:val="20"/>
          <w:szCs w:val="20"/>
          <w:color w:val="auto"/>
        </w:rPr>
      </w:pPr>
      <w:r>
        <w:rPr>
          <w:rFonts w:ascii="Arial" w:cs="Arial" w:eastAsia="Arial" w:hAnsi="Arial"/>
          <w:sz w:val="17"/>
          <w:szCs w:val="17"/>
          <w:color w:val="auto"/>
        </w:rPr>
        <w:t>ASC Topic 820, Fair Value Measurement includes a single definition of fair value to be used for financial reporting purposes, provides a framework for applying this definition and for measuring fair value under GAAP, and establishes a fair value hierarchy that categorizes into three levels the inputs to valuation techniques used to measure fair value. The three levels of the fair value hierarchy are summarized as follows:</w:t>
      </w:r>
    </w:p>
    <w:p>
      <w:pPr>
        <w:spacing w:after="0" w:line="57" w:lineRule="exact"/>
        <w:rPr>
          <w:sz w:val="20"/>
          <w:szCs w:val="20"/>
          <w:color w:val="auto"/>
        </w:rPr>
      </w:pPr>
    </w:p>
    <w:p>
      <w:pPr>
        <w:ind w:left="820"/>
        <w:spacing w:after="0"/>
        <w:rPr>
          <w:sz w:val="20"/>
          <w:szCs w:val="20"/>
          <w:color w:val="auto"/>
        </w:rPr>
      </w:pPr>
      <w:r>
        <w:rPr>
          <w:rFonts w:ascii="Arial" w:cs="Arial" w:eastAsia="Arial" w:hAnsi="Arial"/>
          <w:sz w:val="18"/>
          <w:szCs w:val="18"/>
          <w:color w:val="auto"/>
        </w:rPr>
        <w:t>Level 1 – Fair value is based on observable inputs such as quoted prices for identical assets or liabilities in active markets.</w:t>
      </w:r>
    </w:p>
    <w:p>
      <w:pPr>
        <w:spacing w:after="0" w:line="117" w:lineRule="exact"/>
        <w:rPr>
          <w:sz w:val="20"/>
          <w:szCs w:val="20"/>
          <w:color w:val="auto"/>
        </w:rPr>
      </w:pPr>
    </w:p>
    <w:p>
      <w:pPr>
        <w:ind w:left="820"/>
        <w:spacing w:after="0" w:line="277" w:lineRule="auto"/>
        <w:rPr>
          <w:sz w:val="20"/>
          <w:szCs w:val="20"/>
          <w:color w:val="auto"/>
        </w:rPr>
      </w:pPr>
      <w:r>
        <w:rPr>
          <w:rFonts w:ascii="Arial" w:cs="Arial" w:eastAsia="Arial" w:hAnsi="Arial"/>
          <w:sz w:val="18"/>
          <w:szCs w:val="18"/>
          <w:color w:val="auto"/>
        </w:rPr>
        <w:t>Level 2 – Fair value is determined using quoted prices for similar assets or liabilities in active markets, quoted prices for identical or similar assets or liabilities in markets that are not active or inputs other than quoted prices that are directly or indirectly observable.</w:t>
      </w:r>
    </w:p>
    <w:p>
      <w:pPr>
        <w:spacing w:after="0" w:line="62" w:lineRule="exact"/>
        <w:rPr>
          <w:sz w:val="20"/>
          <w:szCs w:val="20"/>
          <w:color w:val="auto"/>
        </w:rPr>
      </w:pPr>
    </w:p>
    <w:p>
      <w:pPr>
        <w:ind w:left="820"/>
        <w:spacing w:after="0" w:line="277" w:lineRule="auto"/>
        <w:rPr>
          <w:sz w:val="20"/>
          <w:szCs w:val="20"/>
          <w:color w:val="auto"/>
        </w:rPr>
      </w:pPr>
      <w:r>
        <w:rPr>
          <w:rFonts w:ascii="Arial" w:cs="Arial" w:eastAsia="Arial" w:hAnsi="Arial"/>
          <w:sz w:val="18"/>
          <w:szCs w:val="18"/>
          <w:color w:val="auto"/>
        </w:rPr>
        <w:t>Level 3 – Fair value is determined using one or more significant inputs that are unobservable in active markets at the measurement date, such as a pricing model, discounted cash flow or similar technique.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85" w:lineRule="exact"/>
        <w:rPr>
          <w:sz w:val="20"/>
          <w:szCs w:val="20"/>
          <w:color w:val="auto"/>
        </w:rPr>
      </w:pPr>
    </w:p>
    <w:p>
      <w:pPr>
        <w:jc w:val="both"/>
        <w:ind w:firstLine="815"/>
        <w:spacing w:after="0" w:line="259" w:lineRule="auto"/>
        <w:rPr>
          <w:sz w:val="20"/>
          <w:szCs w:val="20"/>
          <w:color w:val="auto"/>
        </w:rPr>
      </w:pPr>
      <w:r>
        <w:rPr>
          <w:rFonts w:ascii="Arial" w:cs="Arial" w:eastAsia="Arial" w:hAnsi="Arial"/>
          <w:sz w:val="18"/>
          <w:szCs w:val="18"/>
          <w:color w:val="auto"/>
        </w:rPr>
        <w:t>The carrying amounts reported in our unaudited interim condensed consolidated balance sheets for cash, accounts receivable, accounts payable and accrued expenses approximate fair value due to the immediate to short-term maturity of these financial instruments. The estimated fair value of our New First Lien Term Loan as of June 30, 2019 and December 31, 2018 is categorized in Level 2 of the fair value hierarchy and was calculated based upon available market information. The carrying value and fair value of our debt is as follows: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000" w:type="dxa"/>
            <w:vAlign w:val="bottom"/>
          </w:tcPr>
          <w:p>
            <w:pPr>
              <w:spacing w:after="0"/>
              <w:rPr>
                <w:sz w:val="16"/>
                <w:szCs w:val="16"/>
                <w:color w:val="auto"/>
              </w:rPr>
            </w:pPr>
          </w:p>
        </w:tc>
        <w:tc>
          <w:tcPr>
            <w:tcW w:w="4260" w:type="dxa"/>
            <w:vAlign w:val="bottom"/>
          </w:tcPr>
          <w:p>
            <w:pPr>
              <w:spacing w:after="0"/>
              <w:rPr>
                <w:sz w:val="16"/>
                <w:szCs w:val="16"/>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1"/>
              </w:rPr>
              <w:t>Level in</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360" w:type="dxa"/>
            <w:vAlign w:val="bottom"/>
            <w:gridSpan w:val="5"/>
          </w:tcPr>
          <w:p>
            <w:pPr>
              <w:ind w:left="580"/>
              <w:spacing w:after="0"/>
              <w:rPr>
                <w:sz w:val="20"/>
                <w:szCs w:val="20"/>
                <w:color w:val="auto"/>
              </w:rPr>
            </w:pPr>
            <w:r>
              <w:rPr>
                <w:rFonts w:ascii="Arial" w:cs="Arial" w:eastAsia="Arial" w:hAnsi="Arial"/>
                <w:sz w:val="14"/>
                <w:szCs w:val="14"/>
                <w:b w:val="1"/>
                <w:bCs w:val="1"/>
                <w:color w:val="auto"/>
              </w:rPr>
              <w:t>June 30, 2019</w:t>
            </w:r>
          </w:p>
        </w:tc>
        <w:tc>
          <w:tcPr>
            <w:tcW w:w="180" w:type="dxa"/>
            <w:vAlign w:val="bottom"/>
          </w:tcPr>
          <w:p>
            <w:pPr>
              <w:spacing w:after="0"/>
              <w:rPr>
                <w:sz w:val="16"/>
                <w:szCs w:val="16"/>
                <w:color w:val="auto"/>
              </w:rPr>
            </w:pPr>
          </w:p>
        </w:tc>
        <w:tc>
          <w:tcPr>
            <w:tcW w:w="2300" w:type="dxa"/>
            <w:vAlign w:val="bottom"/>
            <w:gridSpan w:val="5"/>
          </w:tcPr>
          <w:p>
            <w:pPr>
              <w:ind w:left="420"/>
              <w:spacing w:after="0"/>
              <w:rPr>
                <w:sz w:val="20"/>
                <w:szCs w:val="20"/>
                <w:color w:val="auto"/>
              </w:rPr>
            </w:pPr>
            <w:r>
              <w:rPr>
                <w:rFonts w:ascii="Arial" w:cs="Arial" w:eastAsia="Arial" w:hAnsi="Arial"/>
                <w:sz w:val="14"/>
                <w:szCs w:val="14"/>
                <w:b w:val="1"/>
                <w:bCs w:val="1"/>
                <w:color w:val="auto"/>
              </w:rPr>
              <w:t>December 31, 2018</w:t>
            </w:r>
          </w:p>
        </w:tc>
        <w:tc>
          <w:tcPr>
            <w:tcW w:w="0" w:type="dxa"/>
            <w:vAlign w:val="bottom"/>
          </w:tcPr>
          <w:p>
            <w:pPr>
              <w:spacing w:after="0"/>
              <w:rPr>
                <w:sz w:val="1"/>
                <w:szCs w:val="1"/>
                <w:color w:val="auto"/>
              </w:rPr>
            </w:pPr>
          </w:p>
        </w:tc>
      </w:tr>
      <w:tr>
        <w:trPr>
          <w:trHeight w:val="26"/>
        </w:trPr>
        <w:tc>
          <w:tcPr>
            <w:tcW w:w="1000" w:type="dxa"/>
            <w:vAlign w:val="bottom"/>
          </w:tcPr>
          <w:p>
            <w:pPr>
              <w:spacing w:after="0"/>
              <w:rPr>
                <w:sz w:val="2"/>
                <w:szCs w:val="2"/>
                <w:color w:val="auto"/>
              </w:rPr>
            </w:pPr>
          </w:p>
        </w:tc>
        <w:tc>
          <w:tcPr>
            <w:tcW w:w="4260" w:type="dxa"/>
            <w:vAlign w:val="bottom"/>
          </w:tcPr>
          <w:p>
            <w:pPr>
              <w:spacing w:after="0"/>
              <w:rPr>
                <w:sz w:val="2"/>
                <w:szCs w:val="2"/>
                <w:color w:val="auto"/>
              </w:rPr>
            </w:pPr>
          </w:p>
        </w:tc>
        <w:tc>
          <w:tcPr>
            <w:tcW w:w="10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Fair Value</w:t>
            </w: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46"/>
        </w:trPr>
        <w:tc>
          <w:tcPr>
            <w:tcW w:w="100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center"/>
              <w:ind w:right="84"/>
              <w:spacing w:after="0" w:line="147" w:lineRule="exact"/>
              <w:rPr>
                <w:sz w:val="20"/>
                <w:szCs w:val="20"/>
                <w:color w:val="auto"/>
              </w:rPr>
            </w:pPr>
            <w:r>
              <w:rPr>
                <w:rFonts w:ascii="Arial" w:cs="Arial" w:eastAsia="Arial" w:hAnsi="Arial"/>
                <w:sz w:val="14"/>
                <w:szCs w:val="14"/>
                <w:b w:val="1"/>
                <w:bCs w:val="1"/>
                <w:color w:val="auto"/>
                <w:w w:val="97"/>
              </w:rPr>
              <w:t>Carrying</w:t>
            </w:r>
          </w:p>
        </w:tc>
        <w:tc>
          <w:tcPr>
            <w:tcW w:w="2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ind w:left="60"/>
              <w:spacing w:after="0" w:line="147" w:lineRule="exact"/>
              <w:rPr>
                <w:sz w:val="20"/>
                <w:szCs w:val="20"/>
                <w:color w:val="auto"/>
              </w:rPr>
            </w:pPr>
            <w:r>
              <w:rPr>
                <w:rFonts w:ascii="Arial" w:cs="Arial" w:eastAsia="Arial" w:hAnsi="Arial"/>
                <w:sz w:val="14"/>
                <w:szCs w:val="14"/>
                <w:b w:val="1"/>
                <w:bCs w:val="1"/>
                <w:color w:val="auto"/>
              </w:rPr>
              <w:t>Estimated</w:t>
            </w:r>
          </w:p>
        </w:tc>
        <w:tc>
          <w:tcPr>
            <w:tcW w:w="2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gridSpan w:val="2"/>
          </w:tcPr>
          <w:p>
            <w:pPr>
              <w:jc w:val="center"/>
              <w:ind w:right="400"/>
              <w:spacing w:after="0" w:line="147" w:lineRule="exact"/>
              <w:rPr>
                <w:sz w:val="20"/>
                <w:szCs w:val="20"/>
                <w:color w:val="auto"/>
              </w:rPr>
            </w:pPr>
            <w:r>
              <w:rPr>
                <w:rFonts w:ascii="Arial" w:cs="Arial" w:eastAsia="Arial" w:hAnsi="Arial"/>
                <w:sz w:val="14"/>
                <w:szCs w:val="14"/>
                <w:b w:val="1"/>
                <w:bCs w:val="1"/>
                <w:color w:val="auto"/>
              </w:rPr>
              <w:t>Carrying</w:t>
            </w:r>
          </w:p>
        </w:tc>
        <w:tc>
          <w:tcPr>
            <w:tcW w:w="14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ind w:left="80"/>
              <w:spacing w:after="0" w:line="147" w:lineRule="exact"/>
              <w:rPr>
                <w:sz w:val="20"/>
                <w:szCs w:val="20"/>
                <w:color w:val="auto"/>
              </w:rPr>
            </w:pPr>
            <w:r>
              <w:rPr>
                <w:rFonts w:ascii="Arial" w:cs="Arial" w:eastAsia="Arial" w:hAnsi="Arial"/>
                <w:sz w:val="14"/>
                <w:szCs w:val="14"/>
                <w:b w:val="1"/>
                <w:bCs w:val="1"/>
                <w:color w:val="auto"/>
              </w:rPr>
              <w:t>Estimated</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1000" w:type="dxa"/>
            <w:vAlign w:val="bottom"/>
            <w:tcBorders>
              <w:bottom w:val="single" w:sz="8" w:color="auto"/>
            </w:tcBorders>
          </w:tcPr>
          <w:p>
            <w:pPr>
              <w:spacing w:after="0" w:line="158" w:lineRule="exact"/>
              <w:rPr>
                <w:sz w:val="20"/>
                <w:szCs w:val="20"/>
                <w:color w:val="auto"/>
              </w:rPr>
            </w:pPr>
            <w:r>
              <w:rPr>
                <w:rFonts w:ascii="Arial" w:cs="Arial" w:eastAsia="Arial" w:hAnsi="Arial"/>
                <w:sz w:val="14"/>
                <w:szCs w:val="14"/>
                <w:b w:val="1"/>
                <w:bCs w:val="1"/>
                <w:u w:val="single" w:color="auto"/>
                <w:color w:val="auto"/>
                <w:w w:val="90"/>
              </w:rPr>
              <w:t>(</w:t>
            </w:r>
            <w:r>
              <w:rPr>
                <w:rFonts w:ascii="Arial" w:cs="Arial" w:eastAsia="Arial" w:hAnsi="Arial"/>
                <w:sz w:val="14"/>
                <w:szCs w:val="14"/>
                <w:b w:val="1"/>
                <w:bCs w:val="1"/>
                <w:color w:val="auto"/>
                <w:w w:val="90"/>
              </w:rPr>
              <w:t>$ in thousands)</w:t>
            </w:r>
          </w:p>
        </w:tc>
        <w:tc>
          <w:tcPr>
            <w:tcW w:w="4260" w:type="dxa"/>
            <w:vAlign w:val="bottom"/>
          </w:tcPr>
          <w:p>
            <w:pPr>
              <w:spacing w:after="0"/>
              <w:rPr>
                <w:sz w:val="15"/>
                <w:szCs w:val="15"/>
                <w:color w:val="auto"/>
              </w:rPr>
            </w:pPr>
          </w:p>
        </w:tc>
        <w:tc>
          <w:tcPr>
            <w:tcW w:w="10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9"/>
              </w:rPr>
              <w:t>Hierarchy</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jc w:val="center"/>
              <w:ind w:right="104"/>
              <w:spacing w:after="0" w:line="158" w:lineRule="exact"/>
              <w:rPr>
                <w:sz w:val="20"/>
                <w:szCs w:val="20"/>
                <w:color w:val="auto"/>
              </w:rPr>
            </w:pPr>
            <w:r>
              <w:rPr>
                <w:rFonts w:ascii="Arial" w:cs="Arial" w:eastAsia="Arial" w:hAnsi="Arial"/>
                <w:sz w:val="14"/>
                <w:szCs w:val="14"/>
                <w:b w:val="1"/>
                <w:bCs w:val="1"/>
                <w:color w:val="auto"/>
                <w:w w:val="94"/>
              </w:rPr>
              <w:t>Amount</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gridSpan w:val="2"/>
          </w:tcPr>
          <w:p>
            <w:pPr>
              <w:ind w:left="60"/>
              <w:spacing w:after="0" w:line="158" w:lineRule="exact"/>
              <w:rPr>
                <w:sz w:val="20"/>
                <w:szCs w:val="20"/>
                <w:color w:val="auto"/>
              </w:rPr>
            </w:pPr>
            <w:r>
              <w:rPr>
                <w:rFonts w:ascii="Arial" w:cs="Arial" w:eastAsia="Arial" w:hAnsi="Arial"/>
                <w:sz w:val="14"/>
                <w:szCs w:val="14"/>
                <w:b w:val="1"/>
                <w:bCs w:val="1"/>
                <w:color w:val="auto"/>
              </w:rPr>
              <w:t>Fair Value</w:t>
            </w:r>
          </w:p>
        </w:tc>
        <w:tc>
          <w:tcPr>
            <w:tcW w:w="180" w:type="dxa"/>
            <w:vAlign w:val="bottom"/>
          </w:tcPr>
          <w:p>
            <w:pPr>
              <w:spacing w:after="0"/>
              <w:rPr>
                <w:sz w:val="15"/>
                <w:szCs w:val="15"/>
                <w:color w:val="auto"/>
              </w:rPr>
            </w:pPr>
          </w:p>
        </w:tc>
        <w:tc>
          <w:tcPr>
            <w:tcW w:w="1100" w:type="dxa"/>
            <w:vAlign w:val="bottom"/>
            <w:gridSpan w:val="2"/>
          </w:tcPr>
          <w:p>
            <w:pPr>
              <w:jc w:val="center"/>
              <w:ind w:right="400"/>
              <w:spacing w:after="0" w:line="158" w:lineRule="exact"/>
              <w:rPr>
                <w:sz w:val="20"/>
                <w:szCs w:val="20"/>
                <w:color w:val="auto"/>
              </w:rPr>
            </w:pPr>
            <w:r>
              <w:rPr>
                <w:rFonts w:ascii="Arial" w:cs="Arial" w:eastAsia="Arial" w:hAnsi="Arial"/>
                <w:sz w:val="14"/>
                <w:szCs w:val="14"/>
                <w:b w:val="1"/>
                <w:bCs w:val="1"/>
                <w:color w:val="auto"/>
                <w:w w:val="94"/>
              </w:rPr>
              <w:t>Amount</w:t>
            </w:r>
          </w:p>
        </w:tc>
        <w:tc>
          <w:tcPr>
            <w:tcW w:w="140" w:type="dxa"/>
            <w:vAlign w:val="bottom"/>
          </w:tcPr>
          <w:p>
            <w:pPr>
              <w:spacing w:after="0"/>
              <w:rPr>
                <w:sz w:val="15"/>
                <w:szCs w:val="15"/>
                <w:color w:val="auto"/>
              </w:rPr>
            </w:pPr>
          </w:p>
        </w:tc>
        <w:tc>
          <w:tcPr>
            <w:tcW w:w="1060" w:type="dxa"/>
            <w:vAlign w:val="bottom"/>
            <w:gridSpan w:val="2"/>
          </w:tcPr>
          <w:p>
            <w:pPr>
              <w:ind w:left="60"/>
              <w:spacing w:after="0" w:line="158" w:lineRule="exact"/>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17"/>
        </w:trPr>
        <w:tc>
          <w:tcPr>
            <w:tcW w:w="526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 debt</w:t>
            </w:r>
          </w:p>
        </w:tc>
        <w:tc>
          <w:tcPr>
            <w:tcW w:w="106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79"/>
              </w:rPr>
              <w:t>2</w:t>
            </w:r>
          </w:p>
        </w:tc>
        <w:tc>
          <w:tcPr>
            <w:tcW w:w="10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868,237</w:t>
            </w:r>
          </w:p>
        </w:tc>
        <w:tc>
          <w:tcPr>
            <w:tcW w:w="2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904,591</w:t>
            </w:r>
          </w:p>
        </w:tc>
        <w:tc>
          <w:tcPr>
            <w:tcW w:w="20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869,353</w:t>
            </w:r>
          </w:p>
        </w:tc>
        <w:tc>
          <w:tcPr>
            <w:tcW w:w="2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889,971</w:t>
            </w: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420" w:hanging="412"/>
        <w:spacing w:after="0"/>
        <w:tabs>
          <w:tab w:leader="none" w:pos="42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Net Income (Loss) Per Share</w:t>
      </w:r>
    </w:p>
    <w:p>
      <w:pPr>
        <w:spacing w:after="0" w:line="202" w:lineRule="exact"/>
        <w:rPr>
          <w:sz w:val="20"/>
          <w:szCs w:val="20"/>
          <w:color w:val="auto"/>
        </w:rPr>
      </w:pPr>
    </w:p>
    <w:p>
      <w:pPr>
        <w:jc w:val="both"/>
        <w:ind w:firstLine="815"/>
        <w:spacing w:after="0" w:line="264" w:lineRule="auto"/>
        <w:rPr>
          <w:sz w:val="20"/>
          <w:szCs w:val="20"/>
          <w:color w:val="auto"/>
        </w:rPr>
      </w:pPr>
      <w:r>
        <w:rPr>
          <w:rFonts w:ascii="Arial" w:cs="Arial" w:eastAsia="Arial" w:hAnsi="Arial"/>
          <w:sz w:val="18"/>
          <w:szCs w:val="18"/>
          <w:color w:val="auto"/>
        </w:rPr>
        <w:t>Basic net income (loss) per share is calculated by dividing net income (loss) by the weighted average shares outstanding during the period, without consideration of common stock equivalents. Diluted net income (loss) per share is calculated by adjusting the weighted average shares outstanding for the dilutive effect of common stock equivalents outstanding for the period, determined using the treasury-stock method.</w:t>
      </w:r>
    </w:p>
    <w:p>
      <w:pPr>
        <w:spacing w:after="0" w:line="141" w:lineRule="exact"/>
        <w:rPr>
          <w:sz w:val="20"/>
          <w:szCs w:val="20"/>
          <w:color w:val="auto"/>
        </w:rPr>
      </w:pPr>
    </w:p>
    <w:p>
      <w:pPr>
        <w:ind w:left="820"/>
        <w:spacing w:after="0"/>
        <w:rPr>
          <w:sz w:val="20"/>
          <w:szCs w:val="20"/>
          <w:color w:val="auto"/>
        </w:rPr>
      </w:pPr>
      <w:r>
        <w:rPr>
          <w:rFonts w:ascii="Arial" w:cs="Arial" w:eastAsia="Arial" w:hAnsi="Arial"/>
          <w:sz w:val="18"/>
          <w:szCs w:val="18"/>
          <w:color w:val="auto"/>
        </w:rPr>
        <w:t>The components of basic and diluted net income (loss) per share are as follows: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5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 except per share data)</w:t>
            </w: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960" w:type="dxa"/>
            <w:vAlign w:val="bottom"/>
            <w:gridSpan w:val="5"/>
          </w:tcPr>
          <w:p>
            <w:pPr>
              <w:jc w:val="right"/>
              <w:ind w:right="840"/>
              <w:spacing w:after="0"/>
              <w:rPr>
                <w:sz w:val="20"/>
                <w:szCs w:val="20"/>
                <w:color w:val="auto"/>
              </w:rPr>
            </w:pPr>
            <w:r>
              <w:rPr>
                <w:rFonts w:ascii="Arial" w:cs="Arial" w:eastAsia="Arial" w:hAnsi="Arial"/>
                <w:sz w:val="14"/>
                <w:szCs w:val="14"/>
                <w:b w:val="1"/>
                <w:bCs w:val="1"/>
                <w:color w:val="auto"/>
              </w:rPr>
              <w:t>Three Months Ended June 30,</w:t>
            </w: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40" w:type="dxa"/>
            <w:vAlign w:val="bottom"/>
            <w:gridSpan w:val="5"/>
          </w:tcPr>
          <w:p>
            <w:pPr>
              <w:jc w:val="right"/>
              <w:ind w:right="80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62"/>
        </w:trPr>
        <w:tc>
          <w:tcPr>
            <w:tcW w:w="456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rPr>
              <w:t>2019</w:t>
            </w:r>
          </w:p>
        </w:tc>
        <w:tc>
          <w:tcPr>
            <w:tcW w:w="30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jc w:val="right"/>
              <w:ind w:right="452"/>
              <w:spacing w:after="0" w:line="142" w:lineRule="exact"/>
              <w:rPr>
                <w:sz w:val="20"/>
                <w:szCs w:val="20"/>
                <w:color w:val="auto"/>
              </w:rPr>
            </w:pPr>
            <w:r>
              <w:rPr>
                <w:rFonts w:ascii="Arial" w:cs="Arial" w:eastAsia="Arial" w:hAnsi="Arial"/>
                <w:sz w:val="14"/>
                <w:szCs w:val="14"/>
                <w:b w:val="1"/>
                <w:bCs w:val="1"/>
                <w:color w:val="auto"/>
              </w:rPr>
              <w:t>2018</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rPr>
              <w:t>2019</w:t>
            </w:r>
          </w:p>
        </w:tc>
        <w:tc>
          <w:tcPr>
            <w:tcW w:w="30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jc w:val="right"/>
              <w:ind w:right="472"/>
              <w:spacing w:after="0" w:line="142" w:lineRule="exact"/>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22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Numerator:</w:t>
            </w:r>
          </w:p>
        </w:tc>
        <w:tc>
          <w:tcPr>
            <w:tcW w:w="228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30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30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560" w:type="dxa"/>
            <w:vAlign w:val="bottom"/>
            <w:gridSpan w:val="2"/>
          </w:tcPr>
          <w:p>
            <w:pPr>
              <w:ind w:left="260"/>
              <w:spacing w:after="0"/>
              <w:rPr>
                <w:sz w:val="20"/>
                <w:szCs w:val="20"/>
                <w:color w:val="auto"/>
              </w:rPr>
            </w:pPr>
            <w:r>
              <w:rPr>
                <w:rFonts w:ascii="Arial" w:cs="Arial" w:eastAsia="Arial" w:hAnsi="Arial"/>
                <w:sz w:val="18"/>
                <w:szCs w:val="18"/>
                <w:color w:val="auto"/>
              </w:rPr>
              <w:t>Net income (loss)</w:t>
            </w: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3,591</w:t>
            </w:r>
          </w:p>
        </w:tc>
        <w:tc>
          <w:tcPr>
            <w:tcW w:w="300" w:type="dxa"/>
            <w:vAlign w:val="bottom"/>
          </w:tcPr>
          <w:p>
            <w:pPr>
              <w:spacing w:after="0"/>
              <w:rPr>
                <w:sz w:val="19"/>
                <w:szCs w:val="19"/>
                <w:color w:val="auto"/>
              </w:rPr>
            </w:pP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(4,795)</w:t>
            </w:r>
          </w:p>
        </w:tc>
        <w:tc>
          <w:tcPr>
            <w:tcW w:w="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6,411</w:t>
            </w:r>
          </w:p>
        </w:tc>
        <w:tc>
          <w:tcPr>
            <w:tcW w:w="300" w:type="dxa"/>
            <w:vAlign w:val="bottom"/>
          </w:tcPr>
          <w:p>
            <w:pPr>
              <w:spacing w:after="0"/>
              <w:rPr>
                <w:sz w:val="19"/>
                <w:szCs w:val="19"/>
                <w:color w:val="auto"/>
              </w:rPr>
            </w:pP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(26,953)</w:t>
            </w:r>
          </w:p>
        </w:tc>
        <w:tc>
          <w:tcPr>
            <w:tcW w:w="0" w:type="dxa"/>
            <w:vAlign w:val="bottom"/>
          </w:tcPr>
          <w:p>
            <w:pPr>
              <w:spacing w:after="0"/>
              <w:rPr>
                <w:sz w:val="1"/>
                <w:szCs w:val="1"/>
                <w:color w:val="auto"/>
              </w:rPr>
            </w:pPr>
          </w:p>
        </w:tc>
      </w:tr>
      <w:tr>
        <w:trPr>
          <w:trHeight w:val="230"/>
        </w:trPr>
        <w:tc>
          <w:tcPr>
            <w:tcW w:w="45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Denominator:</w:t>
            </w:r>
          </w:p>
        </w:tc>
        <w:tc>
          <w:tcPr>
            <w:tcW w:w="2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60" w:type="dxa"/>
            <w:vAlign w:val="bottom"/>
            <w:gridSpan w:val="2"/>
          </w:tcPr>
          <w:p>
            <w:pPr>
              <w:ind w:left="260"/>
              <w:spacing w:after="0"/>
              <w:rPr>
                <w:sz w:val="20"/>
                <w:szCs w:val="20"/>
                <w:color w:val="auto"/>
              </w:rPr>
            </w:pPr>
            <w:r>
              <w:rPr>
                <w:rFonts w:ascii="Arial" w:cs="Arial" w:eastAsia="Arial" w:hAnsi="Arial"/>
                <w:sz w:val="18"/>
                <w:szCs w:val="18"/>
                <w:color w:val="auto"/>
              </w:rPr>
              <w:t>Weighted average shares - basic</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157,846</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72,484</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156,956</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67,520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6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Common stock equivalents</w:t>
            </w:r>
          </w:p>
        </w:tc>
        <w:tc>
          <w:tcPr>
            <w:tcW w:w="2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4,131</w:t>
            </w:r>
          </w:p>
        </w:tc>
        <w:tc>
          <w:tcPr>
            <w:tcW w:w="3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2,267</w:t>
            </w:r>
          </w:p>
        </w:tc>
        <w:tc>
          <w:tcPr>
            <w:tcW w:w="3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560" w:type="dxa"/>
            <w:vAlign w:val="bottom"/>
            <w:gridSpan w:val="2"/>
          </w:tcPr>
          <w:p>
            <w:pPr>
              <w:ind w:left="260"/>
              <w:spacing w:after="0"/>
              <w:rPr>
                <w:sz w:val="20"/>
                <w:szCs w:val="20"/>
                <w:color w:val="auto"/>
              </w:rPr>
            </w:pPr>
            <w:r>
              <w:rPr>
                <w:rFonts w:ascii="Arial" w:cs="Arial" w:eastAsia="Arial" w:hAnsi="Arial"/>
                <w:sz w:val="18"/>
                <w:szCs w:val="18"/>
                <w:color w:val="auto"/>
              </w:rPr>
              <w:t>Weighted average shares - diluted</w:t>
            </w:r>
          </w:p>
        </w:tc>
        <w:tc>
          <w:tcPr>
            <w:tcW w:w="2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161,977</w:t>
            </w:r>
          </w:p>
        </w:tc>
        <w:tc>
          <w:tcPr>
            <w:tcW w:w="3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72,484</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159,223</w:t>
            </w:r>
          </w:p>
        </w:tc>
        <w:tc>
          <w:tcPr>
            <w:tcW w:w="3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67,520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Net income (loss) per common share - basic</w:t>
            </w:r>
          </w:p>
        </w:tc>
        <w:tc>
          <w:tcPr>
            <w:tcW w:w="5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0.02</w:t>
            </w:r>
          </w:p>
        </w:tc>
        <w:tc>
          <w:tcPr>
            <w:tcW w:w="30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(0.07)</w:t>
            </w:r>
          </w:p>
        </w:tc>
        <w:tc>
          <w:tcPr>
            <w:tcW w:w="5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0.04</w:t>
            </w:r>
          </w:p>
        </w:tc>
        <w:tc>
          <w:tcPr>
            <w:tcW w:w="30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(0.40)</w:t>
            </w:r>
          </w:p>
        </w:tc>
        <w:tc>
          <w:tcPr>
            <w:tcW w:w="0" w:type="dxa"/>
            <w:vAlign w:val="bottom"/>
          </w:tcPr>
          <w:p>
            <w:pPr>
              <w:spacing w:after="0"/>
              <w:rPr>
                <w:sz w:val="1"/>
                <w:szCs w:val="1"/>
                <w:color w:val="auto"/>
              </w:rPr>
            </w:pPr>
          </w:p>
        </w:tc>
      </w:tr>
      <w:tr>
        <w:trPr>
          <w:trHeight w:val="230"/>
        </w:trPr>
        <w:tc>
          <w:tcPr>
            <w:tcW w:w="4560" w:type="dxa"/>
            <w:vAlign w:val="bottom"/>
            <w:gridSpan w:val="2"/>
          </w:tcPr>
          <w:p>
            <w:pPr>
              <w:spacing w:after="0"/>
              <w:rPr>
                <w:sz w:val="20"/>
                <w:szCs w:val="20"/>
                <w:color w:val="auto"/>
              </w:rPr>
            </w:pPr>
            <w:r>
              <w:rPr>
                <w:rFonts w:ascii="Arial" w:cs="Arial" w:eastAsia="Arial" w:hAnsi="Arial"/>
                <w:sz w:val="18"/>
                <w:szCs w:val="18"/>
                <w:color w:val="auto"/>
              </w:rPr>
              <w:t>Net income (loss) per common share - diluted</w:t>
            </w: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0.02</w:t>
            </w:r>
          </w:p>
        </w:tc>
        <w:tc>
          <w:tcPr>
            <w:tcW w:w="300" w:type="dxa"/>
            <w:vAlign w:val="bottom"/>
          </w:tcPr>
          <w:p>
            <w:pPr>
              <w:spacing w:after="0"/>
              <w:rPr>
                <w:sz w:val="19"/>
                <w:szCs w:val="19"/>
                <w:color w:val="auto"/>
              </w:rPr>
            </w:pP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(0.07)</w:t>
            </w:r>
          </w:p>
        </w:tc>
        <w:tc>
          <w:tcPr>
            <w:tcW w:w="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0.04</w:t>
            </w:r>
          </w:p>
        </w:tc>
        <w:tc>
          <w:tcPr>
            <w:tcW w:w="300" w:type="dxa"/>
            <w:vAlign w:val="bottom"/>
          </w:tcPr>
          <w:p>
            <w:pPr>
              <w:spacing w:after="0"/>
              <w:rPr>
                <w:sz w:val="19"/>
                <w:szCs w:val="19"/>
                <w:color w:val="auto"/>
              </w:rPr>
            </w:pP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(0.40)</w:t>
            </w:r>
          </w:p>
        </w:tc>
        <w:tc>
          <w:tcPr>
            <w:tcW w:w="0" w:type="dxa"/>
            <w:vAlign w:val="bottom"/>
          </w:tcPr>
          <w:p>
            <w:pPr>
              <w:spacing w:after="0"/>
              <w:rPr>
                <w:sz w:val="1"/>
                <w:szCs w:val="1"/>
                <w:color w:val="auto"/>
              </w:rPr>
            </w:pPr>
          </w:p>
        </w:tc>
      </w:tr>
      <w:tr>
        <w:trPr>
          <w:trHeight w:val="215"/>
        </w:trPr>
        <w:tc>
          <w:tcPr>
            <w:tcW w:w="4560" w:type="dxa"/>
            <w:vAlign w:val="bottom"/>
            <w:gridSpan w:val="2"/>
            <w:shd w:val="clear" w:color="auto" w:fill="CFF0FC"/>
          </w:tcPr>
          <w:p>
            <w:pPr>
              <w:spacing w:after="0"/>
              <w:rPr>
                <w:sz w:val="20"/>
                <w:szCs w:val="20"/>
                <w:color w:val="auto"/>
              </w:rPr>
            </w:pPr>
            <w:r>
              <w:rPr>
                <w:rFonts w:ascii="Arial" w:cs="Arial" w:eastAsia="Arial" w:hAnsi="Arial"/>
                <w:sz w:val="18"/>
                <w:szCs w:val="18"/>
                <w:color w:val="auto"/>
                <w:w w:val="96"/>
              </w:rPr>
              <w:t>Antidilutive weighted average shares excluded from diluted</w:t>
            </w:r>
          </w:p>
        </w:tc>
        <w:tc>
          <w:tcPr>
            <w:tcW w:w="2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5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net income (loss) per share:</w:t>
            </w:r>
          </w:p>
        </w:tc>
        <w:tc>
          <w:tcPr>
            <w:tcW w:w="22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560" w:type="dxa"/>
            <w:vAlign w:val="bottom"/>
            <w:gridSpan w:val="2"/>
          </w:tcPr>
          <w:p>
            <w:pPr>
              <w:ind w:left="260"/>
              <w:spacing w:after="0"/>
              <w:rPr>
                <w:sz w:val="20"/>
                <w:szCs w:val="20"/>
                <w:color w:val="auto"/>
              </w:rPr>
            </w:pPr>
            <w:r>
              <w:rPr>
                <w:rFonts w:ascii="Arial" w:cs="Arial" w:eastAsia="Arial" w:hAnsi="Arial"/>
                <w:sz w:val="18"/>
                <w:szCs w:val="18"/>
                <w:color w:val="auto"/>
              </w:rPr>
              <w:t xml:space="preserve">Contingently issuable shares </w:t>
            </w:r>
            <w:r>
              <w:rPr>
                <w:rFonts w:ascii="Arial" w:cs="Arial" w:eastAsia="Arial" w:hAnsi="Arial"/>
                <w:sz w:val="15"/>
                <w:szCs w:val="15"/>
                <w:color w:val="auto"/>
              </w:rPr>
              <w:t>(1)</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8,214</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9,107</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56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Warrants</w:t>
            </w:r>
          </w:p>
        </w:tc>
        <w:tc>
          <w:tcPr>
            <w:tcW w:w="2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20,000</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10,000</w:t>
            </w:r>
          </w:p>
        </w:tc>
        <w:tc>
          <w:tcPr>
            <w:tcW w:w="3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60" w:type="dxa"/>
            <w:vAlign w:val="bottom"/>
            <w:gridSpan w:val="2"/>
          </w:tcPr>
          <w:p>
            <w:pPr>
              <w:ind w:left="260"/>
              <w:spacing w:after="0"/>
              <w:rPr>
                <w:sz w:val="20"/>
                <w:szCs w:val="20"/>
                <w:color w:val="auto"/>
              </w:rPr>
            </w:pPr>
            <w:r>
              <w:rPr>
                <w:rFonts w:ascii="Arial" w:cs="Arial" w:eastAsia="Arial" w:hAnsi="Arial"/>
                <w:sz w:val="18"/>
                <w:szCs w:val="18"/>
                <w:color w:val="auto"/>
              </w:rPr>
              <w:t>Restricted stock units</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43</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560" w:type="dxa"/>
            <w:vAlign w:val="bottom"/>
            <w:tcBorders>
              <w:top w:val="single" w:sz="8" w:color="CFF0FC"/>
              <w:bottom w:val="single" w:sz="8" w:color="CFF0FC"/>
            </w:tcBorders>
            <w:gridSpan w:val="2"/>
            <w:shd w:val="clear" w:color="auto" w:fill="CFF0FC"/>
          </w:tcPr>
          <w:p>
            <w:pPr>
              <w:ind w:left="380"/>
              <w:spacing w:after="0"/>
              <w:rPr>
                <w:sz w:val="20"/>
                <w:szCs w:val="20"/>
                <w:color w:val="auto"/>
              </w:rPr>
            </w:pPr>
            <w:r>
              <w:rPr>
                <w:rFonts w:ascii="Arial" w:cs="Arial" w:eastAsia="Arial" w:hAnsi="Arial"/>
                <w:sz w:val="18"/>
                <w:szCs w:val="18"/>
                <w:color w:val="auto"/>
              </w:rPr>
              <w:t>Total antidilutive shares excluded</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8,214</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20,000</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19,150</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20,000</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left="5620" w:right="1960" w:hanging="4802"/>
        <w:spacing w:after="0" w:line="528" w:lineRule="auto"/>
        <w:tabs>
          <w:tab w:leader="none" w:pos="12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 xml:space="preserve">Contingently issuable shares relate to the earn-out agreement as discussed in Note 13, </w:t>
      </w:r>
      <w:r>
        <w:rPr>
          <w:rFonts w:ascii="Arial" w:cs="Arial" w:eastAsia="Arial" w:hAnsi="Arial"/>
          <w:sz w:val="18"/>
          <w:szCs w:val="18"/>
          <w:i w:val="1"/>
          <w:iCs w:val="1"/>
          <w:color w:val="auto"/>
        </w:rPr>
        <w:t>Related Party Transactions</w:t>
      </w:r>
      <w:r>
        <w:rPr>
          <w:rFonts w:ascii="Arial" w:cs="Arial" w:eastAsia="Arial" w:hAnsi="Arial"/>
          <w:sz w:val="18"/>
          <w:szCs w:val="18"/>
          <w:color w:val="auto"/>
        </w:rPr>
        <w:t>.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-100965</wp:posOffset>
            </wp:positionV>
            <wp:extent cx="72891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20" w:name="page21"/>
    <w:bookmarkEnd w:id="2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2" w:lineRule="exact"/>
        <w:rPr>
          <w:sz w:val="20"/>
          <w:szCs w:val="20"/>
          <w:color w:val="auto"/>
        </w:rPr>
      </w:pPr>
    </w:p>
    <w:p>
      <w:pPr>
        <w:ind w:left="420" w:hanging="412"/>
        <w:spacing w:after="0"/>
        <w:tabs>
          <w:tab w:leader="none" w:pos="42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76" w:lineRule="exact"/>
        <w:rPr>
          <w:sz w:val="20"/>
          <w:szCs w:val="20"/>
          <w:color w:val="auto"/>
        </w:rPr>
      </w:pPr>
    </w:p>
    <w:p>
      <w:pPr>
        <w:jc w:val="both"/>
        <w:ind w:firstLine="815"/>
        <w:spacing w:after="0" w:line="259" w:lineRule="auto"/>
        <w:rPr>
          <w:sz w:val="20"/>
          <w:szCs w:val="20"/>
          <w:color w:val="auto"/>
        </w:rPr>
      </w:pPr>
      <w:r>
        <w:rPr>
          <w:rFonts w:ascii="Arial" w:cs="Arial" w:eastAsia="Arial" w:hAnsi="Arial"/>
          <w:sz w:val="18"/>
          <w:szCs w:val="18"/>
          <w:color w:val="auto"/>
        </w:rPr>
        <w:t>Our interim income tax provision is determined using an estimated annual effective tax rate, adjusted for discrete items arising in that period. The estimated annual effective tax rate requires judgment and is dependent upon several factors. We provide for income taxes under the liability method. This approach requires the recognition of deferred tax assets and liabilities for the expected future tax consequences of differences between the tax basis of assets or liabilities and their carrying amounts in the financial statements.</w:t>
      </w:r>
    </w:p>
    <w:p>
      <w:pPr>
        <w:spacing w:after="0" w:line="160" w:lineRule="exact"/>
        <w:rPr>
          <w:sz w:val="20"/>
          <w:szCs w:val="20"/>
          <w:color w:val="auto"/>
        </w:rPr>
      </w:pPr>
    </w:p>
    <w:p>
      <w:pPr>
        <w:jc w:val="both"/>
        <w:ind w:firstLine="815"/>
        <w:spacing w:after="0" w:line="259" w:lineRule="auto"/>
        <w:rPr>
          <w:sz w:val="20"/>
          <w:szCs w:val="20"/>
          <w:color w:val="auto"/>
        </w:rPr>
      </w:pPr>
      <w:r>
        <w:rPr>
          <w:rFonts w:ascii="Arial" w:cs="Arial" w:eastAsia="Arial" w:hAnsi="Arial"/>
          <w:sz w:val="18"/>
          <w:szCs w:val="18"/>
          <w:color w:val="auto"/>
        </w:rPr>
        <w:t>We provide a valuation allowance for deferred tax assets if it is more likely than not that these items will expire before we are able to realize their benefit. We calculate the valuation allowance in accordance with the authoritative guidance relating to income taxes, which requires an assessment of both positive and negative evidence regarding the realizability of these deferred tax assets, when measuring the need for a valuation allowance. Significant judgment is required in determining any valuation allowance against deferred tax assets.</w:t>
      </w:r>
    </w:p>
    <w:p>
      <w:pPr>
        <w:spacing w:after="0" w:line="146" w:lineRule="exact"/>
        <w:rPr>
          <w:sz w:val="20"/>
          <w:szCs w:val="20"/>
          <w:color w:val="auto"/>
        </w:rPr>
      </w:pPr>
    </w:p>
    <w:p>
      <w:pPr>
        <w:jc w:val="both"/>
        <w:ind w:firstLine="815"/>
        <w:spacing w:after="0" w:line="279" w:lineRule="auto"/>
        <w:rPr>
          <w:sz w:val="20"/>
          <w:szCs w:val="20"/>
          <w:color w:val="auto"/>
        </w:rPr>
      </w:pPr>
      <w:r>
        <w:rPr>
          <w:rFonts w:ascii="Arial" w:cs="Arial" w:eastAsia="Arial" w:hAnsi="Arial"/>
          <w:sz w:val="17"/>
          <w:szCs w:val="17"/>
          <w:color w:val="auto"/>
        </w:rPr>
        <w:t>Our effective income tax rate was 32.6% and (4.7)% for the three months ended June 30, 2019 and 2018, respectively, and 32.3% and (20.3)% for the six months ended June 30, 2019, and 2018, respectively. The increase, compared to the same periods in 2018, was primarily due to higher pretax income across multiple jurisdictions, and an increase in permanent differences between book and taxable income, including the 162(m) executive compensation limitation, non-deductible secondary offering transaction costs, and the Global Intangible Low Tax Income inclusion.</w:t>
      </w:r>
    </w:p>
    <w:p>
      <w:pPr>
        <w:spacing w:after="0" w:line="131" w:lineRule="exact"/>
        <w:rPr>
          <w:sz w:val="20"/>
          <w:szCs w:val="20"/>
          <w:color w:val="auto"/>
        </w:rPr>
      </w:pPr>
    </w:p>
    <w:p>
      <w:pPr>
        <w:jc w:val="both"/>
        <w:ind w:firstLine="815"/>
        <w:spacing w:after="0" w:line="264" w:lineRule="auto"/>
        <w:rPr>
          <w:sz w:val="20"/>
          <w:szCs w:val="20"/>
          <w:color w:val="auto"/>
        </w:rPr>
      </w:pPr>
      <w:r>
        <w:rPr>
          <w:rFonts w:ascii="Arial" w:cs="Arial" w:eastAsia="Arial" w:hAnsi="Arial"/>
          <w:sz w:val="18"/>
          <w:szCs w:val="18"/>
          <w:color w:val="auto"/>
        </w:rPr>
        <w:t>The total amount of unrecognized tax benefits as of June 30, 2019 was $2.7 million, of which $2.5 million would affect our effective tax rate if recognized. We recognize interest and penalties related to unrecognized tax benefits through income tax expense. As of June 30, 2019, we had $0.9 million accrued for the payment of interest and penalties.</w:t>
      </w:r>
    </w:p>
    <w:p>
      <w:pPr>
        <w:spacing w:after="0" w:line="154" w:lineRule="exact"/>
        <w:rPr>
          <w:sz w:val="20"/>
          <w:szCs w:val="20"/>
          <w:color w:val="auto"/>
        </w:rPr>
      </w:pPr>
    </w:p>
    <w:p>
      <w:pPr>
        <w:jc w:val="both"/>
        <w:ind w:firstLine="815"/>
        <w:spacing w:after="0" w:line="255" w:lineRule="auto"/>
        <w:rPr>
          <w:sz w:val="20"/>
          <w:szCs w:val="20"/>
          <w:color w:val="auto"/>
        </w:rPr>
      </w:pPr>
      <w:r>
        <w:rPr>
          <w:rFonts w:ascii="Arial" w:cs="Arial" w:eastAsia="Arial" w:hAnsi="Arial"/>
          <w:sz w:val="18"/>
          <w:szCs w:val="18"/>
          <w:color w:val="auto"/>
        </w:rPr>
        <w:t>The Company is subject to examination by the Internal Revenue Service and taxing authorities in various states. The Company’s U.S. federal income tax return remains subject to income tax examinations by tax authorities for the years 2015 to 2018. The Company’s state income tax returns are under examination by certain states for tax years 2015 to 2017, and other state income tax returns are subject to examination for tax years 2014 to 2018. Tax returns for years prior to 2014 remain open in a number of states due to tax attributes generated but not utilized yet. The Company regularly assesses the likelihood of additional tax deficiencies in each of the tax jurisdictions and, accordingly, makes appropriate adjustments to the tax provision as deemed necessary.</w:t>
      </w:r>
    </w:p>
    <w:p>
      <w:pPr>
        <w:spacing w:after="0" w:line="149" w:lineRule="exact"/>
        <w:rPr>
          <w:sz w:val="20"/>
          <w:szCs w:val="20"/>
          <w:color w:val="auto"/>
        </w:rPr>
      </w:pPr>
    </w:p>
    <w:p>
      <w:pPr>
        <w:ind w:left="420" w:hanging="412"/>
        <w:spacing w:after="0"/>
        <w:tabs>
          <w:tab w:leader="none" w:pos="42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w:t>
      </w:r>
    </w:p>
    <w:p>
      <w:pPr>
        <w:spacing w:after="0" w:line="18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The following details the components of stock-based compensation for the periods presented:</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40" w:type="dxa"/>
            <w:vAlign w:val="bottom"/>
            <w:vMerge w:val="restart"/>
          </w:tcPr>
          <w:p>
            <w:pPr>
              <w:spacing w:after="0"/>
              <w:rPr>
                <w:sz w:val="20"/>
                <w:szCs w:val="20"/>
                <w:color w:val="auto"/>
              </w:rPr>
            </w:pPr>
            <w:r>
              <w:rPr>
                <w:rFonts w:ascii="Arial" w:cs="Arial" w:eastAsia="Arial" w:hAnsi="Arial"/>
                <w:sz w:val="14"/>
                <w:szCs w:val="14"/>
                <w:u w:val="single" w:color="auto"/>
                <w:color w:val="auto"/>
                <w:w w:val="91"/>
              </w:rPr>
              <w:t>(</w:t>
            </w:r>
            <w:r>
              <w:rPr>
                <w:rFonts w:ascii="Arial" w:cs="Arial" w:eastAsia="Arial" w:hAnsi="Arial"/>
                <w:sz w:val="14"/>
                <w:szCs w:val="14"/>
                <w:color w:val="auto"/>
                <w:w w:val="91"/>
              </w:rPr>
              <w:t>$ in thousands)</w:t>
            </w:r>
          </w:p>
        </w:tc>
        <w:tc>
          <w:tcPr>
            <w:tcW w:w="3600" w:type="dxa"/>
            <w:vAlign w:val="bottom"/>
            <w:vMerge w:val="restart"/>
          </w:tcPr>
          <w:p>
            <w:pPr>
              <w:spacing w:after="0"/>
              <w:rPr>
                <w:sz w:val="14"/>
                <w:szCs w:val="14"/>
                <w:color w:val="auto"/>
              </w:rPr>
            </w:pPr>
          </w:p>
        </w:tc>
        <w:tc>
          <w:tcPr>
            <w:tcW w:w="2760" w:type="dxa"/>
            <w:vAlign w:val="bottom"/>
            <w:gridSpan w:val="4"/>
          </w:tcPr>
          <w:p>
            <w:pPr>
              <w:jc w:val="right"/>
              <w:ind w:right="170"/>
              <w:spacing w:after="0"/>
              <w:rPr>
                <w:sz w:val="20"/>
                <w:szCs w:val="20"/>
                <w:color w:val="auto"/>
              </w:rPr>
            </w:pPr>
            <w:r>
              <w:rPr>
                <w:rFonts w:ascii="Arial" w:cs="Arial" w:eastAsia="Arial" w:hAnsi="Arial"/>
                <w:sz w:val="14"/>
                <w:szCs w:val="14"/>
                <w:b w:val="1"/>
                <w:bCs w:val="1"/>
                <w:color w:val="auto"/>
              </w:rPr>
              <w:t>Three Months Ended June 30,</w:t>
            </w: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960" w:type="dxa"/>
            <w:vAlign w:val="bottom"/>
            <w:gridSpan w:val="5"/>
          </w:tcPr>
          <w:p>
            <w:pPr>
              <w:ind w:left="40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62"/>
        </w:trPr>
        <w:tc>
          <w:tcPr>
            <w:tcW w:w="940" w:type="dxa"/>
            <w:vAlign w:val="bottom"/>
            <w:tcBorders>
              <w:bottom w:val="single" w:sz="8" w:color="auto"/>
            </w:tcBorders>
            <w:vMerge w:val="continue"/>
          </w:tcPr>
          <w:p>
            <w:pPr>
              <w:spacing w:after="0"/>
              <w:rPr>
                <w:sz w:val="14"/>
                <w:szCs w:val="14"/>
                <w:color w:val="auto"/>
              </w:rPr>
            </w:pPr>
          </w:p>
        </w:tc>
        <w:tc>
          <w:tcPr>
            <w:tcW w:w="3600" w:type="dxa"/>
            <w:vAlign w:val="bottom"/>
            <w:vMerge w:val="continue"/>
          </w:tcPr>
          <w:p>
            <w:pPr>
              <w:spacing w:after="0"/>
              <w:rPr>
                <w:sz w:val="14"/>
                <w:szCs w:val="14"/>
                <w:color w:val="auto"/>
              </w:rPr>
            </w:pPr>
          </w:p>
        </w:tc>
        <w:tc>
          <w:tcPr>
            <w:tcW w:w="9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2019</w:t>
            </w:r>
          </w:p>
        </w:tc>
        <w:tc>
          <w:tcPr>
            <w:tcW w:w="500" w:type="dxa"/>
            <w:vAlign w:val="bottom"/>
            <w:tcBorders>
              <w:top w:val="single" w:sz="8" w:color="auto"/>
            </w:tcBorders>
          </w:tcPr>
          <w:p>
            <w:pPr>
              <w:spacing w:after="0"/>
              <w:rPr>
                <w:sz w:val="14"/>
                <w:szCs w:val="14"/>
                <w:color w:val="auto"/>
              </w:rPr>
            </w:pPr>
          </w:p>
        </w:tc>
        <w:tc>
          <w:tcPr>
            <w:tcW w:w="1320" w:type="dxa"/>
            <w:vAlign w:val="bottom"/>
            <w:tcBorders>
              <w:top w:val="single" w:sz="8" w:color="auto"/>
            </w:tcBorders>
            <w:gridSpan w:val="2"/>
          </w:tcPr>
          <w:p>
            <w:pPr>
              <w:jc w:val="right"/>
              <w:ind w:right="110"/>
              <w:spacing w:after="0" w:line="142" w:lineRule="exact"/>
              <w:rPr>
                <w:sz w:val="20"/>
                <w:szCs w:val="20"/>
                <w:color w:val="auto"/>
              </w:rPr>
            </w:pPr>
            <w:r>
              <w:rPr>
                <w:rFonts w:ascii="Arial" w:cs="Arial" w:eastAsia="Arial" w:hAnsi="Arial"/>
                <w:sz w:val="14"/>
                <w:szCs w:val="14"/>
                <w:b w:val="1"/>
                <w:bCs w:val="1"/>
                <w:color w:val="auto"/>
              </w:rPr>
              <w:t>2018</w:t>
            </w:r>
          </w:p>
        </w:tc>
        <w:tc>
          <w:tcPr>
            <w:tcW w:w="400" w:type="dxa"/>
            <w:vAlign w:val="bottom"/>
            <w:tcBorders>
              <w:top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jc w:val="right"/>
              <w:ind w:right="497"/>
              <w:spacing w:after="0" w:line="142" w:lineRule="exact"/>
              <w:rPr>
                <w:sz w:val="20"/>
                <w:szCs w:val="20"/>
                <w:color w:val="auto"/>
              </w:rPr>
            </w:pPr>
            <w:r>
              <w:rPr>
                <w:rFonts w:ascii="Arial" w:cs="Arial" w:eastAsia="Arial" w:hAnsi="Arial"/>
                <w:sz w:val="14"/>
                <w:szCs w:val="14"/>
                <w:b w:val="1"/>
                <w:bCs w:val="1"/>
                <w:color w:val="auto"/>
              </w:rPr>
              <w:t>2019</w:t>
            </w:r>
          </w:p>
        </w:tc>
        <w:tc>
          <w:tcPr>
            <w:tcW w:w="28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jc w:val="right"/>
              <w:ind w:right="514"/>
              <w:spacing w:after="0" w:line="142" w:lineRule="exact"/>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454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940" w:type="dxa"/>
            <w:vAlign w:val="bottom"/>
            <w:tcBorders>
              <w:top w:val="single" w:sz="8" w:color="auto"/>
            </w:tcBorders>
            <w:shd w:val="clear" w:color="auto" w:fill="CFF0FC"/>
          </w:tcPr>
          <w:p>
            <w:pPr>
              <w:jc w:val="right"/>
              <w:ind w:right="759"/>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272</w:t>
            </w:r>
          </w:p>
        </w:tc>
        <w:tc>
          <w:tcPr>
            <w:tcW w:w="260" w:type="dxa"/>
            <w:vAlign w:val="bottom"/>
            <w:tcBorders>
              <w:top w:val="single" w:sz="8" w:color="CFF0FC"/>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jc w:val="right"/>
              <w:ind w:right="870"/>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FF0FC"/>
          </w:tcPr>
          <w:p>
            <w:pPr>
              <w:ind w:left="200"/>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CFF0FC"/>
            </w:tcBorders>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476</w:t>
            </w:r>
          </w:p>
        </w:tc>
        <w:tc>
          <w:tcPr>
            <w:tcW w:w="280" w:type="dxa"/>
            <w:vAlign w:val="bottom"/>
            <w:tcBorders>
              <w:top w:val="single" w:sz="8" w:color="CFF0FC"/>
            </w:tcBorders>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jc w:val="right"/>
              <w:ind w:right="18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FF0FC"/>
          </w:tcPr>
          <w:p>
            <w:pPr>
              <w:ind w:left="920"/>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540" w:type="dxa"/>
            <w:vAlign w:val="bottom"/>
            <w:gridSpan w:val="2"/>
          </w:tcPr>
          <w:p>
            <w:pPr>
              <w:spacing w:after="0"/>
              <w:rPr>
                <w:sz w:val="20"/>
                <w:szCs w:val="20"/>
                <w:color w:val="auto"/>
              </w:rPr>
            </w:pPr>
            <w:r>
              <w:rPr>
                <w:rFonts w:ascii="Arial" w:cs="Arial" w:eastAsia="Arial" w:hAnsi="Arial"/>
                <w:sz w:val="18"/>
                <w:szCs w:val="18"/>
                <w:color w:val="auto"/>
              </w:rPr>
              <w:t>Selling, general and administrative expenses</w:t>
            </w:r>
          </w:p>
        </w:tc>
        <w:tc>
          <w:tcPr>
            <w:tcW w:w="9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2,540</w:t>
            </w: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00" w:type="dxa"/>
            <w:vAlign w:val="bottom"/>
          </w:tcPr>
          <w:p>
            <w:pPr>
              <w:ind w:left="200"/>
              <w:spacing w:after="0"/>
              <w:rPr>
                <w:sz w:val="20"/>
                <w:szCs w:val="20"/>
                <w:color w:val="auto"/>
              </w:rPr>
            </w:pPr>
            <w:r>
              <w:rPr>
                <w:rFonts w:ascii="Arial" w:cs="Arial" w:eastAsia="Arial" w:hAnsi="Arial"/>
                <w:sz w:val="18"/>
                <w:szCs w:val="18"/>
                <w:color w:val="auto"/>
                <w:w w:val="99"/>
              </w:rPr>
              <w:t>—</w:t>
            </w: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4,479</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540" w:type="dxa"/>
            <w:vAlign w:val="bottom"/>
            <w:tcBorders>
              <w:top w:val="single" w:sz="8" w:color="CFF0FC"/>
              <w:bottom w:val="single" w:sz="8" w:color="CFF0FC"/>
            </w:tcBorders>
            <w:gridSpan w:val="2"/>
            <w:shd w:val="clear" w:color="auto" w:fill="CFF0FC"/>
          </w:tcPr>
          <w:p>
            <w:pPr>
              <w:ind w:left="140"/>
              <w:spacing w:after="0"/>
              <w:rPr>
                <w:sz w:val="20"/>
                <w:szCs w:val="20"/>
                <w:color w:val="auto"/>
              </w:rPr>
            </w:pPr>
            <w:r>
              <w:rPr>
                <w:rFonts w:ascii="Arial" w:cs="Arial" w:eastAsia="Arial" w:hAnsi="Arial"/>
                <w:sz w:val="18"/>
                <w:szCs w:val="18"/>
                <w:color w:val="auto"/>
              </w:rPr>
              <w:t>Total stock-based compensation expense</w:t>
            </w:r>
          </w:p>
        </w:tc>
        <w:tc>
          <w:tcPr>
            <w:tcW w:w="940" w:type="dxa"/>
            <w:vAlign w:val="bottom"/>
            <w:tcBorders>
              <w:top w:val="single" w:sz="8" w:color="auto"/>
              <w:bottom w:val="single" w:sz="8" w:color="auto"/>
            </w:tcBorders>
            <w:shd w:val="clear" w:color="auto" w:fill="CFF0FC"/>
          </w:tcPr>
          <w:p>
            <w:pPr>
              <w:jc w:val="right"/>
              <w:ind w:right="759"/>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2,812</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060" w:type="dxa"/>
            <w:vAlign w:val="bottom"/>
            <w:tcBorders>
              <w:top w:val="single" w:sz="8" w:color="auto"/>
              <w:bottom w:val="single" w:sz="8" w:color="auto"/>
            </w:tcBorders>
            <w:shd w:val="clear" w:color="auto" w:fill="CFF0FC"/>
          </w:tcPr>
          <w:p>
            <w:pPr>
              <w:jc w:val="right"/>
              <w:ind w:right="870"/>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shd w:val="clear" w:color="auto" w:fill="CFF0FC"/>
          </w:tcPr>
          <w:p>
            <w:pPr>
              <w:ind w:left="200"/>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CFF0FC"/>
              <w:bottom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4,955</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jc w:val="right"/>
              <w:ind w:right="18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FF0FC"/>
          </w:tcPr>
          <w:p>
            <w:pPr>
              <w:ind w:left="920"/>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There were no corresponding stock compensation amounts in the three and six months ended June 30, 2018.</w:t>
      </w:r>
    </w:p>
    <w:p>
      <w:pPr>
        <w:spacing w:after="0" w:line="181" w:lineRule="exact"/>
        <w:rPr>
          <w:sz w:val="20"/>
          <w:szCs w:val="20"/>
          <w:color w:val="auto"/>
        </w:rPr>
      </w:pPr>
    </w:p>
    <w:p>
      <w:pPr>
        <w:ind w:left="420" w:hanging="412"/>
        <w:spacing w:after="0"/>
        <w:tabs>
          <w:tab w:leader="none" w:pos="42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Receivable Agreement</w:t>
      </w:r>
    </w:p>
    <w:p>
      <w:pPr>
        <w:spacing w:after="0" w:line="198" w:lineRule="exact"/>
        <w:rPr>
          <w:sz w:val="20"/>
          <w:szCs w:val="20"/>
          <w:color w:val="auto"/>
        </w:rPr>
      </w:pPr>
    </w:p>
    <w:p>
      <w:pPr>
        <w:jc w:val="both"/>
        <w:ind w:firstLine="815"/>
        <w:spacing w:after="0" w:line="288" w:lineRule="auto"/>
        <w:rPr>
          <w:sz w:val="20"/>
          <w:szCs w:val="20"/>
          <w:color w:val="auto"/>
        </w:rPr>
      </w:pPr>
      <w:r>
        <w:rPr>
          <w:rFonts w:ascii="Arial" w:cs="Arial" w:eastAsia="Arial" w:hAnsi="Arial"/>
          <w:sz w:val="16"/>
          <w:szCs w:val="16"/>
          <w:color w:val="auto"/>
        </w:rPr>
        <w:t>At the closing of the Business Combination, the Company entered into a Tax Receivable Agreement (“</w:t>
      </w:r>
      <w:r>
        <w:rPr>
          <w:rFonts w:ascii="Arial" w:cs="Arial" w:eastAsia="Arial" w:hAnsi="Arial"/>
          <w:sz w:val="16"/>
          <w:szCs w:val="16"/>
          <w:b w:val="1"/>
          <w:bCs w:val="1"/>
          <w:i w:val="1"/>
          <w:iCs w:val="1"/>
          <w:color w:val="auto"/>
        </w:rPr>
        <w:t>TRA</w:t>
      </w:r>
      <w:r>
        <w:rPr>
          <w:rFonts w:ascii="Arial" w:cs="Arial" w:eastAsia="Arial" w:hAnsi="Arial"/>
          <w:sz w:val="16"/>
          <w:szCs w:val="16"/>
          <w:color w:val="auto"/>
        </w:rPr>
        <w:t>”) with PE Greenlight Holdings, LLC (the “</w:t>
      </w:r>
      <w:r>
        <w:rPr>
          <w:rFonts w:ascii="Arial" w:cs="Arial" w:eastAsia="Arial" w:hAnsi="Arial"/>
          <w:sz w:val="16"/>
          <w:szCs w:val="16"/>
          <w:b w:val="1"/>
          <w:bCs w:val="1"/>
          <w:i w:val="1"/>
          <w:iCs w:val="1"/>
          <w:color w:val="auto"/>
        </w:rPr>
        <w:t>Platinum Stockholder</w:t>
      </w:r>
      <w:r>
        <w:rPr>
          <w:rFonts w:ascii="Arial" w:cs="Arial" w:eastAsia="Arial" w:hAnsi="Arial"/>
          <w:sz w:val="16"/>
          <w:szCs w:val="16"/>
          <w:color w:val="auto"/>
        </w:rPr>
        <w:t>”) and Greenlight as the stockholder representative. The TRA generally provides for the payment by the post-closing company to the Platinum Stockholder of 50% of the net cash savings, if any, in U.S. federal, state and local income tax that the post-closing company actually realizes (or is deemed to realize in certain circumstances) in periods after the closing of the Business Combination as a result of the increase in the tax basis of the intangible assets which resulted from the acquisition of HTA by Verra Mobility prior to the Business Combination. The post-closing company generally will retain the benefit of the remaining 50% of these cash savings. The Company estimated the potential maximum benefit to be paid will be approximately $70 million, and recorded an initial liability and corresponding charge to equity at the closing of the Business Combination. Subsequently, the Company adjusted this amount. At June 30, 2019, the TRA was approximately $67.1 million of which $1.0 million was the current portion included in Accrued liabilities and $66.1 million included in Payable related to tax receivable agreement on the condensed consolidated balance sheets. Future adjustments to the liability under the TRA will be based upon changes to future anticipated taxable income and tax rates and will be recorded in the statement of operations.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21" w:name="page22"/>
    <w:bookmarkEnd w:id="2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Earn-Out Agreement</w:t>
      </w:r>
    </w:p>
    <w:p>
      <w:pPr>
        <w:spacing w:after="0" w:line="198" w:lineRule="exact"/>
        <w:rPr>
          <w:sz w:val="20"/>
          <w:szCs w:val="20"/>
          <w:color w:val="auto"/>
        </w:rPr>
      </w:pPr>
    </w:p>
    <w:p>
      <w:pPr>
        <w:jc w:val="both"/>
        <w:ind w:firstLine="815"/>
        <w:spacing w:after="0" w:line="259" w:lineRule="auto"/>
        <w:rPr>
          <w:sz w:val="20"/>
          <w:szCs w:val="20"/>
          <w:color w:val="auto"/>
        </w:rPr>
      </w:pPr>
      <w:r>
        <w:rPr>
          <w:rFonts w:ascii="Arial" w:cs="Arial" w:eastAsia="Arial" w:hAnsi="Arial"/>
          <w:sz w:val="18"/>
          <w:szCs w:val="18"/>
          <w:color w:val="auto"/>
        </w:rPr>
        <w:t>Under the Merger Agreement, the Platinum Stockholder is entitled to receive additional shares of Class A Common Stock (the “</w:t>
      </w:r>
      <w:r>
        <w:rPr>
          <w:rFonts w:ascii="Arial" w:cs="Arial" w:eastAsia="Arial" w:hAnsi="Arial"/>
          <w:sz w:val="18"/>
          <w:szCs w:val="18"/>
          <w:b w:val="1"/>
          <w:bCs w:val="1"/>
          <w:i w:val="1"/>
          <w:iCs w:val="1"/>
          <w:color w:val="auto"/>
        </w:rPr>
        <w:t>Earn-Out</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Shares”</w:t>
      </w:r>
      <w:r>
        <w:rPr>
          <w:rFonts w:ascii="Arial" w:cs="Arial" w:eastAsia="Arial" w:hAnsi="Arial"/>
          <w:sz w:val="18"/>
          <w:szCs w:val="18"/>
          <w:color w:val="auto"/>
        </w:rPr>
        <w:t>) if the volume weighted average closing sale price of one share of Class A Common Stock on the Nasdaq exceeds certain thresholds for a period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at least 10 days out of 20 consecutive trading days at any time during the five-year period following the closing of the Business Combination (the “</w:t>
      </w:r>
      <w:r>
        <w:rPr>
          <w:rFonts w:ascii="Arial" w:cs="Arial" w:eastAsia="Arial" w:hAnsi="Arial"/>
          <w:sz w:val="18"/>
          <w:szCs w:val="18"/>
          <w:b w:val="1"/>
          <w:bCs w:val="1"/>
          <w:i w:val="1"/>
          <w:iCs w:val="1"/>
          <w:color w:val="auto"/>
        </w:rPr>
        <w:t>Common</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Stock Price</w:t>
      </w:r>
      <w:r>
        <w:rPr>
          <w:rFonts w:ascii="Arial" w:cs="Arial" w:eastAsia="Arial" w:hAnsi="Arial"/>
          <w:sz w:val="18"/>
          <w:szCs w:val="18"/>
          <w:color w:val="auto"/>
        </w:rPr>
        <w:t>”).</w:t>
      </w:r>
    </w:p>
    <w:p>
      <w:pPr>
        <w:spacing w:after="0" w:line="146" w:lineRule="exact"/>
        <w:rPr>
          <w:sz w:val="20"/>
          <w:szCs w:val="20"/>
          <w:color w:val="auto"/>
        </w:rPr>
      </w:pPr>
    </w:p>
    <w:p>
      <w:pPr>
        <w:ind w:left="820"/>
        <w:spacing w:after="0"/>
        <w:rPr>
          <w:sz w:val="20"/>
          <w:szCs w:val="20"/>
          <w:color w:val="auto"/>
        </w:rPr>
      </w:pPr>
      <w:r>
        <w:rPr>
          <w:rFonts w:ascii="Arial" w:cs="Arial" w:eastAsia="Arial" w:hAnsi="Arial"/>
          <w:sz w:val="18"/>
          <w:szCs w:val="18"/>
          <w:color w:val="auto"/>
        </w:rPr>
        <w:t>The Earn-Out Shares are issued by the Company to the Platinum Stockholder as follows:</w:t>
      </w:r>
    </w:p>
    <w:p>
      <w:pPr>
        <w:spacing w:after="0" w:line="117" w:lineRule="exact"/>
        <w:rPr>
          <w:sz w:val="20"/>
          <w:szCs w:val="20"/>
          <w:color w:val="auto"/>
        </w:rPr>
      </w:pPr>
    </w:p>
    <w:p>
      <w:pPr>
        <w:ind w:left="820" w:hanging="407"/>
        <w:spacing w:after="0"/>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one-time issuance of 2,500,000 shares if the Common Stock Price is greater than $13.00;</w:t>
      </w:r>
    </w:p>
    <w:p>
      <w:pPr>
        <w:spacing w:after="0" w:line="117" w:lineRule="exact"/>
        <w:rPr>
          <w:rFonts w:ascii="Arial" w:cs="Arial" w:eastAsia="Arial" w:hAnsi="Arial"/>
          <w:sz w:val="18"/>
          <w:szCs w:val="18"/>
          <w:color w:val="auto"/>
        </w:rPr>
      </w:pPr>
    </w:p>
    <w:p>
      <w:pPr>
        <w:ind w:left="820" w:hanging="407"/>
        <w:spacing w:after="0"/>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one-time issuance of 2,500,000 shares if the Common Stock Price is greater than $15.50;</w:t>
      </w:r>
    </w:p>
    <w:p>
      <w:pPr>
        <w:spacing w:after="0" w:line="117" w:lineRule="exact"/>
        <w:rPr>
          <w:rFonts w:ascii="Arial" w:cs="Arial" w:eastAsia="Arial" w:hAnsi="Arial"/>
          <w:sz w:val="18"/>
          <w:szCs w:val="18"/>
          <w:color w:val="auto"/>
        </w:rPr>
      </w:pPr>
    </w:p>
    <w:p>
      <w:pPr>
        <w:ind w:left="820" w:hanging="407"/>
        <w:spacing w:after="0"/>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one-time issuance of 2,500,000 shares if the Common Stock Price is greater than $18.00; and</w:t>
      </w:r>
    </w:p>
    <w:p>
      <w:pPr>
        <w:spacing w:after="0" w:line="117" w:lineRule="exact"/>
        <w:rPr>
          <w:rFonts w:ascii="Arial" w:cs="Arial" w:eastAsia="Arial" w:hAnsi="Arial"/>
          <w:sz w:val="18"/>
          <w:szCs w:val="18"/>
          <w:color w:val="auto"/>
        </w:rPr>
      </w:pPr>
    </w:p>
    <w:p>
      <w:pPr>
        <w:ind w:left="820" w:hanging="407"/>
        <w:spacing w:after="0"/>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one-time issuance of 2,500,000 shares if the Common Stock Price is greater than $20.50.</w:t>
      </w:r>
    </w:p>
    <w:p>
      <w:pPr>
        <w:spacing w:after="0" w:line="185" w:lineRule="exact"/>
        <w:rPr>
          <w:sz w:val="20"/>
          <w:szCs w:val="20"/>
          <w:color w:val="auto"/>
        </w:rPr>
      </w:pPr>
    </w:p>
    <w:p>
      <w:pPr>
        <w:jc w:val="both"/>
        <w:ind w:firstLine="815"/>
        <w:spacing w:after="0" w:line="312" w:lineRule="auto"/>
        <w:rPr>
          <w:sz w:val="20"/>
          <w:szCs w:val="20"/>
          <w:color w:val="auto"/>
        </w:rPr>
      </w:pPr>
      <w:r>
        <w:rPr>
          <w:rFonts w:ascii="Arial" w:cs="Arial" w:eastAsia="Arial" w:hAnsi="Arial"/>
          <w:sz w:val="16"/>
          <w:szCs w:val="16"/>
          <w:color w:val="auto"/>
        </w:rPr>
        <w:t>If any of the Common Stock Price thresholds described in the foregoing clauses (each, a “</w:t>
      </w:r>
      <w:r>
        <w:rPr>
          <w:rFonts w:ascii="Arial" w:cs="Arial" w:eastAsia="Arial" w:hAnsi="Arial"/>
          <w:sz w:val="16"/>
          <w:szCs w:val="16"/>
          <w:b w:val="1"/>
          <w:bCs w:val="1"/>
          <w:i w:val="1"/>
          <w:iCs w:val="1"/>
          <w:color w:val="auto"/>
        </w:rPr>
        <w:t>Triggering Event</w:t>
      </w:r>
      <w:r>
        <w:rPr>
          <w:rFonts w:ascii="Arial" w:cs="Arial" w:eastAsia="Arial" w:hAnsi="Arial"/>
          <w:sz w:val="16"/>
          <w:szCs w:val="16"/>
          <w:color w:val="auto"/>
        </w:rPr>
        <w:t>”) are not achieved within the five-year period following the closing of the Business Combination, the Company will not be required to issue the Earn-Out Shares in respect of such Common Stock Price threshold. In no event shall the Platinum Stockholder be entitled to receive more than an aggregate of 10,000,000 Earn-Out Shares.</w:t>
      </w:r>
    </w:p>
    <w:p>
      <w:pPr>
        <w:spacing w:after="0" w:line="120" w:lineRule="exact"/>
        <w:rPr>
          <w:sz w:val="20"/>
          <w:szCs w:val="20"/>
          <w:color w:val="auto"/>
        </w:rPr>
      </w:pPr>
    </w:p>
    <w:p>
      <w:pPr>
        <w:jc w:val="both"/>
        <w:ind w:firstLine="815"/>
        <w:spacing w:after="0" w:line="255" w:lineRule="auto"/>
        <w:rPr>
          <w:sz w:val="20"/>
          <w:szCs w:val="20"/>
          <w:color w:val="auto"/>
        </w:rPr>
      </w:pPr>
      <w:r>
        <w:rPr>
          <w:rFonts w:ascii="Arial" w:cs="Arial" w:eastAsia="Arial" w:hAnsi="Arial"/>
          <w:sz w:val="18"/>
          <w:szCs w:val="18"/>
          <w:color w:val="auto"/>
        </w:rPr>
        <w:t>If, during the earn-out period, there is a change of control (as defined in the Merger Agreement) that will result in the holders of Parent Class A Common Stock receiving a per share price equal to or in excess of the applicable Common Stock Price required in connection with any Triggering Event (an “</w:t>
      </w:r>
      <w:r>
        <w:rPr>
          <w:rFonts w:ascii="Arial" w:cs="Arial" w:eastAsia="Arial" w:hAnsi="Arial"/>
          <w:sz w:val="18"/>
          <w:szCs w:val="18"/>
          <w:b w:val="1"/>
          <w:bCs w:val="1"/>
          <w:i w:val="1"/>
          <w:iCs w:val="1"/>
          <w:color w:val="auto"/>
        </w:rPr>
        <w:t>Acceleration Event</w:t>
      </w:r>
      <w:r>
        <w:rPr>
          <w:rFonts w:ascii="Arial" w:cs="Arial" w:eastAsia="Arial" w:hAnsi="Arial"/>
          <w:sz w:val="18"/>
          <w:szCs w:val="18"/>
          <w:color w:val="auto"/>
        </w:rPr>
        <w:t>”), then immediately prior to the consummation of such change of control: (a) any such Triggering Event that has not previously occurred shall be deemed to have occurred; and (b) Parent shall issue the applicable Earn-Out Shares to the cash consideration stockholders (as defined in the Merger Agreement) (in accordance with their respective pro rata cash share), and the recipients of the issued Earn-Out Shares shall be eligible to participate in such change of control.</w:t>
      </w:r>
    </w:p>
    <w:p>
      <w:pPr>
        <w:spacing w:after="0" w:line="153" w:lineRule="exact"/>
        <w:rPr>
          <w:sz w:val="20"/>
          <w:szCs w:val="20"/>
          <w:color w:val="auto"/>
        </w:rPr>
      </w:pPr>
    </w:p>
    <w:p>
      <w:pPr>
        <w:jc w:val="both"/>
        <w:ind w:firstLine="815"/>
        <w:spacing w:after="0" w:line="255" w:lineRule="auto"/>
        <w:rPr>
          <w:sz w:val="20"/>
          <w:szCs w:val="20"/>
          <w:color w:val="auto"/>
        </w:rPr>
      </w:pPr>
      <w:r>
        <w:rPr>
          <w:rFonts w:ascii="Arial" w:cs="Arial" w:eastAsia="Arial" w:hAnsi="Arial"/>
          <w:sz w:val="18"/>
          <w:szCs w:val="18"/>
          <w:color w:val="auto"/>
        </w:rPr>
        <w:t>The Company has estimated the fair value of the contingently issuable shares to be $73.15 million. The Company used a Monte Carlo simulation option-pricing model to arrive at this estimate. Each tranche was valued separately giving specific consideration to the tranche’s price target. The simulation considered volatility and risk free rates utilizing a peer group based on a five year term. This was initially recorded as a distribution to shareholders and was presented as contingently issuable shares. Upon the occurrence of a Triggering Event, any issuable shares would be transferred from contingently issuable shares to common stock and additional paid-in capital. Any contingently issuable shares not issued as a result of a Triggering Event not being attained by the end of earn-out period will be cancelled.</w:t>
      </w:r>
    </w:p>
    <w:p>
      <w:pPr>
        <w:spacing w:after="0" w:line="153" w:lineRule="exact"/>
        <w:rPr>
          <w:sz w:val="20"/>
          <w:szCs w:val="20"/>
          <w:color w:val="auto"/>
        </w:rPr>
      </w:pPr>
    </w:p>
    <w:p>
      <w:pPr>
        <w:jc w:val="both"/>
        <w:ind w:firstLine="815"/>
        <w:spacing w:after="0" w:line="302" w:lineRule="auto"/>
        <w:rPr>
          <w:sz w:val="20"/>
          <w:szCs w:val="20"/>
          <w:color w:val="auto"/>
        </w:rPr>
      </w:pPr>
      <w:r>
        <w:rPr>
          <w:rFonts w:ascii="Arial" w:cs="Arial" w:eastAsia="Arial" w:hAnsi="Arial"/>
          <w:sz w:val="16"/>
          <w:szCs w:val="16"/>
          <w:color w:val="auto"/>
        </w:rPr>
        <w:t>On April 26, 2019, the Triggering Event for the issuance of the first tranche of Earn-Out Shares occurred, as the volume weighted average closing price per share of the Company’s Class A Common Stock as of that date had been greater than $13.00 for 10 out of 20 consecutive trading days. This Triggering Event resulted in the issuance of 2,500,000 shares of the Company’s Class A Common Stock and an increase in the Company’s common stock and additional paid-in capital accounts of $18.3 million, with a corresponding decrease to the common stock contingent consideration account.</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Platinum Stockholder Secondary Offering</w:t>
      </w:r>
    </w:p>
    <w:p>
      <w:pPr>
        <w:spacing w:after="0" w:line="185" w:lineRule="exact"/>
        <w:rPr>
          <w:sz w:val="20"/>
          <w:szCs w:val="20"/>
          <w:color w:val="auto"/>
        </w:rPr>
      </w:pPr>
    </w:p>
    <w:p>
      <w:pPr>
        <w:jc w:val="both"/>
        <w:ind w:firstLine="815"/>
        <w:spacing w:after="0" w:line="270" w:lineRule="auto"/>
        <w:rPr>
          <w:sz w:val="20"/>
          <w:szCs w:val="20"/>
          <w:color w:val="auto"/>
        </w:rPr>
      </w:pPr>
      <w:r>
        <w:rPr>
          <w:rFonts w:ascii="Arial" w:cs="Arial" w:eastAsia="Arial" w:hAnsi="Arial"/>
          <w:sz w:val="17"/>
          <w:szCs w:val="17"/>
          <w:color w:val="auto"/>
        </w:rPr>
        <w:t>On June 10, 2019, the Platinum Stockholder sold 15,000,000 shares of the Company’s Class A Common Stock in a secondary offering. On July 8, 2019, the underwriters of the secondary offering fully exercised the overallotment option granted at the time of the secondary offering to purchase an additional 2,250,000 shares of the Company’s Class A Common Stock at the secondary offering price of $12.50 per share, less underwriting discounts and commissions, from the Platinum Stockholder. The Company received no proceeds from the secondary offering or the exercise of the overallotment option. The Company incurred $1.1 million in expenses related to the secondary offering, consisting of various registration, filing and professional services fees, which were included in the selling, general and administrative expenses in the condensed consolidated statements of operations. Specifically, pursuant to the Amended and Restated Registration Rights Agreement dated as of October 17, 2018, the Company was required to pay, among other things, all registration and filing fees, reasonable fees and expenses of legal counsel for the Platinum Stockholder, and road show and marketing expenses. After giving effect to the secondary offering and exercise of the overallotment option, the Platinum Stockholder held approximately 24.6% of the Company’s outstanding Class A Common Stock.</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22" w:name="page23"/>
    <w:bookmarkEnd w:id="2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Advisory Services Agreement</w:t>
      </w:r>
    </w:p>
    <w:p>
      <w:pPr>
        <w:spacing w:after="0" w:line="198" w:lineRule="exact"/>
        <w:rPr>
          <w:sz w:val="20"/>
          <w:szCs w:val="20"/>
          <w:color w:val="auto"/>
        </w:rPr>
      </w:pPr>
    </w:p>
    <w:p>
      <w:pPr>
        <w:jc w:val="both"/>
        <w:ind w:firstLine="815"/>
        <w:spacing w:after="0" w:line="312" w:lineRule="auto"/>
        <w:rPr>
          <w:sz w:val="20"/>
          <w:szCs w:val="20"/>
          <w:color w:val="auto"/>
        </w:rPr>
      </w:pPr>
      <w:r>
        <w:rPr>
          <w:rFonts w:ascii="Arial" w:cs="Arial" w:eastAsia="Arial" w:hAnsi="Arial"/>
          <w:sz w:val="16"/>
          <w:szCs w:val="16"/>
          <w:color w:val="auto"/>
        </w:rPr>
        <w:t>On January 7, 2019, the Company entered into a new corporate advisory services agreement with Platinum Equity Advisors, LLC (“</w:t>
      </w:r>
      <w:r>
        <w:rPr>
          <w:rFonts w:ascii="Arial" w:cs="Arial" w:eastAsia="Arial" w:hAnsi="Arial"/>
          <w:sz w:val="16"/>
          <w:szCs w:val="16"/>
          <w:b w:val="1"/>
          <w:bCs w:val="1"/>
          <w:i w:val="1"/>
          <w:iCs w:val="1"/>
          <w:color w:val="auto"/>
        </w:rPr>
        <w:t>Advisors</w:t>
      </w:r>
      <w:r>
        <w:rPr>
          <w:rFonts w:ascii="Arial" w:cs="Arial" w:eastAsia="Arial" w:hAnsi="Arial"/>
          <w:sz w:val="16"/>
          <w:szCs w:val="16"/>
          <w:color w:val="auto"/>
        </w:rPr>
        <w:t>”), whereby Advisors will provide certain transactional and corporate advisory services to the Company as mutually agreed by the parties. No fees are payable under the agreement, but the Company must reimburse Advisors for its out-of-pocket expenses incurred in connection with services rendered.</w:t>
      </w:r>
    </w:p>
    <w:p>
      <w:pPr>
        <w:spacing w:after="0" w:line="102" w:lineRule="exact"/>
        <w:rPr>
          <w:sz w:val="20"/>
          <w:szCs w:val="20"/>
          <w:color w:val="auto"/>
        </w:rPr>
      </w:pPr>
    </w:p>
    <w:p>
      <w:pPr>
        <w:ind w:left="420" w:hanging="412"/>
        <w:spacing w:after="0"/>
        <w:tabs>
          <w:tab w:leader="none" w:pos="42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89" w:lineRule="exact"/>
        <w:rPr>
          <w:sz w:val="20"/>
          <w:szCs w:val="20"/>
          <w:color w:val="auto"/>
        </w:rPr>
      </w:pPr>
    </w:p>
    <w:p>
      <w:pPr>
        <w:jc w:val="both"/>
        <w:ind w:firstLine="815"/>
        <w:spacing w:after="0" w:line="277" w:lineRule="auto"/>
        <w:rPr>
          <w:sz w:val="20"/>
          <w:szCs w:val="20"/>
          <w:color w:val="auto"/>
        </w:rPr>
      </w:pPr>
      <w:r>
        <w:rPr>
          <w:rFonts w:ascii="Arial" w:cs="Arial" w:eastAsia="Arial" w:hAnsi="Arial"/>
          <w:sz w:val="18"/>
          <w:szCs w:val="18"/>
          <w:color w:val="auto"/>
        </w:rPr>
        <w:t>The Company has issued various letters of credit under contractual arrangements with certain of its vendors and customers. Outstanding letters of credit under these arrangements totaled $0.1 million at June 30, 2019.</w:t>
      </w:r>
    </w:p>
    <w:p>
      <w:pPr>
        <w:spacing w:after="0" w:line="130" w:lineRule="exact"/>
        <w:rPr>
          <w:sz w:val="20"/>
          <w:szCs w:val="20"/>
          <w:color w:val="auto"/>
        </w:rPr>
      </w:pPr>
    </w:p>
    <w:p>
      <w:pPr>
        <w:jc w:val="both"/>
        <w:ind w:firstLine="815"/>
        <w:spacing w:after="0" w:line="277" w:lineRule="auto"/>
        <w:rPr>
          <w:sz w:val="20"/>
          <w:szCs w:val="20"/>
          <w:color w:val="auto"/>
        </w:rPr>
      </w:pPr>
      <w:r>
        <w:rPr>
          <w:rFonts w:ascii="Arial" w:cs="Arial" w:eastAsia="Arial" w:hAnsi="Arial"/>
          <w:sz w:val="18"/>
          <w:szCs w:val="18"/>
          <w:color w:val="auto"/>
        </w:rPr>
        <w:t>The Company has issued non-cancelable purchase commitments to certain vendors. The aggregate non-cancelable purchase commitments outstanding at June 30, 2019 were $17.9 million.</w:t>
      </w:r>
    </w:p>
    <w:p>
      <w:pPr>
        <w:spacing w:after="0" w:line="143" w:lineRule="exact"/>
        <w:rPr>
          <w:sz w:val="20"/>
          <w:szCs w:val="20"/>
          <w:color w:val="auto"/>
        </w:rPr>
      </w:pPr>
    </w:p>
    <w:p>
      <w:pPr>
        <w:ind w:right="260" w:firstLine="815"/>
        <w:spacing w:after="0" w:line="454" w:lineRule="auto"/>
        <w:rPr>
          <w:sz w:val="20"/>
          <w:szCs w:val="20"/>
          <w:color w:val="auto"/>
        </w:rPr>
      </w:pPr>
      <w:r>
        <w:rPr>
          <w:rFonts w:ascii="Arial" w:cs="Arial" w:eastAsia="Arial" w:hAnsi="Arial"/>
          <w:sz w:val="18"/>
          <w:szCs w:val="18"/>
          <w:color w:val="auto"/>
        </w:rPr>
        <w:t xml:space="preserve">The Company is subject to tax audits in the normal course of business and does not have material contingencies recorded related to such audits. </w:t>
      </w:r>
      <w:r>
        <w:rPr>
          <w:rFonts w:ascii="Arial" w:cs="Arial" w:eastAsia="Arial" w:hAnsi="Arial"/>
          <w:sz w:val="18"/>
          <w:szCs w:val="18"/>
          <w:b w:val="1"/>
          <w:bCs w:val="1"/>
          <w:i w:val="1"/>
          <w:iCs w:val="1"/>
          <w:color w:val="auto"/>
        </w:rPr>
        <w:t>Legal Proceedings</w:t>
      </w:r>
    </w:p>
    <w:p>
      <w:pPr>
        <w:jc w:val="both"/>
        <w:ind w:firstLine="815"/>
        <w:spacing w:after="0" w:line="255" w:lineRule="auto"/>
        <w:rPr>
          <w:sz w:val="20"/>
          <w:szCs w:val="20"/>
          <w:color w:val="auto"/>
        </w:rPr>
      </w:pPr>
      <w:r>
        <w:rPr>
          <w:rFonts w:ascii="Arial" w:cs="Arial" w:eastAsia="Arial" w:hAnsi="Arial"/>
          <w:sz w:val="18"/>
          <w:szCs w:val="18"/>
          <w:color w:val="auto"/>
        </w:rPr>
        <w:t>The Company is subject to legal and regulatory actions that arise from time to time in the ordinary course of business. The Company records a liability when it believes it is probable a loss will be incurred and the amount of loss or range of loss can be reasonably estimated. The assessment as to whether a loss is probable, reasonably possible or remote, and as to whether a loss or a range of such loss is estimable, often involves significant judgment about future events. The Company has determined that resolution of pending matters is not probable to have a material adverse impact on its condensed consolidated results of operations, cash flows, or financial position. However, the outcome of litigation is inherently uncertain. As additional information becomes available, the Company reassesses the potential liability.</w:t>
      </w:r>
    </w:p>
    <w:p>
      <w:pPr>
        <w:spacing w:after="0" w:line="162" w:lineRule="exact"/>
        <w:rPr>
          <w:sz w:val="20"/>
          <w:szCs w:val="20"/>
          <w:color w:val="auto"/>
        </w:rPr>
      </w:pPr>
    </w:p>
    <w:p>
      <w:pPr>
        <w:ind w:left="420" w:hanging="412"/>
        <w:spacing w:after="0"/>
        <w:tabs>
          <w:tab w:leader="none" w:pos="42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Segment Reporting</w:t>
      </w:r>
    </w:p>
    <w:p>
      <w:pPr>
        <w:spacing w:after="0" w:line="189" w:lineRule="exact"/>
        <w:rPr>
          <w:sz w:val="20"/>
          <w:szCs w:val="20"/>
          <w:color w:val="auto"/>
        </w:rPr>
      </w:pPr>
    </w:p>
    <w:p>
      <w:pPr>
        <w:jc w:val="both"/>
        <w:ind w:firstLine="815"/>
        <w:spacing w:after="0" w:line="297" w:lineRule="auto"/>
        <w:rPr>
          <w:sz w:val="20"/>
          <w:szCs w:val="20"/>
          <w:color w:val="auto"/>
        </w:rPr>
      </w:pPr>
      <w:r>
        <w:rPr>
          <w:rFonts w:ascii="Arial" w:cs="Arial" w:eastAsia="Arial" w:hAnsi="Arial"/>
          <w:sz w:val="16"/>
          <w:szCs w:val="16"/>
          <w:color w:val="auto"/>
        </w:rPr>
        <w:t>The Company has two operating and reportable segments, Commercial Services and Government Solutions. Commercial Services offers toll and violation management solutions to commercial fleet vehicle owners, rental car companies and violation issuing authorities. Government Solutions implements and administers traffic safety programs and products for municipalities and local government agencies of all sizes. The Company’s Chief Operating Decision Maker (“</w:t>
      </w:r>
      <w:r>
        <w:rPr>
          <w:rFonts w:ascii="Arial" w:cs="Arial" w:eastAsia="Arial" w:hAnsi="Arial"/>
          <w:sz w:val="16"/>
          <w:szCs w:val="16"/>
          <w:b w:val="1"/>
          <w:bCs w:val="1"/>
          <w:i w:val="1"/>
          <w:iCs w:val="1"/>
          <w:color w:val="auto"/>
        </w:rPr>
        <w:t>CODM</w:t>
      </w:r>
      <w:r>
        <w:rPr>
          <w:rFonts w:ascii="Arial" w:cs="Arial" w:eastAsia="Arial" w:hAnsi="Arial"/>
          <w:sz w:val="16"/>
          <w:szCs w:val="16"/>
          <w:color w:val="auto"/>
        </w:rPr>
        <w:t>”) function is comprised of the Company’s CEO and certain defined representatives of the Company’s executive management team. The Company’s CODM function monitors operating performance, allocates resources and deploys capital based on these two segments.</w:t>
      </w:r>
    </w:p>
    <w:p>
      <w:pPr>
        <w:spacing w:after="0" w:line="118" w:lineRule="exact"/>
        <w:rPr>
          <w:sz w:val="20"/>
          <w:szCs w:val="20"/>
          <w:color w:val="auto"/>
        </w:rPr>
      </w:pPr>
    </w:p>
    <w:p>
      <w:pPr>
        <w:jc w:val="both"/>
        <w:ind w:firstLine="815"/>
        <w:spacing w:after="0" w:line="255" w:lineRule="auto"/>
        <w:rPr>
          <w:sz w:val="20"/>
          <w:szCs w:val="20"/>
          <w:color w:val="auto"/>
        </w:rPr>
      </w:pPr>
      <w:r>
        <w:rPr>
          <w:rFonts w:ascii="Arial" w:cs="Arial" w:eastAsia="Arial" w:hAnsi="Arial"/>
          <w:sz w:val="18"/>
          <w:szCs w:val="18"/>
          <w:color w:val="auto"/>
        </w:rPr>
        <w:t>Segment performance is based on revenues and income (loss) from operations before depreciation, amortization, gain (loss) on disposal of assets, impairment of property and equipment, stock-based compensation, interest expense, net, loss on extinguishment of debt, income taxes and after other (income), net. The tables below refer to this measure as Segment profit (loss). The aforementioned items are not indicative of operating performance, and, as a result are not included in the measures that are reviewed by the CODM function for the operating and reportable segments. Other (income), net consists primarily of credit card rebates earned on the prepayment of tolling violations and therefore included in Segment profit (loss). There are no significant non-cash items reported in Segment profit (loss).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23" w:name="page24"/>
    <w:bookmarkEnd w:id="2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90" w:lineRule="exact"/>
        <w:rPr>
          <w:sz w:val="20"/>
          <w:szCs w:val="20"/>
          <w:color w:val="auto"/>
        </w:rPr>
      </w:pPr>
    </w:p>
    <w:p>
      <w:pPr>
        <w:ind w:left="820"/>
        <w:spacing w:after="0"/>
        <w:rPr>
          <w:sz w:val="20"/>
          <w:szCs w:val="20"/>
          <w:color w:val="auto"/>
        </w:rPr>
      </w:pPr>
      <w:r>
        <w:rPr>
          <w:rFonts w:ascii="Arial" w:cs="Arial" w:eastAsia="Arial" w:hAnsi="Arial"/>
          <w:sz w:val="18"/>
          <w:szCs w:val="18"/>
          <w:color w:val="auto"/>
        </w:rPr>
        <w:t>The following tables set forth financial information by segment for the respective periods: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0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940" w:type="dxa"/>
            <w:vAlign w:val="bottom"/>
            <w:tcBorders>
              <w:bottom w:val="single" w:sz="8" w:color="auto"/>
            </w:tcBorders>
            <w:gridSpan w:val="6"/>
          </w:tcPr>
          <w:p>
            <w:pPr>
              <w:jc w:val="right"/>
              <w:ind w:right="200"/>
              <w:spacing w:after="0"/>
              <w:rPr>
                <w:sz w:val="20"/>
                <w:szCs w:val="20"/>
                <w:color w:val="auto"/>
              </w:rPr>
            </w:pPr>
            <w:r>
              <w:rPr>
                <w:rFonts w:ascii="Arial" w:cs="Arial" w:eastAsia="Arial" w:hAnsi="Arial"/>
                <w:sz w:val="14"/>
                <w:szCs w:val="14"/>
                <w:b w:val="1"/>
                <w:bCs w:val="1"/>
                <w:color w:val="auto"/>
                <w:w w:val="95"/>
              </w:rPr>
              <w:t>For the Three Months Ended June 30, 2019</w:t>
            </w:r>
          </w:p>
        </w:tc>
        <w:tc>
          <w:tcPr>
            <w:tcW w:w="1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100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tcPr>
          <w:p>
            <w:pPr>
              <w:jc w:val="center"/>
              <w:ind w:right="320"/>
              <w:spacing w:after="0" w:line="147" w:lineRule="exact"/>
              <w:rPr>
                <w:sz w:val="20"/>
                <w:szCs w:val="20"/>
                <w:color w:val="auto"/>
              </w:rPr>
            </w:pPr>
            <w:r>
              <w:rPr>
                <w:rFonts w:ascii="Arial" w:cs="Arial" w:eastAsia="Arial" w:hAnsi="Arial"/>
                <w:sz w:val="14"/>
                <w:szCs w:val="14"/>
                <w:b w:val="1"/>
                <w:bCs w:val="1"/>
                <w:color w:val="auto"/>
                <w:w w:val="94"/>
              </w:rPr>
              <w:t>Commercial</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tcPr>
          <w:p>
            <w:pPr>
              <w:jc w:val="center"/>
              <w:ind w:right="440"/>
              <w:spacing w:after="0" w:line="147" w:lineRule="exact"/>
              <w:rPr>
                <w:sz w:val="20"/>
                <w:szCs w:val="20"/>
                <w:color w:val="auto"/>
              </w:rPr>
            </w:pPr>
            <w:r>
              <w:rPr>
                <w:rFonts w:ascii="Arial" w:cs="Arial" w:eastAsia="Arial" w:hAnsi="Arial"/>
                <w:sz w:val="14"/>
                <w:szCs w:val="14"/>
                <w:b w:val="1"/>
                <w:bCs w:val="1"/>
                <w:color w:val="auto"/>
                <w:w w:val="92"/>
              </w:rPr>
              <w:t>Government</w:t>
            </w:r>
          </w:p>
        </w:tc>
        <w:tc>
          <w:tcPr>
            <w:tcW w:w="220" w:type="dxa"/>
            <w:vAlign w:val="bottom"/>
          </w:tcPr>
          <w:p>
            <w:pPr>
              <w:spacing w:after="0"/>
              <w:rPr>
                <w:sz w:val="12"/>
                <w:szCs w:val="12"/>
                <w:color w:val="auto"/>
              </w:rPr>
            </w:pPr>
          </w:p>
        </w:tc>
        <w:tc>
          <w:tcPr>
            <w:tcW w:w="1300" w:type="dxa"/>
            <w:vAlign w:val="bottom"/>
            <w:gridSpan w:val="2"/>
          </w:tcPr>
          <w:p>
            <w:pPr>
              <w:jc w:val="right"/>
              <w:ind w:right="540"/>
              <w:spacing w:after="0" w:line="147" w:lineRule="exact"/>
              <w:rPr>
                <w:sz w:val="20"/>
                <w:szCs w:val="20"/>
                <w:color w:val="auto"/>
              </w:rPr>
            </w:pPr>
            <w:r>
              <w:rPr>
                <w:rFonts w:ascii="Arial" w:cs="Arial" w:eastAsia="Arial" w:hAnsi="Arial"/>
                <w:sz w:val="14"/>
                <w:szCs w:val="14"/>
                <w:b w:val="1"/>
                <w:bCs w:val="1"/>
                <w:color w:val="auto"/>
              </w:rPr>
              <w:t>Corporate</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1000" w:type="dxa"/>
            <w:vAlign w:val="bottom"/>
            <w:tcBorders>
              <w:bottom w:val="single" w:sz="8" w:color="auto"/>
            </w:tcBorders>
          </w:tcPr>
          <w:p>
            <w:pPr>
              <w:spacing w:after="0" w:line="158" w:lineRule="exact"/>
              <w:rPr>
                <w:sz w:val="20"/>
                <w:szCs w:val="20"/>
                <w:color w:val="auto"/>
              </w:rPr>
            </w:pPr>
            <w:r>
              <w:rPr>
                <w:rFonts w:ascii="Arial" w:cs="Arial" w:eastAsia="Arial" w:hAnsi="Arial"/>
                <w:sz w:val="14"/>
                <w:szCs w:val="14"/>
                <w:b w:val="1"/>
                <w:bCs w:val="1"/>
                <w:u w:val="single" w:color="auto"/>
                <w:color w:val="auto"/>
                <w:w w:val="90"/>
              </w:rPr>
              <w:t>(</w:t>
            </w:r>
            <w:r>
              <w:rPr>
                <w:rFonts w:ascii="Arial" w:cs="Arial" w:eastAsia="Arial" w:hAnsi="Arial"/>
                <w:sz w:val="14"/>
                <w:szCs w:val="14"/>
                <w:b w:val="1"/>
                <w:bCs w:val="1"/>
                <w:color w:val="auto"/>
                <w:w w:val="90"/>
              </w:rPr>
              <w:t>$ in thousands)</w:t>
            </w:r>
          </w:p>
        </w:tc>
        <w:tc>
          <w:tcPr>
            <w:tcW w:w="34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gridSpan w:val="2"/>
          </w:tcPr>
          <w:p>
            <w:pPr>
              <w:jc w:val="center"/>
              <w:ind w:right="320"/>
              <w:spacing w:after="0" w:line="158" w:lineRule="exact"/>
              <w:rPr>
                <w:sz w:val="20"/>
                <w:szCs w:val="20"/>
                <w:color w:val="auto"/>
              </w:rPr>
            </w:pPr>
            <w:r>
              <w:rPr>
                <w:rFonts w:ascii="Arial" w:cs="Arial" w:eastAsia="Arial" w:hAnsi="Arial"/>
                <w:sz w:val="14"/>
                <w:szCs w:val="14"/>
                <w:b w:val="1"/>
                <w:bCs w:val="1"/>
                <w:color w:val="auto"/>
                <w:w w:val="90"/>
              </w:rPr>
              <w:t>Services</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gridSpan w:val="2"/>
          </w:tcPr>
          <w:p>
            <w:pPr>
              <w:jc w:val="center"/>
              <w:ind w:right="440"/>
              <w:spacing w:after="0" w:line="158" w:lineRule="exact"/>
              <w:rPr>
                <w:sz w:val="20"/>
                <w:szCs w:val="20"/>
                <w:color w:val="auto"/>
              </w:rPr>
            </w:pPr>
            <w:r>
              <w:rPr>
                <w:rFonts w:ascii="Arial" w:cs="Arial" w:eastAsia="Arial" w:hAnsi="Arial"/>
                <w:sz w:val="14"/>
                <w:szCs w:val="14"/>
                <w:b w:val="1"/>
                <w:bCs w:val="1"/>
                <w:color w:val="auto"/>
                <w:w w:val="87"/>
              </w:rPr>
              <w:t>Solutions</w:t>
            </w:r>
          </w:p>
        </w:tc>
        <w:tc>
          <w:tcPr>
            <w:tcW w:w="220" w:type="dxa"/>
            <w:vAlign w:val="bottom"/>
          </w:tcPr>
          <w:p>
            <w:pPr>
              <w:spacing w:after="0"/>
              <w:rPr>
                <w:sz w:val="15"/>
                <w:szCs w:val="15"/>
                <w:color w:val="auto"/>
              </w:rPr>
            </w:pPr>
          </w:p>
        </w:tc>
        <w:tc>
          <w:tcPr>
            <w:tcW w:w="1300" w:type="dxa"/>
            <w:vAlign w:val="bottom"/>
            <w:gridSpan w:val="2"/>
          </w:tcPr>
          <w:p>
            <w:pPr>
              <w:jc w:val="right"/>
              <w:ind w:right="540"/>
              <w:spacing w:after="0" w:line="158" w:lineRule="exact"/>
              <w:rPr>
                <w:sz w:val="20"/>
                <w:szCs w:val="20"/>
                <w:color w:val="auto"/>
              </w:rPr>
            </w:pPr>
            <w:r>
              <w:rPr>
                <w:rFonts w:ascii="Arial" w:cs="Arial" w:eastAsia="Arial" w:hAnsi="Arial"/>
                <w:sz w:val="14"/>
                <w:szCs w:val="14"/>
                <w:b w:val="1"/>
                <w:bCs w:val="1"/>
                <w:color w:val="auto"/>
              </w:rPr>
              <w:t>and Other</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gridSpan w:val="2"/>
          </w:tcPr>
          <w:p>
            <w:pPr>
              <w:jc w:val="right"/>
              <w:ind w:right="580"/>
              <w:spacing w:after="0" w:line="158" w:lineRule="exact"/>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442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Service revenue</w:t>
            </w:r>
          </w:p>
        </w:tc>
        <w:tc>
          <w:tcPr>
            <w:tcW w:w="120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68,091</w:t>
            </w:r>
          </w:p>
        </w:tc>
        <w:tc>
          <w:tcPr>
            <w:tcW w:w="18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34,966</w:t>
            </w:r>
          </w:p>
        </w:tc>
        <w:tc>
          <w:tcPr>
            <w:tcW w:w="30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103,057</w:t>
            </w:r>
          </w:p>
        </w:tc>
        <w:tc>
          <w:tcPr>
            <w:tcW w:w="120" w:type="dxa"/>
            <w:vAlign w:val="bottom"/>
            <w:tcBorders>
              <w:top w:val="single" w:sz="8" w:color="CFF0FC"/>
            </w:tcBorders>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20" w:type="dxa"/>
            <w:vAlign w:val="bottom"/>
            <w:gridSpan w:val="2"/>
          </w:tcPr>
          <w:p>
            <w:pPr>
              <w:spacing w:after="0"/>
              <w:rPr>
                <w:sz w:val="20"/>
                <w:szCs w:val="20"/>
                <w:color w:val="auto"/>
              </w:rPr>
            </w:pPr>
            <w:r>
              <w:rPr>
                <w:rFonts w:ascii="Arial" w:cs="Arial" w:eastAsia="Arial" w:hAnsi="Arial"/>
                <w:sz w:val="18"/>
                <w:szCs w:val="18"/>
                <w:color w:val="auto"/>
              </w:rPr>
              <w:t>Product sales</w:t>
            </w:r>
          </w:p>
        </w:tc>
        <w:tc>
          <w:tcPr>
            <w:tcW w:w="1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6,518</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6,518</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20" w:type="dxa"/>
            <w:vAlign w:val="bottom"/>
            <w:tcBorders>
              <w:top w:val="single" w:sz="8" w:color="CFF0FC"/>
            </w:tcBorders>
            <w:gridSpan w:val="2"/>
            <w:shd w:val="clear" w:color="auto" w:fill="CFF0FC"/>
          </w:tcPr>
          <w:p>
            <w:pPr>
              <w:ind w:left="140"/>
              <w:spacing w:after="0"/>
              <w:rPr>
                <w:sz w:val="20"/>
                <w:szCs w:val="20"/>
                <w:color w:val="auto"/>
              </w:rPr>
            </w:pPr>
            <w:r>
              <w:rPr>
                <w:rFonts w:ascii="Arial" w:cs="Arial" w:eastAsia="Arial" w:hAnsi="Arial"/>
                <w:sz w:val="18"/>
                <w:szCs w:val="18"/>
                <w:color w:val="auto"/>
              </w:rPr>
              <w:t>Total revenue</w:t>
            </w:r>
          </w:p>
        </w:tc>
        <w:tc>
          <w:tcPr>
            <w:tcW w:w="1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68,091</w:t>
            </w: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41,484</w:t>
            </w:r>
          </w:p>
        </w:tc>
        <w:tc>
          <w:tcPr>
            <w:tcW w:w="3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109,575</w:t>
            </w:r>
          </w:p>
        </w:tc>
        <w:tc>
          <w:tcPr>
            <w:tcW w:w="12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gridSpan w:val="2"/>
          </w:tcPr>
          <w:p>
            <w:pPr>
              <w:spacing w:after="0"/>
              <w:rPr>
                <w:sz w:val="20"/>
                <w:szCs w:val="20"/>
                <w:color w:val="auto"/>
              </w:rPr>
            </w:pPr>
            <w:r>
              <w:rPr>
                <w:rFonts w:ascii="Arial" w:cs="Arial" w:eastAsia="Arial" w:hAnsi="Arial"/>
                <w:sz w:val="18"/>
                <w:szCs w:val="18"/>
                <w:color w:val="auto"/>
              </w:rPr>
              <w:t>Cost of service revenue</w:t>
            </w:r>
          </w:p>
        </w:tc>
        <w:tc>
          <w:tcPr>
            <w:tcW w:w="1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915</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698</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1,613</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Cost of product sales</w:t>
            </w:r>
          </w:p>
        </w:tc>
        <w:tc>
          <w:tcPr>
            <w:tcW w:w="1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2,918</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2,918</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16,722</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14,801</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31,523</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Selling, general and administrative expenses</w:t>
            </w:r>
          </w:p>
        </w:tc>
        <w:tc>
          <w:tcPr>
            <w:tcW w:w="1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9,629</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7,561</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1,135</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18,325</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gridSpan w:val="2"/>
          </w:tcPr>
          <w:p>
            <w:pPr>
              <w:spacing w:after="0"/>
              <w:rPr>
                <w:sz w:val="20"/>
                <w:szCs w:val="20"/>
                <w:color w:val="auto"/>
              </w:rPr>
            </w:pPr>
            <w:r>
              <w:rPr>
                <w:rFonts w:ascii="Arial" w:cs="Arial" w:eastAsia="Arial" w:hAnsi="Arial"/>
                <w:sz w:val="18"/>
                <w:szCs w:val="18"/>
                <w:color w:val="auto"/>
              </w:rPr>
              <w:t>Other income, net</w:t>
            </w:r>
          </w:p>
        </w:tc>
        <w:tc>
          <w:tcPr>
            <w:tcW w:w="1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(3,308)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(37)</w:t>
            </w:r>
          </w:p>
        </w:tc>
        <w:tc>
          <w:tcPr>
            <w:tcW w:w="22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(3,345)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20" w:type="dxa"/>
            <w:vAlign w:val="bottom"/>
            <w:tcBorders>
              <w:top w:val="single" w:sz="8" w:color="CFF0FC"/>
              <w:bottom w:val="single" w:sz="8" w:color="CFF0FC"/>
            </w:tcBorders>
            <w:gridSpan w:val="2"/>
            <w:shd w:val="clear" w:color="auto" w:fill="CFF0FC"/>
          </w:tcPr>
          <w:p>
            <w:pPr>
              <w:ind w:left="140"/>
              <w:spacing w:after="0"/>
              <w:rPr>
                <w:sz w:val="20"/>
                <w:szCs w:val="20"/>
                <w:color w:val="auto"/>
              </w:rPr>
            </w:pPr>
            <w:r>
              <w:rPr>
                <w:rFonts w:ascii="Arial" w:cs="Arial" w:eastAsia="Arial" w:hAnsi="Arial"/>
                <w:sz w:val="18"/>
                <w:szCs w:val="18"/>
                <w:b w:val="1"/>
                <w:bCs w:val="1"/>
                <w:color w:val="auto"/>
              </w:rPr>
              <w:t>Segment profit (loss)</w:t>
            </w:r>
          </w:p>
        </w:tc>
        <w:tc>
          <w:tcPr>
            <w:tcW w:w="12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44,133</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15,543</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(1,135)</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58,541</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20" w:type="dxa"/>
            <w:vAlign w:val="bottom"/>
            <w:gridSpan w:val="2"/>
            <w:vMerge w:val="restart"/>
          </w:tcPr>
          <w:p>
            <w:pPr>
              <w:spacing w:after="0"/>
              <w:rPr>
                <w:sz w:val="20"/>
                <w:szCs w:val="20"/>
                <w:color w:val="auto"/>
              </w:rPr>
            </w:pPr>
            <w:r>
              <w:rPr>
                <w:rFonts w:ascii="Arial" w:cs="Arial" w:eastAsia="Arial" w:hAnsi="Arial"/>
                <w:sz w:val="18"/>
                <w:szCs w:val="18"/>
                <w:color w:val="auto"/>
              </w:rPr>
              <w:t>Segment profit (loss)</w:t>
            </w:r>
          </w:p>
        </w:tc>
        <w:tc>
          <w:tcPr>
            <w:tcW w:w="134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20" w:type="dxa"/>
            <w:vAlign w:val="bottom"/>
            <w:gridSpan w:val="2"/>
            <w:vMerge w:val="continue"/>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44,133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15,543</w:t>
            </w:r>
          </w:p>
        </w:tc>
        <w:tc>
          <w:tcPr>
            <w:tcW w:w="300" w:type="dxa"/>
            <w:vAlign w:val="bottom"/>
          </w:tcPr>
          <w:p>
            <w:pPr>
              <w:spacing w:after="0"/>
              <w:rPr>
                <w:sz w:val="18"/>
                <w:szCs w:val="18"/>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(1,135)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58,541</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Depreciation and amortization</w:t>
            </w:r>
          </w:p>
        </w:tc>
        <w:tc>
          <w:tcPr>
            <w:tcW w:w="1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28,865</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28,865</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gridSpan w:val="2"/>
          </w:tcPr>
          <w:p>
            <w:pPr>
              <w:spacing w:after="0"/>
              <w:rPr>
                <w:sz w:val="20"/>
                <w:szCs w:val="20"/>
                <w:color w:val="auto"/>
              </w:rPr>
            </w:pPr>
            <w:r>
              <w:rPr>
                <w:rFonts w:ascii="Arial" w:cs="Arial" w:eastAsia="Arial" w:hAnsi="Arial"/>
                <w:sz w:val="18"/>
                <w:szCs w:val="18"/>
                <w:color w:val="auto"/>
              </w:rPr>
              <w:t>Gain on disposal of assets, net</w:t>
            </w:r>
          </w:p>
        </w:tc>
        <w:tc>
          <w:tcPr>
            <w:tcW w:w="1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(15)</w:t>
            </w:r>
          </w:p>
        </w:tc>
        <w:tc>
          <w:tcPr>
            <w:tcW w:w="22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Impairment of property and equipment</w:t>
            </w:r>
          </w:p>
        </w:tc>
        <w:tc>
          <w:tcPr>
            <w:tcW w:w="1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5,898</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5,898</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gridSpan w:val="2"/>
          </w:tcPr>
          <w:p>
            <w:pPr>
              <w:spacing w:after="0"/>
              <w:rPr>
                <w:sz w:val="20"/>
                <w:szCs w:val="20"/>
                <w:color w:val="auto"/>
              </w:rPr>
            </w:pPr>
            <w:r>
              <w:rPr>
                <w:rFonts w:ascii="Arial" w:cs="Arial" w:eastAsia="Arial" w:hAnsi="Arial"/>
                <w:sz w:val="18"/>
                <w:szCs w:val="18"/>
                <w:color w:val="auto"/>
              </w:rPr>
              <w:t>Stock-based compensation</w:t>
            </w:r>
          </w:p>
        </w:tc>
        <w:tc>
          <w:tcPr>
            <w:tcW w:w="1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2,812</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2,812</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Interest expense, net</w:t>
            </w:r>
          </w:p>
        </w:tc>
        <w:tc>
          <w:tcPr>
            <w:tcW w:w="1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15,656</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15,656</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20" w:type="dxa"/>
            <w:vAlign w:val="bottom"/>
            <w:gridSpan w:val="2"/>
          </w:tcPr>
          <w:p>
            <w:pPr>
              <w:ind w:left="140"/>
              <w:spacing w:after="0"/>
              <w:rPr>
                <w:sz w:val="20"/>
                <w:szCs w:val="20"/>
                <w:color w:val="auto"/>
              </w:rPr>
            </w:pPr>
            <w:r>
              <w:rPr>
                <w:rFonts w:ascii="Arial" w:cs="Arial" w:eastAsia="Arial" w:hAnsi="Arial"/>
                <w:sz w:val="18"/>
                <w:szCs w:val="18"/>
                <w:color w:val="auto"/>
              </w:rPr>
              <w:t>Income (loss) before income tax provision</w:t>
            </w:r>
          </w:p>
        </w:tc>
        <w:tc>
          <w:tcPr>
            <w:tcW w:w="12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44,133</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9,660</w:t>
            </w:r>
          </w:p>
        </w:tc>
        <w:tc>
          <w:tcPr>
            <w:tcW w:w="3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(48,468)</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5,325</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40" w:type="dxa"/>
            <w:vAlign w:val="bottom"/>
            <w:tcBorders>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100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gridSpan w:val="6"/>
          </w:tcPr>
          <w:p>
            <w:pPr>
              <w:jc w:val="right"/>
              <w:ind w:right="200"/>
              <w:spacing w:after="0"/>
              <w:rPr>
                <w:sz w:val="20"/>
                <w:szCs w:val="20"/>
                <w:color w:val="auto"/>
              </w:rPr>
            </w:pPr>
            <w:r>
              <w:rPr>
                <w:rFonts w:ascii="Arial" w:cs="Arial" w:eastAsia="Arial" w:hAnsi="Arial"/>
                <w:sz w:val="14"/>
                <w:szCs w:val="14"/>
                <w:b w:val="1"/>
                <w:bCs w:val="1"/>
                <w:color w:val="auto"/>
                <w:w w:val="95"/>
              </w:rPr>
              <w:t>For the Three Months Ended June 30, 2018</w:t>
            </w: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6"/>
        </w:trPr>
        <w:tc>
          <w:tcPr>
            <w:tcW w:w="100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tcPr>
          <w:p>
            <w:pPr>
              <w:jc w:val="center"/>
              <w:ind w:right="320"/>
              <w:spacing w:after="0" w:line="147" w:lineRule="exact"/>
              <w:rPr>
                <w:sz w:val="20"/>
                <w:szCs w:val="20"/>
                <w:color w:val="auto"/>
              </w:rPr>
            </w:pPr>
            <w:r>
              <w:rPr>
                <w:rFonts w:ascii="Arial" w:cs="Arial" w:eastAsia="Arial" w:hAnsi="Arial"/>
                <w:sz w:val="14"/>
                <w:szCs w:val="14"/>
                <w:b w:val="1"/>
                <w:bCs w:val="1"/>
                <w:color w:val="auto"/>
                <w:w w:val="94"/>
              </w:rPr>
              <w:t>Commercial</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tcPr>
          <w:p>
            <w:pPr>
              <w:jc w:val="center"/>
              <w:ind w:right="440"/>
              <w:spacing w:after="0" w:line="147" w:lineRule="exact"/>
              <w:rPr>
                <w:sz w:val="20"/>
                <w:szCs w:val="20"/>
                <w:color w:val="auto"/>
              </w:rPr>
            </w:pPr>
            <w:r>
              <w:rPr>
                <w:rFonts w:ascii="Arial" w:cs="Arial" w:eastAsia="Arial" w:hAnsi="Arial"/>
                <w:sz w:val="14"/>
                <w:szCs w:val="14"/>
                <w:b w:val="1"/>
                <w:bCs w:val="1"/>
                <w:color w:val="auto"/>
                <w:w w:val="92"/>
              </w:rPr>
              <w:t>Government</w:t>
            </w:r>
          </w:p>
        </w:tc>
        <w:tc>
          <w:tcPr>
            <w:tcW w:w="220" w:type="dxa"/>
            <w:vAlign w:val="bottom"/>
          </w:tcPr>
          <w:p>
            <w:pPr>
              <w:spacing w:after="0"/>
              <w:rPr>
                <w:sz w:val="12"/>
                <w:szCs w:val="12"/>
                <w:color w:val="auto"/>
              </w:rPr>
            </w:pPr>
          </w:p>
        </w:tc>
        <w:tc>
          <w:tcPr>
            <w:tcW w:w="1300" w:type="dxa"/>
            <w:vAlign w:val="bottom"/>
            <w:gridSpan w:val="2"/>
          </w:tcPr>
          <w:p>
            <w:pPr>
              <w:jc w:val="right"/>
              <w:ind w:right="540"/>
              <w:spacing w:after="0" w:line="147" w:lineRule="exact"/>
              <w:rPr>
                <w:sz w:val="20"/>
                <w:szCs w:val="20"/>
                <w:color w:val="auto"/>
              </w:rPr>
            </w:pPr>
            <w:r>
              <w:rPr>
                <w:rFonts w:ascii="Arial" w:cs="Arial" w:eastAsia="Arial" w:hAnsi="Arial"/>
                <w:sz w:val="14"/>
                <w:szCs w:val="14"/>
                <w:b w:val="1"/>
                <w:bCs w:val="1"/>
                <w:color w:val="auto"/>
              </w:rPr>
              <w:t>Corporate</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1000" w:type="dxa"/>
            <w:vAlign w:val="bottom"/>
            <w:tcBorders>
              <w:bottom w:val="single" w:sz="8" w:color="auto"/>
            </w:tcBorders>
          </w:tcPr>
          <w:p>
            <w:pPr>
              <w:spacing w:after="0" w:line="158" w:lineRule="exact"/>
              <w:rPr>
                <w:sz w:val="20"/>
                <w:szCs w:val="20"/>
                <w:color w:val="auto"/>
              </w:rPr>
            </w:pPr>
            <w:r>
              <w:rPr>
                <w:rFonts w:ascii="Arial" w:cs="Arial" w:eastAsia="Arial" w:hAnsi="Arial"/>
                <w:sz w:val="14"/>
                <w:szCs w:val="14"/>
                <w:b w:val="1"/>
                <w:bCs w:val="1"/>
                <w:u w:val="single" w:color="auto"/>
                <w:color w:val="auto"/>
                <w:w w:val="90"/>
              </w:rPr>
              <w:t>(</w:t>
            </w:r>
            <w:r>
              <w:rPr>
                <w:rFonts w:ascii="Arial" w:cs="Arial" w:eastAsia="Arial" w:hAnsi="Arial"/>
                <w:sz w:val="14"/>
                <w:szCs w:val="14"/>
                <w:b w:val="1"/>
                <w:bCs w:val="1"/>
                <w:color w:val="auto"/>
                <w:w w:val="90"/>
              </w:rPr>
              <w:t>$ in thousands)</w:t>
            </w:r>
          </w:p>
        </w:tc>
        <w:tc>
          <w:tcPr>
            <w:tcW w:w="34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gridSpan w:val="2"/>
          </w:tcPr>
          <w:p>
            <w:pPr>
              <w:jc w:val="center"/>
              <w:ind w:right="320"/>
              <w:spacing w:after="0" w:line="158" w:lineRule="exact"/>
              <w:rPr>
                <w:sz w:val="20"/>
                <w:szCs w:val="20"/>
                <w:color w:val="auto"/>
              </w:rPr>
            </w:pPr>
            <w:r>
              <w:rPr>
                <w:rFonts w:ascii="Arial" w:cs="Arial" w:eastAsia="Arial" w:hAnsi="Arial"/>
                <w:sz w:val="14"/>
                <w:szCs w:val="14"/>
                <w:b w:val="1"/>
                <w:bCs w:val="1"/>
                <w:color w:val="auto"/>
                <w:w w:val="90"/>
              </w:rPr>
              <w:t>Services</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gridSpan w:val="2"/>
          </w:tcPr>
          <w:p>
            <w:pPr>
              <w:jc w:val="center"/>
              <w:ind w:right="440"/>
              <w:spacing w:after="0" w:line="158" w:lineRule="exact"/>
              <w:rPr>
                <w:sz w:val="20"/>
                <w:szCs w:val="20"/>
                <w:color w:val="auto"/>
              </w:rPr>
            </w:pPr>
            <w:r>
              <w:rPr>
                <w:rFonts w:ascii="Arial" w:cs="Arial" w:eastAsia="Arial" w:hAnsi="Arial"/>
                <w:sz w:val="14"/>
                <w:szCs w:val="14"/>
                <w:b w:val="1"/>
                <w:bCs w:val="1"/>
                <w:color w:val="auto"/>
                <w:w w:val="87"/>
              </w:rPr>
              <w:t>Solutions</w:t>
            </w:r>
          </w:p>
        </w:tc>
        <w:tc>
          <w:tcPr>
            <w:tcW w:w="220" w:type="dxa"/>
            <w:vAlign w:val="bottom"/>
          </w:tcPr>
          <w:p>
            <w:pPr>
              <w:spacing w:after="0"/>
              <w:rPr>
                <w:sz w:val="15"/>
                <w:szCs w:val="15"/>
                <w:color w:val="auto"/>
              </w:rPr>
            </w:pPr>
          </w:p>
        </w:tc>
        <w:tc>
          <w:tcPr>
            <w:tcW w:w="1300" w:type="dxa"/>
            <w:vAlign w:val="bottom"/>
            <w:gridSpan w:val="2"/>
          </w:tcPr>
          <w:p>
            <w:pPr>
              <w:jc w:val="right"/>
              <w:ind w:right="540"/>
              <w:spacing w:after="0" w:line="158" w:lineRule="exact"/>
              <w:rPr>
                <w:sz w:val="20"/>
                <w:szCs w:val="20"/>
                <w:color w:val="auto"/>
              </w:rPr>
            </w:pPr>
            <w:r>
              <w:rPr>
                <w:rFonts w:ascii="Arial" w:cs="Arial" w:eastAsia="Arial" w:hAnsi="Arial"/>
                <w:sz w:val="14"/>
                <w:szCs w:val="14"/>
                <w:b w:val="1"/>
                <w:bCs w:val="1"/>
                <w:color w:val="auto"/>
              </w:rPr>
              <w:t>and Other</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gridSpan w:val="2"/>
          </w:tcPr>
          <w:p>
            <w:pPr>
              <w:jc w:val="right"/>
              <w:ind w:right="580"/>
              <w:spacing w:after="0" w:line="158" w:lineRule="exact"/>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442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Service revenue</w:t>
            </w:r>
          </w:p>
        </w:tc>
        <w:tc>
          <w:tcPr>
            <w:tcW w:w="120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59,771</w:t>
            </w:r>
          </w:p>
        </w:tc>
        <w:tc>
          <w:tcPr>
            <w:tcW w:w="18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37,273</w:t>
            </w:r>
          </w:p>
        </w:tc>
        <w:tc>
          <w:tcPr>
            <w:tcW w:w="30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97,044</w:t>
            </w:r>
          </w:p>
        </w:tc>
        <w:tc>
          <w:tcPr>
            <w:tcW w:w="120" w:type="dxa"/>
            <w:vAlign w:val="bottom"/>
            <w:tcBorders>
              <w:top w:val="single" w:sz="8" w:color="CFF0FC"/>
            </w:tcBorders>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20" w:type="dxa"/>
            <w:vAlign w:val="bottom"/>
            <w:gridSpan w:val="2"/>
          </w:tcPr>
          <w:p>
            <w:pPr>
              <w:spacing w:after="0"/>
              <w:rPr>
                <w:sz w:val="20"/>
                <w:szCs w:val="20"/>
                <w:color w:val="auto"/>
              </w:rPr>
            </w:pPr>
            <w:r>
              <w:rPr>
                <w:rFonts w:ascii="Arial" w:cs="Arial" w:eastAsia="Arial" w:hAnsi="Arial"/>
                <w:sz w:val="18"/>
                <w:szCs w:val="18"/>
                <w:color w:val="auto"/>
              </w:rPr>
              <w:t>Product sales</w:t>
            </w:r>
          </w:p>
        </w:tc>
        <w:tc>
          <w:tcPr>
            <w:tcW w:w="1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1,153</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1,153</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20" w:type="dxa"/>
            <w:vAlign w:val="bottom"/>
            <w:tcBorders>
              <w:top w:val="single" w:sz="8" w:color="CFF0FC"/>
            </w:tcBorders>
            <w:gridSpan w:val="2"/>
            <w:shd w:val="clear" w:color="auto" w:fill="CFF0FC"/>
          </w:tcPr>
          <w:p>
            <w:pPr>
              <w:ind w:left="140"/>
              <w:spacing w:after="0"/>
              <w:rPr>
                <w:sz w:val="20"/>
                <w:szCs w:val="20"/>
                <w:color w:val="auto"/>
              </w:rPr>
            </w:pPr>
            <w:r>
              <w:rPr>
                <w:rFonts w:ascii="Arial" w:cs="Arial" w:eastAsia="Arial" w:hAnsi="Arial"/>
                <w:sz w:val="18"/>
                <w:szCs w:val="18"/>
                <w:color w:val="auto"/>
              </w:rPr>
              <w:t>Total revenue</w:t>
            </w:r>
          </w:p>
        </w:tc>
        <w:tc>
          <w:tcPr>
            <w:tcW w:w="1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59,771</w:t>
            </w: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38,426</w:t>
            </w:r>
          </w:p>
        </w:tc>
        <w:tc>
          <w:tcPr>
            <w:tcW w:w="3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98,197</w:t>
            </w:r>
          </w:p>
        </w:tc>
        <w:tc>
          <w:tcPr>
            <w:tcW w:w="12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gridSpan w:val="2"/>
          </w:tcPr>
          <w:p>
            <w:pPr>
              <w:spacing w:after="0"/>
              <w:rPr>
                <w:sz w:val="20"/>
                <w:szCs w:val="20"/>
                <w:color w:val="auto"/>
              </w:rPr>
            </w:pPr>
            <w:r>
              <w:rPr>
                <w:rFonts w:ascii="Arial" w:cs="Arial" w:eastAsia="Arial" w:hAnsi="Arial"/>
                <w:sz w:val="18"/>
                <w:szCs w:val="18"/>
                <w:color w:val="auto"/>
              </w:rPr>
              <w:t>Cost of service revenue</w:t>
            </w:r>
          </w:p>
        </w:tc>
        <w:tc>
          <w:tcPr>
            <w:tcW w:w="1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790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861</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1,651</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Cost of product sales</w:t>
            </w:r>
          </w:p>
        </w:tc>
        <w:tc>
          <w:tcPr>
            <w:tcW w:w="1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878</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878</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13,989</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14,811</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28,800</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Selling, general and administrative expenses</w:t>
            </w:r>
          </w:p>
        </w:tc>
        <w:tc>
          <w:tcPr>
            <w:tcW w:w="1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10,958</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7,223</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9,407</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27,588</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gridSpan w:val="2"/>
          </w:tcPr>
          <w:p>
            <w:pPr>
              <w:spacing w:after="0"/>
              <w:rPr>
                <w:sz w:val="20"/>
                <w:szCs w:val="20"/>
                <w:color w:val="auto"/>
              </w:rPr>
            </w:pPr>
            <w:r>
              <w:rPr>
                <w:rFonts w:ascii="Arial" w:cs="Arial" w:eastAsia="Arial" w:hAnsi="Arial"/>
                <w:sz w:val="18"/>
                <w:szCs w:val="18"/>
                <w:color w:val="auto"/>
              </w:rPr>
              <w:t>Other income, net</w:t>
            </w:r>
          </w:p>
        </w:tc>
        <w:tc>
          <w:tcPr>
            <w:tcW w:w="1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(2,681)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(25)</w:t>
            </w:r>
          </w:p>
        </w:tc>
        <w:tc>
          <w:tcPr>
            <w:tcW w:w="220" w:type="dxa"/>
            <w:vAlign w:val="bottom"/>
          </w:tcPr>
          <w:p>
            <w:pPr>
              <w:spacing w:after="0"/>
              <w:rPr>
                <w:sz w:val="19"/>
                <w:szCs w:val="19"/>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(2,766)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20" w:type="dxa"/>
            <w:vAlign w:val="bottom"/>
            <w:tcBorders>
              <w:top w:val="single" w:sz="8" w:color="CFF0FC"/>
              <w:bottom w:val="single" w:sz="8" w:color="CFF0FC"/>
            </w:tcBorders>
            <w:gridSpan w:val="2"/>
            <w:shd w:val="clear" w:color="auto" w:fill="CFF0FC"/>
          </w:tcPr>
          <w:p>
            <w:pPr>
              <w:ind w:left="140"/>
              <w:spacing w:after="0"/>
              <w:rPr>
                <w:sz w:val="20"/>
                <w:szCs w:val="20"/>
                <w:color w:val="auto"/>
              </w:rPr>
            </w:pPr>
            <w:r>
              <w:rPr>
                <w:rFonts w:ascii="Arial" w:cs="Arial" w:eastAsia="Arial" w:hAnsi="Arial"/>
                <w:sz w:val="18"/>
                <w:szCs w:val="18"/>
                <w:b w:val="1"/>
                <w:bCs w:val="1"/>
                <w:color w:val="auto"/>
              </w:rPr>
              <w:t>Segment profit (loss)</w:t>
            </w:r>
          </w:p>
        </w:tc>
        <w:tc>
          <w:tcPr>
            <w:tcW w:w="12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36,715</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14,678</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(9,347)</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42,046</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20" w:type="dxa"/>
            <w:vAlign w:val="bottom"/>
            <w:gridSpan w:val="2"/>
            <w:vMerge w:val="restart"/>
          </w:tcPr>
          <w:p>
            <w:pPr>
              <w:spacing w:after="0"/>
              <w:rPr>
                <w:sz w:val="20"/>
                <w:szCs w:val="20"/>
                <w:color w:val="auto"/>
              </w:rPr>
            </w:pPr>
            <w:r>
              <w:rPr>
                <w:rFonts w:ascii="Arial" w:cs="Arial" w:eastAsia="Arial" w:hAnsi="Arial"/>
                <w:sz w:val="18"/>
                <w:szCs w:val="18"/>
                <w:color w:val="auto"/>
              </w:rPr>
              <w:t>Segment profit (loss)</w:t>
            </w:r>
          </w:p>
        </w:tc>
        <w:tc>
          <w:tcPr>
            <w:tcW w:w="134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20" w:type="dxa"/>
            <w:vAlign w:val="bottom"/>
            <w:gridSpan w:val="2"/>
            <w:vMerge w:val="continue"/>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36,715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14,678</w:t>
            </w:r>
          </w:p>
        </w:tc>
        <w:tc>
          <w:tcPr>
            <w:tcW w:w="300" w:type="dxa"/>
            <w:vAlign w:val="bottom"/>
          </w:tcPr>
          <w:p>
            <w:pPr>
              <w:spacing w:after="0"/>
              <w:rPr>
                <w:sz w:val="18"/>
                <w:szCs w:val="18"/>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(9,347)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42,046</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Depreciation and amortization</w:t>
            </w:r>
          </w:p>
        </w:tc>
        <w:tc>
          <w:tcPr>
            <w:tcW w:w="1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27,496</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27,496</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1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19,579</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19,579</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20" w:type="dxa"/>
            <w:vAlign w:val="bottom"/>
            <w:tcBorders>
              <w:top w:val="single" w:sz="8" w:color="CFF0FC"/>
              <w:bottom w:val="single" w:sz="8" w:color="CFF0FC"/>
            </w:tcBorders>
            <w:gridSpan w:val="2"/>
            <w:shd w:val="clear" w:color="auto" w:fill="CFF0FC"/>
          </w:tcPr>
          <w:p>
            <w:pPr>
              <w:ind w:left="140"/>
              <w:spacing w:after="0"/>
              <w:rPr>
                <w:sz w:val="20"/>
                <w:szCs w:val="20"/>
                <w:color w:val="auto"/>
              </w:rPr>
            </w:pPr>
            <w:r>
              <w:rPr>
                <w:rFonts w:ascii="Arial" w:cs="Arial" w:eastAsia="Arial" w:hAnsi="Arial"/>
                <w:sz w:val="18"/>
                <w:szCs w:val="18"/>
                <w:color w:val="auto"/>
              </w:rPr>
              <w:t>Income (loss) before income tax (benefit)</w:t>
            </w:r>
          </w:p>
        </w:tc>
        <w:tc>
          <w:tcPr>
            <w:tcW w:w="12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36,715</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14,678</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(56,422)</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(5,029)</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00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2320" w:type="dxa"/>
            <w:vAlign w:val="bottom"/>
            <w:gridSpan w:val="3"/>
          </w:tcPr>
          <w:p>
            <w:pPr>
              <w:ind w:left="1200"/>
              <w:spacing w:after="0"/>
              <w:rPr>
                <w:sz w:val="20"/>
                <w:szCs w:val="20"/>
                <w:color w:val="auto"/>
              </w:rPr>
            </w:pPr>
            <w:r>
              <w:rPr>
                <w:rFonts w:ascii="Arial" w:cs="Arial" w:eastAsia="Arial" w:hAnsi="Arial"/>
                <w:sz w:val="18"/>
                <w:szCs w:val="18"/>
                <w:color w:val="auto"/>
              </w:rPr>
              <w:t>24</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000" w:type="dxa"/>
            <w:vAlign w:val="bottom"/>
            <w:tcBorders>
              <w:bottom w:val="single" w:sz="8" w:color="9A9A9A"/>
            </w:tcBorders>
          </w:tcPr>
          <w:p>
            <w:pPr>
              <w:spacing w:after="0"/>
              <w:rPr>
                <w:sz w:val="10"/>
                <w:szCs w:val="10"/>
                <w:color w:val="auto"/>
              </w:rPr>
            </w:pPr>
          </w:p>
        </w:tc>
        <w:tc>
          <w:tcPr>
            <w:tcW w:w="342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30" w:right="219" w:bottom="1440" w:gutter="0" w:footer="0" w:header="0"/>
        </w:sectPr>
      </w:pPr>
    </w:p>
    <w:bookmarkStart w:id="24" w:name="page25"/>
    <w:bookmarkEnd w:id="2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0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80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rPr>
              <w:t>For the Six Months Ended June 30, 2019</w:t>
            </w:r>
          </w:p>
        </w:tc>
        <w:tc>
          <w:tcPr>
            <w:tcW w:w="1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100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tcPr>
          <w:p>
            <w:pPr>
              <w:jc w:val="center"/>
              <w:ind w:right="320"/>
              <w:spacing w:after="0" w:line="147" w:lineRule="exact"/>
              <w:rPr>
                <w:sz w:val="20"/>
                <w:szCs w:val="20"/>
                <w:color w:val="auto"/>
              </w:rPr>
            </w:pPr>
            <w:r>
              <w:rPr>
                <w:rFonts w:ascii="Arial" w:cs="Arial" w:eastAsia="Arial" w:hAnsi="Arial"/>
                <w:sz w:val="14"/>
                <w:szCs w:val="14"/>
                <w:b w:val="1"/>
                <w:bCs w:val="1"/>
                <w:color w:val="auto"/>
                <w:w w:val="94"/>
              </w:rPr>
              <w:t>Commercial</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tcPr>
          <w:p>
            <w:pPr>
              <w:ind w:left="40"/>
              <w:spacing w:after="0" w:line="147" w:lineRule="exact"/>
              <w:rPr>
                <w:sz w:val="20"/>
                <w:szCs w:val="20"/>
                <w:color w:val="auto"/>
              </w:rPr>
            </w:pPr>
            <w:r>
              <w:rPr>
                <w:rFonts w:ascii="Arial" w:cs="Arial" w:eastAsia="Arial" w:hAnsi="Arial"/>
                <w:sz w:val="14"/>
                <w:szCs w:val="14"/>
                <w:b w:val="1"/>
                <w:bCs w:val="1"/>
                <w:color w:val="auto"/>
              </w:rPr>
              <w:t>Government</w:t>
            </w:r>
          </w:p>
        </w:tc>
        <w:tc>
          <w:tcPr>
            <w:tcW w:w="220" w:type="dxa"/>
            <w:vAlign w:val="bottom"/>
          </w:tcPr>
          <w:p>
            <w:pPr>
              <w:spacing w:after="0"/>
              <w:rPr>
                <w:sz w:val="12"/>
                <w:szCs w:val="12"/>
                <w:color w:val="auto"/>
              </w:rPr>
            </w:pPr>
          </w:p>
        </w:tc>
        <w:tc>
          <w:tcPr>
            <w:tcW w:w="1300" w:type="dxa"/>
            <w:vAlign w:val="bottom"/>
            <w:gridSpan w:val="2"/>
          </w:tcPr>
          <w:p>
            <w:pPr>
              <w:jc w:val="right"/>
              <w:ind w:right="540"/>
              <w:spacing w:after="0" w:line="147" w:lineRule="exact"/>
              <w:rPr>
                <w:sz w:val="20"/>
                <w:szCs w:val="20"/>
                <w:color w:val="auto"/>
              </w:rPr>
            </w:pPr>
            <w:r>
              <w:rPr>
                <w:rFonts w:ascii="Arial" w:cs="Arial" w:eastAsia="Arial" w:hAnsi="Arial"/>
                <w:sz w:val="14"/>
                <w:szCs w:val="14"/>
                <w:b w:val="1"/>
                <w:bCs w:val="1"/>
                <w:color w:val="auto"/>
              </w:rPr>
              <w:t>Corporate</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1000" w:type="dxa"/>
            <w:vAlign w:val="bottom"/>
            <w:tcBorders>
              <w:bottom w:val="single" w:sz="8" w:color="auto"/>
            </w:tcBorders>
          </w:tcPr>
          <w:p>
            <w:pPr>
              <w:spacing w:after="0" w:line="158" w:lineRule="exact"/>
              <w:rPr>
                <w:sz w:val="20"/>
                <w:szCs w:val="20"/>
                <w:color w:val="auto"/>
              </w:rPr>
            </w:pPr>
            <w:r>
              <w:rPr>
                <w:rFonts w:ascii="Arial" w:cs="Arial" w:eastAsia="Arial" w:hAnsi="Arial"/>
                <w:sz w:val="14"/>
                <w:szCs w:val="14"/>
                <w:b w:val="1"/>
                <w:bCs w:val="1"/>
                <w:u w:val="single" w:color="auto"/>
                <w:color w:val="auto"/>
                <w:w w:val="90"/>
              </w:rPr>
              <w:t>(</w:t>
            </w:r>
            <w:r>
              <w:rPr>
                <w:rFonts w:ascii="Arial" w:cs="Arial" w:eastAsia="Arial" w:hAnsi="Arial"/>
                <w:sz w:val="14"/>
                <w:szCs w:val="14"/>
                <w:b w:val="1"/>
                <w:bCs w:val="1"/>
                <w:color w:val="auto"/>
                <w:w w:val="90"/>
              </w:rPr>
              <w:t>$ in thousands)</w:t>
            </w:r>
          </w:p>
        </w:tc>
        <w:tc>
          <w:tcPr>
            <w:tcW w:w="34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gridSpan w:val="2"/>
          </w:tcPr>
          <w:p>
            <w:pPr>
              <w:jc w:val="center"/>
              <w:ind w:right="320"/>
              <w:spacing w:after="0" w:line="158" w:lineRule="exact"/>
              <w:rPr>
                <w:sz w:val="20"/>
                <w:szCs w:val="20"/>
                <w:color w:val="auto"/>
              </w:rPr>
            </w:pPr>
            <w:r>
              <w:rPr>
                <w:rFonts w:ascii="Arial" w:cs="Arial" w:eastAsia="Arial" w:hAnsi="Arial"/>
                <w:sz w:val="14"/>
                <w:szCs w:val="14"/>
                <w:b w:val="1"/>
                <w:bCs w:val="1"/>
                <w:color w:val="auto"/>
                <w:w w:val="90"/>
              </w:rPr>
              <w:t>Services</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gridSpan w:val="2"/>
          </w:tcPr>
          <w:p>
            <w:pPr>
              <w:ind w:left="140"/>
              <w:spacing w:after="0" w:line="158" w:lineRule="exact"/>
              <w:rPr>
                <w:sz w:val="20"/>
                <w:szCs w:val="20"/>
                <w:color w:val="auto"/>
              </w:rPr>
            </w:pPr>
            <w:r>
              <w:rPr>
                <w:rFonts w:ascii="Arial" w:cs="Arial" w:eastAsia="Arial" w:hAnsi="Arial"/>
                <w:sz w:val="14"/>
                <w:szCs w:val="14"/>
                <w:b w:val="1"/>
                <w:bCs w:val="1"/>
                <w:color w:val="auto"/>
              </w:rPr>
              <w:t>Solutions</w:t>
            </w:r>
          </w:p>
        </w:tc>
        <w:tc>
          <w:tcPr>
            <w:tcW w:w="220" w:type="dxa"/>
            <w:vAlign w:val="bottom"/>
          </w:tcPr>
          <w:p>
            <w:pPr>
              <w:spacing w:after="0"/>
              <w:rPr>
                <w:sz w:val="15"/>
                <w:szCs w:val="15"/>
                <w:color w:val="auto"/>
              </w:rPr>
            </w:pPr>
          </w:p>
        </w:tc>
        <w:tc>
          <w:tcPr>
            <w:tcW w:w="1300" w:type="dxa"/>
            <w:vAlign w:val="bottom"/>
            <w:gridSpan w:val="2"/>
          </w:tcPr>
          <w:p>
            <w:pPr>
              <w:jc w:val="right"/>
              <w:ind w:right="540"/>
              <w:spacing w:after="0" w:line="158" w:lineRule="exact"/>
              <w:rPr>
                <w:sz w:val="20"/>
                <w:szCs w:val="20"/>
                <w:color w:val="auto"/>
              </w:rPr>
            </w:pPr>
            <w:r>
              <w:rPr>
                <w:rFonts w:ascii="Arial" w:cs="Arial" w:eastAsia="Arial" w:hAnsi="Arial"/>
                <w:sz w:val="14"/>
                <w:szCs w:val="14"/>
                <w:b w:val="1"/>
                <w:bCs w:val="1"/>
                <w:color w:val="auto"/>
              </w:rPr>
              <w:t>and Other</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gridSpan w:val="2"/>
          </w:tcPr>
          <w:p>
            <w:pPr>
              <w:jc w:val="right"/>
              <w:ind w:right="580"/>
              <w:spacing w:after="0" w:line="158"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7"/>
        </w:trPr>
        <w:tc>
          <w:tcPr>
            <w:tcW w:w="442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Service revenue</w:t>
            </w:r>
          </w:p>
        </w:tc>
        <w:tc>
          <w:tcPr>
            <w:tcW w:w="120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130,679</w:t>
            </w:r>
          </w:p>
        </w:tc>
        <w:tc>
          <w:tcPr>
            <w:tcW w:w="18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70,448</w:t>
            </w:r>
          </w:p>
        </w:tc>
        <w:tc>
          <w:tcPr>
            <w:tcW w:w="30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201,127</w:t>
            </w: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20" w:type="dxa"/>
            <w:vAlign w:val="bottom"/>
            <w:gridSpan w:val="2"/>
          </w:tcPr>
          <w:p>
            <w:pPr>
              <w:spacing w:after="0"/>
              <w:rPr>
                <w:sz w:val="20"/>
                <w:szCs w:val="20"/>
                <w:color w:val="auto"/>
              </w:rPr>
            </w:pPr>
            <w:r>
              <w:rPr>
                <w:rFonts w:ascii="Arial" w:cs="Arial" w:eastAsia="Arial" w:hAnsi="Arial"/>
                <w:sz w:val="18"/>
                <w:szCs w:val="18"/>
                <w:color w:val="auto"/>
              </w:rPr>
              <w:t>Product sales</w:t>
            </w:r>
          </w:p>
        </w:tc>
        <w:tc>
          <w:tcPr>
            <w:tcW w:w="1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6,909</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6,909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20" w:type="dxa"/>
            <w:vAlign w:val="bottom"/>
            <w:tcBorders>
              <w:top w:val="single" w:sz="8" w:color="CFF0FC"/>
            </w:tcBorders>
            <w:gridSpan w:val="2"/>
            <w:shd w:val="clear" w:color="auto" w:fill="CFF0FC"/>
          </w:tcPr>
          <w:p>
            <w:pPr>
              <w:ind w:left="140"/>
              <w:spacing w:after="0"/>
              <w:rPr>
                <w:sz w:val="20"/>
                <w:szCs w:val="20"/>
                <w:color w:val="auto"/>
              </w:rPr>
            </w:pPr>
            <w:r>
              <w:rPr>
                <w:rFonts w:ascii="Arial" w:cs="Arial" w:eastAsia="Arial" w:hAnsi="Arial"/>
                <w:sz w:val="18"/>
                <w:szCs w:val="18"/>
                <w:color w:val="auto"/>
              </w:rPr>
              <w:t>Total revenue</w:t>
            </w:r>
          </w:p>
        </w:tc>
        <w:tc>
          <w:tcPr>
            <w:tcW w:w="1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130,679</w:t>
            </w: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77,357</w:t>
            </w:r>
          </w:p>
        </w:tc>
        <w:tc>
          <w:tcPr>
            <w:tcW w:w="3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208,036</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gridSpan w:val="2"/>
          </w:tcPr>
          <w:p>
            <w:pPr>
              <w:spacing w:after="0"/>
              <w:rPr>
                <w:sz w:val="20"/>
                <w:szCs w:val="20"/>
                <w:color w:val="auto"/>
              </w:rPr>
            </w:pPr>
            <w:r>
              <w:rPr>
                <w:rFonts w:ascii="Arial" w:cs="Arial" w:eastAsia="Arial" w:hAnsi="Arial"/>
                <w:sz w:val="18"/>
                <w:szCs w:val="18"/>
                <w:color w:val="auto"/>
              </w:rPr>
              <w:t>Cost of service revenue</w:t>
            </w:r>
          </w:p>
        </w:tc>
        <w:tc>
          <w:tcPr>
            <w:tcW w:w="1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1,779</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1,223</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3,002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Cost of product sales</w:t>
            </w:r>
          </w:p>
        </w:tc>
        <w:tc>
          <w:tcPr>
            <w:tcW w:w="1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3,194</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3,194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31,818</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28,839</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60,657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Selling, general and administrative expenses</w:t>
            </w:r>
          </w:p>
        </w:tc>
        <w:tc>
          <w:tcPr>
            <w:tcW w:w="1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20,391</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15,411</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1,135</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36,937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gridSpan w:val="2"/>
          </w:tcPr>
          <w:p>
            <w:pPr>
              <w:spacing w:after="0"/>
              <w:rPr>
                <w:sz w:val="20"/>
                <w:szCs w:val="20"/>
                <w:color w:val="auto"/>
              </w:rPr>
            </w:pPr>
            <w:r>
              <w:rPr>
                <w:rFonts w:ascii="Arial" w:cs="Arial" w:eastAsia="Arial" w:hAnsi="Arial"/>
                <w:sz w:val="18"/>
                <w:szCs w:val="18"/>
                <w:color w:val="auto"/>
              </w:rPr>
              <w:t>Other income, net</w:t>
            </w:r>
          </w:p>
        </w:tc>
        <w:tc>
          <w:tcPr>
            <w:tcW w:w="1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(5,478)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(74)</w:t>
            </w:r>
          </w:p>
        </w:tc>
        <w:tc>
          <w:tcPr>
            <w:tcW w:w="22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(5,552)</w:t>
            </w:r>
          </w:p>
        </w:tc>
        <w:tc>
          <w:tcPr>
            <w:tcW w:w="0" w:type="dxa"/>
            <w:vAlign w:val="bottom"/>
          </w:tcPr>
          <w:p>
            <w:pPr>
              <w:spacing w:after="0"/>
              <w:rPr>
                <w:sz w:val="1"/>
                <w:szCs w:val="1"/>
                <w:color w:val="auto"/>
              </w:rPr>
            </w:pPr>
          </w:p>
        </w:tc>
      </w:tr>
      <w:tr>
        <w:trPr>
          <w:trHeight w:val="223"/>
        </w:trPr>
        <w:tc>
          <w:tcPr>
            <w:tcW w:w="4420" w:type="dxa"/>
            <w:vAlign w:val="bottom"/>
            <w:tcBorders>
              <w:top w:val="single" w:sz="8" w:color="CFF0FC"/>
              <w:bottom w:val="single" w:sz="8" w:color="CFF0FC"/>
            </w:tcBorders>
            <w:gridSpan w:val="2"/>
            <w:shd w:val="clear" w:color="auto" w:fill="CFF0FC"/>
          </w:tcPr>
          <w:p>
            <w:pPr>
              <w:ind w:left="140"/>
              <w:spacing w:after="0"/>
              <w:rPr>
                <w:sz w:val="20"/>
                <w:szCs w:val="20"/>
                <w:color w:val="auto"/>
              </w:rPr>
            </w:pPr>
            <w:r>
              <w:rPr>
                <w:rFonts w:ascii="Arial" w:cs="Arial" w:eastAsia="Arial" w:hAnsi="Arial"/>
                <w:sz w:val="18"/>
                <w:szCs w:val="18"/>
                <w:b w:val="1"/>
                <w:bCs w:val="1"/>
                <w:color w:val="auto"/>
              </w:rPr>
              <w:t>Segment profit (loss)</w:t>
            </w:r>
          </w:p>
        </w:tc>
        <w:tc>
          <w:tcPr>
            <w:tcW w:w="12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82,169</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28,764</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(1,135)</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109,798</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20" w:type="dxa"/>
            <w:vAlign w:val="bottom"/>
            <w:gridSpan w:val="2"/>
            <w:vMerge w:val="restart"/>
          </w:tcPr>
          <w:p>
            <w:pPr>
              <w:spacing w:after="0"/>
              <w:rPr>
                <w:sz w:val="20"/>
                <w:szCs w:val="20"/>
                <w:color w:val="auto"/>
              </w:rPr>
            </w:pPr>
            <w:r>
              <w:rPr>
                <w:rFonts w:ascii="Arial" w:cs="Arial" w:eastAsia="Arial" w:hAnsi="Arial"/>
                <w:sz w:val="18"/>
                <w:szCs w:val="18"/>
                <w:color w:val="auto"/>
              </w:rPr>
              <w:t>Segment profit (loss)</w:t>
            </w:r>
          </w:p>
        </w:tc>
        <w:tc>
          <w:tcPr>
            <w:tcW w:w="134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20" w:type="dxa"/>
            <w:vAlign w:val="bottom"/>
            <w:gridSpan w:val="2"/>
            <w:vMerge w:val="continue"/>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82,169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28,764</w:t>
            </w:r>
          </w:p>
        </w:tc>
        <w:tc>
          <w:tcPr>
            <w:tcW w:w="300" w:type="dxa"/>
            <w:vAlign w:val="bottom"/>
          </w:tcPr>
          <w:p>
            <w:pPr>
              <w:spacing w:after="0"/>
              <w:rPr>
                <w:sz w:val="18"/>
                <w:szCs w:val="18"/>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(1,135)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109,798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Depreciation and amortization</w:t>
            </w:r>
          </w:p>
        </w:tc>
        <w:tc>
          <w:tcPr>
            <w:tcW w:w="1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57,804</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57,804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gridSpan w:val="2"/>
          </w:tcPr>
          <w:p>
            <w:pPr>
              <w:spacing w:after="0"/>
              <w:rPr>
                <w:sz w:val="20"/>
                <w:szCs w:val="20"/>
                <w:color w:val="auto"/>
              </w:rPr>
            </w:pPr>
            <w:r>
              <w:rPr>
                <w:rFonts w:ascii="Arial" w:cs="Arial" w:eastAsia="Arial" w:hAnsi="Arial"/>
                <w:sz w:val="18"/>
                <w:szCs w:val="18"/>
                <w:color w:val="auto"/>
              </w:rPr>
              <w:t>Gain on disposal of assets, net</w:t>
            </w:r>
          </w:p>
        </w:tc>
        <w:tc>
          <w:tcPr>
            <w:tcW w:w="1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(13)</w:t>
            </w:r>
          </w:p>
        </w:tc>
        <w:tc>
          <w:tcPr>
            <w:tcW w:w="22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30"/>
        </w:trPr>
        <w:tc>
          <w:tcPr>
            <w:tcW w:w="44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Impairment of property and equipment</w:t>
            </w:r>
          </w:p>
        </w:tc>
        <w:tc>
          <w:tcPr>
            <w:tcW w:w="1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5,898</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5,898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gridSpan w:val="2"/>
          </w:tcPr>
          <w:p>
            <w:pPr>
              <w:spacing w:after="0"/>
              <w:rPr>
                <w:sz w:val="20"/>
                <w:szCs w:val="20"/>
                <w:color w:val="auto"/>
              </w:rPr>
            </w:pPr>
            <w:r>
              <w:rPr>
                <w:rFonts w:ascii="Arial" w:cs="Arial" w:eastAsia="Arial" w:hAnsi="Arial"/>
                <w:sz w:val="18"/>
                <w:szCs w:val="18"/>
                <w:color w:val="auto"/>
              </w:rPr>
              <w:t>Stock-based compensation</w:t>
            </w:r>
          </w:p>
        </w:tc>
        <w:tc>
          <w:tcPr>
            <w:tcW w:w="1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4,955</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4,955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Interest expense, net</w:t>
            </w:r>
          </w:p>
        </w:tc>
        <w:tc>
          <w:tcPr>
            <w:tcW w:w="1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31,689</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31,689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20" w:type="dxa"/>
            <w:vAlign w:val="bottom"/>
            <w:gridSpan w:val="2"/>
          </w:tcPr>
          <w:p>
            <w:pPr>
              <w:ind w:left="140"/>
              <w:spacing w:after="0"/>
              <w:rPr>
                <w:sz w:val="20"/>
                <w:szCs w:val="20"/>
                <w:color w:val="auto"/>
              </w:rPr>
            </w:pPr>
            <w:r>
              <w:rPr>
                <w:rFonts w:ascii="Arial" w:cs="Arial" w:eastAsia="Arial" w:hAnsi="Arial"/>
                <w:sz w:val="18"/>
                <w:szCs w:val="18"/>
                <w:color w:val="auto"/>
              </w:rPr>
              <w:t>Income (loss) before income tax provision</w:t>
            </w:r>
          </w:p>
        </w:tc>
        <w:tc>
          <w:tcPr>
            <w:tcW w:w="12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82,169</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22,879</w:t>
            </w:r>
          </w:p>
        </w:tc>
        <w:tc>
          <w:tcPr>
            <w:tcW w:w="3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(95,583)</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9,465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40" w:type="dxa"/>
            <w:vAlign w:val="bottom"/>
            <w:tcBorders>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100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rPr>
              <w:t>For the Six Months Ended June 30, 2018</w:t>
            </w: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6"/>
        </w:trPr>
        <w:tc>
          <w:tcPr>
            <w:tcW w:w="100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tcPr>
          <w:p>
            <w:pPr>
              <w:jc w:val="center"/>
              <w:ind w:right="320"/>
              <w:spacing w:after="0" w:line="147" w:lineRule="exact"/>
              <w:rPr>
                <w:sz w:val="20"/>
                <w:szCs w:val="20"/>
                <w:color w:val="auto"/>
              </w:rPr>
            </w:pPr>
            <w:r>
              <w:rPr>
                <w:rFonts w:ascii="Arial" w:cs="Arial" w:eastAsia="Arial" w:hAnsi="Arial"/>
                <w:sz w:val="14"/>
                <w:szCs w:val="14"/>
                <w:b w:val="1"/>
                <w:bCs w:val="1"/>
                <w:color w:val="auto"/>
                <w:w w:val="94"/>
              </w:rPr>
              <w:t>Commercial</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tcPr>
          <w:p>
            <w:pPr>
              <w:ind w:left="40"/>
              <w:spacing w:after="0" w:line="147" w:lineRule="exact"/>
              <w:rPr>
                <w:sz w:val="20"/>
                <w:szCs w:val="20"/>
                <w:color w:val="auto"/>
              </w:rPr>
            </w:pPr>
            <w:r>
              <w:rPr>
                <w:rFonts w:ascii="Arial" w:cs="Arial" w:eastAsia="Arial" w:hAnsi="Arial"/>
                <w:sz w:val="14"/>
                <w:szCs w:val="14"/>
                <w:b w:val="1"/>
                <w:bCs w:val="1"/>
                <w:color w:val="auto"/>
              </w:rPr>
              <w:t>Government</w:t>
            </w:r>
          </w:p>
        </w:tc>
        <w:tc>
          <w:tcPr>
            <w:tcW w:w="220" w:type="dxa"/>
            <w:vAlign w:val="bottom"/>
          </w:tcPr>
          <w:p>
            <w:pPr>
              <w:spacing w:after="0"/>
              <w:rPr>
                <w:sz w:val="12"/>
                <w:szCs w:val="12"/>
                <w:color w:val="auto"/>
              </w:rPr>
            </w:pPr>
          </w:p>
        </w:tc>
        <w:tc>
          <w:tcPr>
            <w:tcW w:w="1300" w:type="dxa"/>
            <w:vAlign w:val="bottom"/>
            <w:gridSpan w:val="2"/>
          </w:tcPr>
          <w:p>
            <w:pPr>
              <w:jc w:val="right"/>
              <w:ind w:right="540"/>
              <w:spacing w:after="0" w:line="147" w:lineRule="exact"/>
              <w:rPr>
                <w:sz w:val="20"/>
                <w:szCs w:val="20"/>
                <w:color w:val="auto"/>
              </w:rPr>
            </w:pPr>
            <w:r>
              <w:rPr>
                <w:rFonts w:ascii="Arial" w:cs="Arial" w:eastAsia="Arial" w:hAnsi="Arial"/>
                <w:sz w:val="14"/>
                <w:szCs w:val="14"/>
                <w:b w:val="1"/>
                <w:bCs w:val="1"/>
                <w:color w:val="auto"/>
              </w:rPr>
              <w:t>Corporate</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1000" w:type="dxa"/>
            <w:vAlign w:val="bottom"/>
            <w:tcBorders>
              <w:bottom w:val="single" w:sz="8" w:color="auto"/>
            </w:tcBorders>
          </w:tcPr>
          <w:p>
            <w:pPr>
              <w:spacing w:after="0" w:line="158" w:lineRule="exact"/>
              <w:rPr>
                <w:sz w:val="20"/>
                <w:szCs w:val="20"/>
                <w:color w:val="auto"/>
              </w:rPr>
            </w:pPr>
            <w:r>
              <w:rPr>
                <w:rFonts w:ascii="Arial" w:cs="Arial" w:eastAsia="Arial" w:hAnsi="Arial"/>
                <w:sz w:val="14"/>
                <w:szCs w:val="14"/>
                <w:b w:val="1"/>
                <w:bCs w:val="1"/>
                <w:u w:val="single" w:color="auto"/>
                <w:color w:val="auto"/>
                <w:w w:val="90"/>
              </w:rPr>
              <w:t>(</w:t>
            </w:r>
            <w:r>
              <w:rPr>
                <w:rFonts w:ascii="Arial" w:cs="Arial" w:eastAsia="Arial" w:hAnsi="Arial"/>
                <w:sz w:val="14"/>
                <w:szCs w:val="14"/>
                <w:b w:val="1"/>
                <w:bCs w:val="1"/>
                <w:color w:val="auto"/>
                <w:w w:val="90"/>
              </w:rPr>
              <w:t>$ in thousands)</w:t>
            </w:r>
          </w:p>
        </w:tc>
        <w:tc>
          <w:tcPr>
            <w:tcW w:w="34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gridSpan w:val="2"/>
          </w:tcPr>
          <w:p>
            <w:pPr>
              <w:jc w:val="center"/>
              <w:ind w:right="320"/>
              <w:spacing w:after="0" w:line="158" w:lineRule="exact"/>
              <w:rPr>
                <w:sz w:val="20"/>
                <w:szCs w:val="20"/>
                <w:color w:val="auto"/>
              </w:rPr>
            </w:pPr>
            <w:r>
              <w:rPr>
                <w:rFonts w:ascii="Arial" w:cs="Arial" w:eastAsia="Arial" w:hAnsi="Arial"/>
                <w:sz w:val="14"/>
                <w:szCs w:val="14"/>
                <w:b w:val="1"/>
                <w:bCs w:val="1"/>
                <w:color w:val="auto"/>
                <w:w w:val="90"/>
              </w:rPr>
              <w:t>Services</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gridSpan w:val="2"/>
          </w:tcPr>
          <w:p>
            <w:pPr>
              <w:ind w:left="140"/>
              <w:spacing w:after="0" w:line="158" w:lineRule="exact"/>
              <w:rPr>
                <w:sz w:val="20"/>
                <w:szCs w:val="20"/>
                <w:color w:val="auto"/>
              </w:rPr>
            </w:pPr>
            <w:r>
              <w:rPr>
                <w:rFonts w:ascii="Arial" w:cs="Arial" w:eastAsia="Arial" w:hAnsi="Arial"/>
                <w:sz w:val="14"/>
                <w:szCs w:val="14"/>
                <w:b w:val="1"/>
                <w:bCs w:val="1"/>
                <w:color w:val="auto"/>
              </w:rPr>
              <w:t>Solutions</w:t>
            </w:r>
          </w:p>
        </w:tc>
        <w:tc>
          <w:tcPr>
            <w:tcW w:w="220" w:type="dxa"/>
            <w:vAlign w:val="bottom"/>
          </w:tcPr>
          <w:p>
            <w:pPr>
              <w:spacing w:after="0"/>
              <w:rPr>
                <w:sz w:val="15"/>
                <w:szCs w:val="15"/>
                <w:color w:val="auto"/>
              </w:rPr>
            </w:pPr>
          </w:p>
        </w:tc>
        <w:tc>
          <w:tcPr>
            <w:tcW w:w="1300" w:type="dxa"/>
            <w:vAlign w:val="bottom"/>
            <w:gridSpan w:val="2"/>
          </w:tcPr>
          <w:p>
            <w:pPr>
              <w:jc w:val="right"/>
              <w:ind w:right="540"/>
              <w:spacing w:after="0" w:line="158" w:lineRule="exact"/>
              <w:rPr>
                <w:sz w:val="20"/>
                <w:szCs w:val="20"/>
                <w:color w:val="auto"/>
              </w:rPr>
            </w:pPr>
            <w:r>
              <w:rPr>
                <w:rFonts w:ascii="Arial" w:cs="Arial" w:eastAsia="Arial" w:hAnsi="Arial"/>
                <w:sz w:val="14"/>
                <w:szCs w:val="14"/>
                <w:b w:val="1"/>
                <w:bCs w:val="1"/>
                <w:color w:val="auto"/>
              </w:rPr>
              <w:t>and Other</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gridSpan w:val="2"/>
          </w:tcPr>
          <w:p>
            <w:pPr>
              <w:jc w:val="right"/>
              <w:ind w:right="580"/>
              <w:spacing w:after="0" w:line="158"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7"/>
        </w:trPr>
        <w:tc>
          <w:tcPr>
            <w:tcW w:w="442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Service revenue</w:t>
            </w:r>
          </w:p>
        </w:tc>
        <w:tc>
          <w:tcPr>
            <w:tcW w:w="120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92,218</w:t>
            </w:r>
          </w:p>
        </w:tc>
        <w:tc>
          <w:tcPr>
            <w:tcW w:w="18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73,832</w:t>
            </w:r>
          </w:p>
        </w:tc>
        <w:tc>
          <w:tcPr>
            <w:tcW w:w="30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166,050</w:t>
            </w: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20" w:type="dxa"/>
            <w:vAlign w:val="bottom"/>
            <w:gridSpan w:val="2"/>
          </w:tcPr>
          <w:p>
            <w:pPr>
              <w:spacing w:after="0"/>
              <w:rPr>
                <w:sz w:val="20"/>
                <w:szCs w:val="20"/>
                <w:color w:val="auto"/>
              </w:rPr>
            </w:pPr>
            <w:r>
              <w:rPr>
                <w:rFonts w:ascii="Arial" w:cs="Arial" w:eastAsia="Arial" w:hAnsi="Arial"/>
                <w:sz w:val="18"/>
                <w:szCs w:val="18"/>
                <w:color w:val="auto"/>
              </w:rPr>
              <w:t>Product sales</w:t>
            </w:r>
          </w:p>
        </w:tc>
        <w:tc>
          <w:tcPr>
            <w:tcW w:w="1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1,388</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1,388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20" w:type="dxa"/>
            <w:vAlign w:val="bottom"/>
            <w:tcBorders>
              <w:top w:val="single" w:sz="8" w:color="CFF0FC"/>
            </w:tcBorders>
            <w:gridSpan w:val="2"/>
            <w:shd w:val="clear" w:color="auto" w:fill="CFF0FC"/>
          </w:tcPr>
          <w:p>
            <w:pPr>
              <w:ind w:left="140"/>
              <w:spacing w:after="0"/>
              <w:rPr>
                <w:sz w:val="20"/>
                <w:szCs w:val="20"/>
                <w:color w:val="auto"/>
              </w:rPr>
            </w:pPr>
            <w:r>
              <w:rPr>
                <w:rFonts w:ascii="Arial" w:cs="Arial" w:eastAsia="Arial" w:hAnsi="Arial"/>
                <w:sz w:val="18"/>
                <w:szCs w:val="18"/>
                <w:color w:val="auto"/>
              </w:rPr>
              <w:t>Total revenue</w:t>
            </w:r>
          </w:p>
        </w:tc>
        <w:tc>
          <w:tcPr>
            <w:tcW w:w="1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92,218</w:t>
            </w: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75,220</w:t>
            </w:r>
          </w:p>
        </w:tc>
        <w:tc>
          <w:tcPr>
            <w:tcW w:w="3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167,438</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gridSpan w:val="2"/>
          </w:tcPr>
          <w:p>
            <w:pPr>
              <w:spacing w:after="0"/>
              <w:rPr>
                <w:sz w:val="20"/>
                <w:szCs w:val="20"/>
                <w:color w:val="auto"/>
              </w:rPr>
            </w:pPr>
            <w:r>
              <w:rPr>
                <w:rFonts w:ascii="Arial" w:cs="Arial" w:eastAsia="Arial" w:hAnsi="Arial"/>
                <w:sz w:val="18"/>
                <w:szCs w:val="18"/>
                <w:color w:val="auto"/>
              </w:rPr>
              <w:t>Cost of service revenue</w:t>
            </w:r>
          </w:p>
        </w:tc>
        <w:tc>
          <w:tcPr>
            <w:tcW w:w="1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967</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1,515</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2,482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Cost of product sales</w:t>
            </w:r>
          </w:p>
        </w:tc>
        <w:tc>
          <w:tcPr>
            <w:tcW w:w="1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1,050</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23,630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28,851</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52,481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Selling, general and administrative expenses</w:t>
            </w:r>
          </w:p>
        </w:tc>
        <w:tc>
          <w:tcPr>
            <w:tcW w:w="1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32,552</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13,345</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14,967</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60,864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gridSpan w:val="2"/>
          </w:tcPr>
          <w:p>
            <w:pPr>
              <w:spacing w:after="0"/>
              <w:rPr>
                <w:sz w:val="20"/>
                <w:szCs w:val="20"/>
                <w:color w:val="auto"/>
              </w:rPr>
            </w:pPr>
            <w:r>
              <w:rPr>
                <w:rFonts w:ascii="Arial" w:cs="Arial" w:eastAsia="Arial" w:hAnsi="Arial"/>
                <w:sz w:val="18"/>
                <w:szCs w:val="18"/>
                <w:color w:val="auto"/>
              </w:rPr>
              <w:t>Other income, net</w:t>
            </w:r>
          </w:p>
        </w:tc>
        <w:tc>
          <w:tcPr>
            <w:tcW w:w="1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(3,969)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(63)</w:t>
            </w:r>
          </w:p>
        </w:tc>
        <w:tc>
          <w:tcPr>
            <w:tcW w:w="220" w:type="dxa"/>
            <w:vAlign w:val="bottom"/>
          </w:tcPr>
          <w:p>
            <w:pPr>
              <w:spacing w:after="0"/>
              <w:rPr>
                <w:sz w:val="19"/>
                <w:szCs w:val="19"/>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(4,059)</w:t>
            </w:r>
          </w:p>
        </w:tc>
        <w:tc>
          <w:tcPr>
            <w:tcW w:w="0" w:type="dxa"/>
            <w:vAlign w:val="bottom"/>
          </w:tcPr>
          <w:p>
            <w:pPr>
              <w:spacing w:after="0"/>
              <w:rPr>
                <w:sz w:val="1"/>
                <w:szCs w:val="1"/>
                <w:color w:val="auto"/>
              </w:rPr>
            </w:pPr>
          </w:p>
        </w:tc>
      </w:tr>
      <w:tr>
        <w:trPr>
          <w:trHeight w:val="223"/>
        </w:trPr>
        <w:tc>
          <w:tcPr>
            <w:tcW w:w="4420" w:type="dxa"/>
            <w:vAlign w:val="bottom"/>
            <w:tcBorders>
              <w:top w:val="single" w:sz="8" w:color="CFF0FC"/>
              <w:bottom w:val="single" w:sz="8" w:color="CFF0FC"/>
            </w:tcBorders>
            <w:gridSpan w:val="2"/>
            <w:shd w:val="clear" w:color="auto" w:fill="CFF0FC"/>
          </w:tcPr>
          <w:p>
            <w:pPr>
              <w:ind w:left="140"/>
              <w:spacing w:after="0"/>
              <w:rPr>
                <w:sz w:val="20"/>
                <w:szCs w:val="20"/>
                <w:color w:val="auto"/>
              </w:rPr>
            </w:pPr>
            <w:r>
              <w:rPr>
                <w:rFonts w:ascii="Arial" w:cs="Arial" w:eastAsia="Arial" w:hAnsi="Arial"/>
                <w:sz w:val="18"/>
                <w:szCs w:val="18"/>
                <w:b w:val="1"/>
                <w:bCs w:val="1"/>
                <w:color w:val="auto"/>
              </w:rPr>
              <w:t>Segment profit (loss)</w:t>
            </w:r>
          </w:p>
        </w:tc>
        <w:tc>
          <w:tcPr>
            <w:tcW w:w="12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39,038</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30,522</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(14,940)</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54,620</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20" w:type="dxa"/>
            <w:vAlign w:val="bottom"/>
            <w:gridSpan w:val="2"/>
            <w:vMerge w:val="restart"/>
          </w:tcPr>
          <w:p>
            <w:pPr>
              <w:spacing w:after="0"/>
              <w:rPr>
                <w:sz w:val="20"/>
                <w:szCs w:val="20"/>
                <w:color w:val="auto"/>
              </w:rPr>
            </w:pPr>
            <w:r>
              <w:rPr>
                <w:rFonts w:ascii="Arial" w:cs="Arial" w:eastAsia="Arial" w:hAnsi="Arial"/>
                <w:sz w:val="18"/>
                <w:szCs w:val="18"/>
                <w:color w:val="auto"/>
              </w:rPr>
              <w:t>Segment profit (loss)</w:t>
            </w:r>
          </w:p>
        </w:tc>
        <w:tc>
          <w:tcPr>
            <w:tcW w:w="134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20" w:type="dxa"/>
            <w:vAlign w:val="bottom"/>
            <w:gridSpan w:val="2"/>
            <w:vMerge w:val="continue"/>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39,038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30,522</w:t>
            </w:r>
          </w:p>
        </w:tc>
        <w:tc>
          <w:tcPr>
            <w:tcW w:w="300" w:type="dxa"/>
            <w:vAlign w:val="bottom"/>
          </w:tcPr>
          <w:p>
            <w:pPr>
              <w:spacing w:after="0"/>
              <w:rPr>
                <w:sz w:val="18"/>
                <w:szCs w:val="18"/>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(14,940)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54,620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Depreciation and amortization</w:t>
            </w:r>
          </w:p>
        </w:tc>
        <w:tc>
          <w:tcPr>
            <w:tcW w:w="1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46,047</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46,047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gridSpan w:val="2"/>
          </w:tcPr>
          <w:p>
            <w:pPr>
              <w:spacing w:after="0"/>
              <w:rPr>
                <w:sz w:val="20"/>
                <w:szCs w:val="20"/>
                <w:color w:val="auto"/>
              </w:rPr>
            </w:pPr>
            <w:r>
              <w:rPr>
                <w:rFonts w:ascii="Arial" w:cs="Arial" w:eastAsia="Arial" w:hAnsi="Arial"/>
                <w:sz w:val="18"/>
                <w:szCs w:val="18"/>
                <w:color w:val="auto"/>
              </w:rPr>
              <w:t>Gain on disposal of assets, net</w:t>
            </w:r>
          </w:p>
        </w:tc>
        <w:tc>
          <w:tcPr>
            <w:tcW w:w="1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0"/>
        </w:trPr>
        <w:tc>
          <w:tcPr>
            <w:tcW w:w="44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1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32,226</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32,226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gridSpan w:val="2"/>
          </w:tcPr>
          <w:p>
            <w:pPr>
              <w:spacing w:after="0"/>
              <w:rPr>
                <w:sz w:val="20"/>
                <w:szCs w:val="20"/>
                <w:color w:val="auto"/>
              </w:rPr>
            </w:pPr>
            <w:r>
              <w:rPr>
                <w:rFonts w:ascii="Arial" w:cs="Arial" w:eastAsia="Arial" w:hAnsi="Arial"/>
                <w:sz w:val="18"/>
                <w:szCs w:val="18"/>
                <w:color w:val="auto"/>
              </w:rPr>
              <w:t>Loss on extinguishment of debt</w:t>
            </w:r>
          </w:p>
        </w:tc>
        <w:tc>
          <w:tcPr>
            <w:tcW w:w="1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10,151</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10,151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20" w:type="dxa"/>
            <w:vAlign w:val="bottom"/>
            <w:tcBorders>
              <w:top w:val="single" w:sz="8" w:color="CFF0FC"/>
              <w:bottom w:val="single" w:sz="8" w:color="CFF0FC"/>
            </w:tcBorders>
            <w:gridSpan w:val="2"/>
            <w:shd w:val="clear" w:color="auto" w:fill="CFF0FC"/>
          </w:tcPr>
          <w:p>
            <w:pPr>
              <w:ind w:left="140"/>
              <w:spacing w:after="0"/>
              <w:rPr>
                <w:sz w:val="20"/>
                <w:szCs w:val="20"/>
                <w:color w:val="auto"/>
              </w:rPr>
            </w:pPr>
            <w:r>
              <w:rPr>
                <w:rFonts w:ascii="Arial" w:cs="Arial" w:eastAsia="Arial" w:hAnsi="Arial"/>
                <w:sz w:val="18"/>
                <w:szCs w:val="18"/>
                <w:color w:val="auto"/>
              </w:rPr>
              <w:t>Income (loss) before income tax (benefit)</w:t>
            </w:r>
          </w:p>
        </w:tc>
        <w:tc>
          <w:tcPr>
            <w:tcW w:w="12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39,038</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30,522</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(103,357)</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(33,797)</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left="420" w:hanging="412"/>
        <w:spacing w:after="0"/>
        <w:tabs>
          <w:tab w:leader="none" w:pos="42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Guarantor/Non-Guarantor Financial Information</w:t>
      </w:r>
    </w:p>
    <w:p>
      <w:pPr>
        <w:spacing w:after="0" w:line="189" w:lineRule="exact"/>
        <w:rPr>
          <w:sz w:val="20"/>
          <w:szCs w:val="20"/>
          <w:color w:val="auto"/>
        </w:rPr>
      </w:pPr>
    </w:p>
    <w:p>
      <w:pPr>
        <w:jc w:val="both"/>
        <w:ind w:firstLine="815"/>
        <w:spacing w:after="0" w:line="255" w:lineRule="auto"/>
        <w:rPr>
          <w:sz w:val="20"/>
          <w:szCs w:val="20"/>
          <w:color w:val="auto"/>
        </w:rPr>
      </w:pPr>
      <w:r>
        <w:rPr>
          <w:rFonts w:ascii="Arial" w:cs="Arial" w:eastAsia="Arial" w:hAnsi="Arial"/>
          <w:sz w:val="18"/>
          <w:szCs w:val="18"/>
          <w:color w:val="auto"/>
        </w:rPr>
        <w:t>VM Consolidated, Inc., a wholly-owned subsidiary of the Company, is the lead borrower of the New First Lien Term Loan and the New Revolver. VM Consolidated, Inc. is owned by the Company through a series of holding companies that ultimately end with the Company. VM Consolidated, Inc. is wholly-owned by Parent, which is wholly-owned by Greenlight Intermediate Holding Corporation, which is wholly-owned by Greenlight Holding Corporation, which is wholly-owned by Verra Mobility Holdings, LLC, which is wholly-owned by Verra Mobility Corporation or the Company. Prior to the Business Combination, VM Consolidated, Inc. was known as ATS Consolidated, Inc. and its financial information was the same as the lead borrower. The principal elimination entries relate to investments in subsidiaries and intercompany balances and transactions, including transactions with the Company’s wholly-owned subsidiary guarantors and non-guarantor subsidiaries.</w:t>
      </w:r>
    </w:p>
    <w:p>
      <w:pPr>
        <w:spacing w:after="0" w:line="162" w:lineRule="exact"/>
        <w:rPr>
          <w:sz w:val="20"/>
          <w:szCs w:val="20"/>
          <w:color w:val="auto"/>
        </w:rPr>
      </w:pPr>
    </w:p>
    <w:p>
      <w:pPr>
        <w:jc w:val="both"/>
        <w:ind w:firstLine="815"/>
        <w:spacing w:after="0" w:line="312" w:lineRule="auto"/>
        <w:rPr>
          <w:sz w:val="20"/>
          <w:szCs w:val="20"/>
          <w:color w:val="auto"/>
        </w:rPr>
      </w:pPr>
      <w:r>
        <w:rPr>
          <w:rFonts w:ascii="Arial" w:cs="Arial" w:eastAsia="Arial" w:hAnsi="Arial"/>
          <w:sz w:val="16"/>
          <w:szCs w:val="16"/>
          <w:color w:val="auto"/>
        </w:rPr>
        <w:t>The following financial information presents the Condensed Consolidated Balance Sheets as of June 30, 2019, the Condensed Consolidated Statements of Operations and Comprehensive Income (Loss) for the three and six months ended June 30, 2019 and the Condensed Consolidated Statements of Cash Flows for the six months ended June 30, 2019 for the Company, combined guarantor subsidiaries and combined non-guarantor subsidiaries: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25" w:name="page26"/>
    <w:bookmarkEnd w:id="2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Verra Mobility Corporation and Subsidiaries</w:t>
      </w:r>
    </w:p>
    <w:p>
      <w:pPr>
        <w:spacing w:after="0" w:line="1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at June 30, 2019</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(Unaudited)</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0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VM</w:t>
            </w: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100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9"/>
              </w:rPr>
              <w:t>Verra Mobility</w:t>
            </w:r>
          </w:p>
        </w:tc>
        <w:tc>
          <w:tcPr>
            <w:tcW w:w="100" w:type="dxa"/>
            <w:vAlign w:val="bottom"/>
          </w:tcPr>
          <w:p>
            <w:pPr>
              <w:spacing w:after="0"/>
              <w:rPr>
                <w:sz w:val="14"/>
                <w:szCs w:val="14"/>
                <w:color w:val="auto"/>
              </w:rPr>
            </w:pPr>
          </w:p>
        </w:tc>
        <w:tc>
          <w:tcPr>
            <w:tcW w:w="14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2"/>
              </w:rPr>
              <w:t>Consolidated Inc.</w:t>
            </w: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100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Corporation</w:t>
            </w:r>
          </w:p>
        </w:tc>
        <w:tc>
          <w:tcPr>
            <w:tcW w:w="100" w:type="dxa"/>
            <w:vAlign w:val="bottom"/>
          </w:tcPr>
          <w:p>
            <w:pPr>
              <w:spacing w:after="0"/>
              <w:rPr>
                <w:sz w:val="14"/>
                <w:szCs w:val="14"/>
                <w:color w:val="auto"/>
              </w:rPr>
            </w:pPr>
          </w:p>
        </w:tc>
        <w:tc>
          <w:tcPr>
            <w:tcW w:w="14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9"/>
              </w:rPr>
              <w:t>(Guarantor</w:t>
            </w: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8"/>
        </w:trPr>
        <w:tc>
          <w:tcPr>
            <w:tcW w:w="1000" w:type="dxa"/>
            <w:vAlign w:val="bottom"/>
            <w:tcBorders>
              <w:bottom w:val="single" w:sz="8" w:color="auto"/>
            </w:tcBorders>
          </w:tcPr>
          <w:p>
            <w:pPr>
              <w:spacing w:after="0" w:line="158" w:lineRule="exact"/>
              <w:rPr>
                <w:sz w:val="20"/>
                <w:szCs w:val="20"/>
                <w:color w:val="auto"/>
              </w:rPr>
            </w:pPr>
            <w:r>
              <w:rPr>
                <w:rFonts w:ascii="Arial" w:cs="Arial" w:eastAsia="Arial" w:hAnsi="Arial"/>
                <w:sz w:val="14"/>
                <w:szCs w:val="14"/>
                <w:b w:val="1"/>
                <w:bCs w:val="1"/>
                <w:u w:val="single" w:color="auto"/>
                <w:color w:val="auto"/>
                <w:w w:val="90"/>
              </w:rPr>
              <w:t>(</w:t>
            </w:r>
            <w:r>
              <w:rPr>
                <w:rFonts w:ascii="Arial" w:cs="Arial" w:eastAsia="Arial" w:hAnsi="Arial"/>
                <w:sz w:val="14"/>
                <w:szCs w:val="14"/>
                <w:b w:val="1"/>
                <w:bCs w:val="1"/>
                <w:color w:val="auto"/>
                <w:w w:val="90"/>
              </w:rPr>
              <w:t>$ in thousands)</w:t>
            </w:r>
          </w:p>
        </w:tc>
        <w:tc>
          <w:tcPr>
            <w:tcW w:w="4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gridSpan w:val="2"/>
          </w:tcPr>
          <w:p>
            <w:pPr>
              <w:jc w:val="center"/>
              <w:ind w:right="380"/>
              <w:spacing w:after="0" w:line="158" w:lineRule="exact"/>
              <w:rPr>
                <w:sz w:val="20"/>
                <w:szCs w:val="20"/>
                <w:color w:val="auto"/>
              </w:rPr>
            </w:pPr>
            <w:r>
              <w:rPr>
                <w:rFonts w:ascii="Arial" w:cs="Arial" w:eastAsia="Arial" w:hAnsi="Arial"/>
                <w:sz w:val="14"/>
                <w:szCs w:val="14"/>
                <w:b w:val="1"/>
                <w:bCs w:val="1"/>
                <w:color w:val="auto"/>
                <w:w w:val="96"/>
              </w:rPr>
              <w:t>(Ultimate Parent)</w:t>
            </w:r>
          </w:p>
        </w:tc>
        <w:tc>
          <w:tcPr>
            <w:tcW w:w="100" w:type="dxa"/>
            <w:vAlign w:val="bottom"/>
          </w:tcPr>
          <w:p>
            <w:pPr>
              <w:spacing w:after="0"/>
              <w:rPr>
                <w:sz w:val="15"/>
                <w:szCs w:val="15"/>
                <w:color w:val="auto"/>
              </w:rPr>
            </w:pPr>
          </w:p>
        </w:tc>
        <w:tc>
          <w:tcPr>
            <w:tcW w:w="1460" w:type="dxa"/>
            <w:vAlign w:val="bottom"/>
            <w:gridSpan w:val="2"/>
          </w:tcPr>
          <w:p>
            <w:pPr>
              <w:jc w:val="center"/>
              <w:ind w:right="380"/>
              <w:spacing w:after="0" w:line="158" w:lineRule="exact"/>
              <w:rPr>
                <w:sz w:val="20"/>
                <w:szCs w:val="20"/>
                <w:color w:val="auto"/>
              </w:rPr>
            </w:pPr>
            <w:r>
              <w:rPr>
                <w:rFonts w:ascii="Arial" w:cs="Arial" w:eastAsia="Arial" w:hAnsi="Arial"/>
                <w:sz w:val="14"/>
                <w:szCs w:val="14"/>
                <w:b w:val="1"/>
                <w:bCs w:val="1"/>
                <w:color w:val="auto"/>
                <w:w w:val="94"/>
              </w:rPr>
              <w:t>Subsidiary)</w:t>
            </w:r>
          </w:p>
        </w:tc>
        <w:tc>
          <w:tcPr>
            <w:tcW w:w="180" w:type="dxa"/>
            <w:vAlign w:val="bottom"/>
          </w:tcPr>
          <w:p>
            <w:pPr>
              <w:spacing w:after="0"/>
              <w:rPr>
                <w:sz w:val="15"/>
                <w:szCs w:val="15"/>
                <w:color w:val="auto"/>
              </w:rPr>
            </w:pPr>
          </w:p>
        </w:tc>
        <w:tc>
          <w:tcPr>
            <w:tcW w:w="1300" w:type="dxa"/>
            <w:vAlign w:val="bottom"/>
            <w:gridSpan w:val="2"/>
          </w:tcPr>
          <w:p>
            <w:pPr>
              <w:jc w:val="right"/>
              <w:ind w:right="440"/>
              <w:spacing w:after="0" w:line="158" w:lineRule="exact"/>
              <w:rPr>
                <w:sz w:val="20"/>
                <w:szCs w:val="20"/>
                <w:color w:val="auto"/>
              </w:rPr>
            </w:pPr>
            <w:r>
              <w:rPr>
                <w:rFonts w:ascii="Arial" w:cs="Arial" w:eastAsia="Arial" w:hAnsi="Arial"/>
                <w:sz w:val="14"/>
                <w:szCs w:val="14"/>
                <w:b w:val="1"/>
                <w:bCs w:val="1"/>
                <w:color w:val="auto"/>
              </w:rPr>
              <w:t>Eliminations</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gridSpan w:val="2"/>
          </w:tcPr>
          <w:p>
            <w:pPr>
              <w:ind w:left="80"/>
              <w:spacing w:after="0" w:line="158" w:lineRule="exact"/>
              <w:rPr>
                <w:sz w:val="20"/>
                <w:szCs w:val="20"/>
                <w:color w:val="auto"/>
              </w:rPr>
            </w:pPr>
            <w:r>
              <w:rPr>
                <w:rFonts w:ascii="Arial" w:cs="Arial" w:eastAsia="Arial" w:hAnsi="Arial"/>
                <w:sz w:val="14"/>
                <w:szCs w:val="14"/>
                <w:b w:val="1"/>
                <w:bCs w:val="1"/>
                <w:color w:val="auto"/>
              </w:rPr>
              <w:t>Consolidated</w:t>
            </w:r>
          </w:p>
        </w:tc>
        <w:tc>
          <w:tcPr>
            <w:tcW w:w="20" w:type="dxa"/>
            <w:vAlign w:val="bottom"/>
          </w:tcPr>
          <w:p>
            <w:pPr>
              <w:spacing w:after="0"/>
              <w:rPr>
                <w:sz w:val="15"/>
                <w:szCs w:val="15"/>
                <w:color w:val="auto"/>
              </w:rPr>
            </w:pPr>
          </w:p>
        </w:tc>
      </w:tr>
      <w:tr>
        <w:trPr>
          <w:trHeight w:val="217"/>
        </w:trPr>
        <w:tc>
          <w:tcPr>
            <w:tcW w:w="514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Assets</w:t>
            </w:r>
          </w:p>
        </w:tc>
        <w:tc>
          <w:tcPr>
            <w:tcW w:w="1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5140" w:type="dxa"/>
            <w:vAlign w:val="bottom"/>
            <w:gridSpan w:val="2"/>
          </w:tcPr>
          <w:p>
            <w:pPr>
              <w:ind w:left="140"/>
              <w:spacing w:after="0"/>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1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92,247</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92,247</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140" w:type="dxa"/>
            <w:vAlign w:val="bottom"/>
            <w:gridSpan w:val="2"/>
          </w:tcPr>
          <w:p>
            <w:pPr>
              <w:ind w:left="260"/>
              <w:spacing w:after="0"/>
              <w:rPr>
                <w:sz w:val="20"/>
                <w:szCs w:val="20"/>
                <w:color w:val="auto"/>
              </w:rPr>
            </w:pPr>
            <w:r>
              <w:rPr>
                <w:rFonts w:ascii="Arial" w:cs="Arial" w:eastAsia="Arial" w:hAnsi="Arial"/>
                <w:sz w:val="18"/>
                <w:szCs w:val="18"/>
                <w:color w:val="auto"/>
              </w:rPr>
              <w:t>Restricted cash</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1,743</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1,743</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1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Accounts receivable, net</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106,261</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106,261</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140" w:type="dxa"/>
            <w:vAlign w:val="bottom"/>
            <w:gridSpan w:val="2"/>
          </w:tcPr>
          <w:p>
            <w:pPr>
              <w:ind w:left="260"/>
              <w:spacing w:after="0"/>
              <w:rPr>
                <w:sz w:val="20"/>
                <w:szCs w:val="20"/>
                <w:color w:val="auto"/>
              </w:rPr>
            </w:pPr>
            <w:r>
              <w:rPr>
                <w:rFonts w:ascii="Arial" w:cs="Arial" w:eastAsia="Arial" w:hAnsi="Arial"/>
                <w:sz w:val="18"/>
                <w:szCs w:val="18"/>
                <w:color w:val="auto"/>
              </w:rPr>
              <w:t>Unbilled receivables</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13,571</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13,571</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1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Investment in subsidiary</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146,774</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(146,774)</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30"/>
        </w:trPr>
        <w:tc>
          <w:tcPr>
            <w:tcW w:w="5140" w:type="dxa"/>
            <w:vAlign w:val="bottom"/>
            <w:gridSpan w:val="2"/>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21,646</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21,646</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514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 current assets</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146,774</w:t>
            </w:r>
          </w:p>
        </w:tc>
        <w:tc>
          <w:tcPr>
            <w:tcW w:w="2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235,468</w:t>
            </w:r>
          </w:p>
        </w:tc>
        <w:tc>
          <w:tcPr>
            <w:tcW w:w="2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(146,774)</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235,468</w:t>
            </w:r>
          </w:p>
        </w:tc>
        <w:tc>
          <w:tcPr>
            <w:tcW w:w="12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140" w:type="dxa"/>
            <w:vAlign w:val="bottom"/>
            <w:gridSpan w:val="2"/>
          </w:tcPr>
          <w:p>
            <w:pPr>
              <w:ind w:left="140"/>
              <w:spacing w:after="0"/>
              <w:rPr>
                <w:sz w:val="20"/>
                <w:szCs w:val="20"/>
                <w:color w:val="auto"/>
              </w:rPr>
            </w:pPr>
            <w:r>
              <w:rPr>
                <w:rFonts w:ascii="Arial" w:cs="Arial" w:eastAsia="Arial" w:hAnsi="Arial"/>
                <w:sz w:val="18"/>
                <w:szCs w:val="18"/>
                <w:color w:val="auto"/>
              </w:rPr>
              <w:t>Installation and service parts, net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10,028</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10,028</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14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Property and equipment, net</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65,907</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65,907</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140" w:type="dxa"/>
            <w:vAlign w:val="bottom"/>
            <w:gridSpan w:val="2"/>
          </w:tcPr>
          <w:p>
            <w:pPr>
              <w:ind w:left="140"/>
              <w:spacing w:after="0"/>
              <w:rPr>
                <w:sz w:val="20"/>
                <w:szCs w:val="20"/>
                <w:color w:val="auto"/>
              </w:rPr>
            </w:pPr>
            <w:r>
              <w:rPr>
                <w:rFonts w:ascii="Arial" w:cs="Arial" w:eastAsia="Arial" w:hAnsi="Arial"/>
                <w:sz w:val="18"/>
                <w:szCs w:val="18"/>
                <w:color w:val="auto"/>
              </w:rPr>
              <w:t>Intangible assets, net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468,213</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468,213</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14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Goodwill</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564,638</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564,638</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140" w:type="dxa"/>
            <w:vAlign w:val="bottom"/>
            <w:gridSpan w:val="2"/>
          </w:tcPr>
          <w:p>
            <w:pPr>
              <w:ind w:left="140"/>
              <w:spacing w:after="0"/>
              <w:rPr>
                <w:sz w:val="20"/>
                <w:szCs w:val="20"/>
                <w:color w:val="auto"/>
              </w:rPr>
            </w:pPr>
            <w:r>
              <w:rPr>
                <w:rFonts w:ascii="Arial" w:cs="Arial" w:eastAsia="Arial" w:hAnsi="Arial"/>
                <w:sz w:val="18"/>
                <w:szCs w:val="18"/>
                <w:color w:val="auto"/>
              </w:rPr>
              <w:t>Due from affiliates</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169,259</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(169,259)</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30"/>
        </w:trPr>
        <w:tc>
          <w:tcPr>
            <w:tcW w:w="514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Other non-current assets</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2,197</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2,197</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63"/>
        </w:trPr>
        <w:tc>
          <w:tcPr>
            <w:tcW w:w="514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Total assets</w:t>
            </w:r>
          </w:p>
        </w:tc>
        <w:tc>
          <w:tcPr>
            <w:tcW w:w="160" w:type="dxa"/>
            <w:vAlign w:val="bottom"/>
            <w:tcBorders>
              <w:bottom w:val="single" w:sz="8" w:color="CFF0FC"/>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316,033</w:t>
            </w:r>
          </w:p>
        </w:tc>
        <w:tc>
          <w:tcPr>
            <w:tcW w:w="260" w:type="dxa"/>
            <w:vAlign w:val="bottom"/>
            <w:tcBorders>
              <w:bottom w:val="single" w:sz="8" w:color="CFF0FC"/>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1,346,451</w:t>
            </w:r>
          </w:p>
        </w:tc>
        <w:tc>
          <w:tcPr>
            <w:tcW w:w="260" w:type="dxa"/>
            <w:vAlign w:val="bottom"/>
            <w:tcBorders>
              <w:bottom w:val="single" w:sz="8" w:color="CFF0FC"/>
            </w:tcBorders>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(316,033)</w:t>
            </w:r>
          </w:p>
        </w:tc>
        <w:tc>
          <w:tcPr>
            <w:tcW w:w="16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1,346,451</w:t>
            </w:r>
          </w:p>
        </w:tc>
        <w:tc>
          <w:tcPr>
            <w:tcW w:w="120" w:type="dxa"/>
            <w:vAlign w:val="bottom"/>
            <w:tcBorders>
              <w:bottom w:val="single" w:sz="8" w:color="CFF0FC"/>
            </w:tcBorders>
          </w:tcPr>
          <w:p>
            <w:pPr>
              <w:spacing w:after="0"/>
              <w:rPr>
                <w:sz w:val="22"/>
                <w:szCs w:val="22"/>
                <w:color w:val="auto"/>
              </w:rPr>
            </w:pPr>
          </w:p>
        </w:tc>
        <w:tc>
          <w:tcPr>
            <w:tcW w:w="20" w:type="dxa"/>
            <w:vAlign w:val="bottom"/>
          </w:tcPr>
          <w:p>
            <w:pPr>
              <w:spacing w:after="0"/>
              <w:rPr>
                <w:sz w:val="22"/>
                <w:szCs w:val="22"/>
                <w:color w:val="auto"/>
              </w:rPr>
            </w:pPr>
          </w:p>
        </w:tc>
      </w:tr>
      <w:tr>
        <w:trPr>
          <w:trHeight w:val="210"/>
        </w:trPr>
        <w:tc>
          <w:tcPr>
            <w:tcW w:w="51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Liabilities and stockholders' equity</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5140" w:type="dxa"/>
            <w:vAlign w:val="bottom"/>
            <w:gridSpan w:val="2"/>
          </w:tcPr>
          <w:p>
            <w:pPr>
              <w:ind w:left="140"/>
              <w:spacing w:after="0"/>
              <w:rPr>
                <w:sz w:val="20"/>
                <w:szCs w:val="20"/>
                <w:color w:val="auto"/>
              </w:rPr>
            </w:pPr>
            <w:r>
              <w:rPr>
                <w:rFonts w:ascii="Arial" w:cs="Arial" w:eastAsia="Arial" w:hAnsi="Arial"/>
                <w:sz w:val="18"/>
                <w:szCs w:val="18"/>
                <w:color w:val="auto"/>
              </w:rPr>
              <w:t>Current liabilities:</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1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Accounts payable</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49,318</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49,318</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140" w:type="dxa"/>
            <w:vAlign w:val="bottom"/>
            <w:gridSpan w:val="2"/>
          </w:tcPr>
          <w:p>
            <w:pPr>
              <w:ind w:left="260"/>
              <w:spacing w:after="0"/>
              <w:rPr>
                <w:sz w:val="20"/>
                <w:szCs w:val="20"/>
                <w:color w:val="auto"/>
              </w:rPr>
            </w:pPr>
            <w:r>
              <w:rPr>
                <w:rFonts w:ascii="Arial" w:cs="Arial" w:eastAsia="Arial" w:hAnsi="Arial"/>
                <w:sz w:val="18"/>
                <w:szCs w:val="18"/>
                <w:color w:val="auto"/>
              </w:rPr>
              <w:t>Accrued liabilities</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6,205</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14,090</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20,295</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1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Current portion of long-term debt</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9,104</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9,104</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5140" w:type="dxa"/>
            <w:vAlign w:val="bottom"/>
            <w:gridSpan w:val="2"/>
          </w:tcPr>
          <w:p>
            <w:pPr>
              <w:spacing w:after="0"/>
              <w:rPr>
                <w:sz w:val="20"/>
                <w:szCs w:val="20"/>
                <w:color w:val="auto"/>
              </w:rPr>
            </w:pPr>
            <w:r>
              <w:rPr>
                <w:rFonts w:ascii="Arial" w:cs="Arial" w:eastAsia="Arial" w:hAnsi="Arial"/>
                <w:sz w:val="18"/>
                <w:szCs w:val="18"/>
                <w:color w:val="auto"/>
              </w:rPr>
              <w:t>Total current liabilities</w:t>
            </w: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6,205</w:t>
            </w: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72,512</w:t>
            </w:r>
          </w:p>
        </w:tc>
        <w:tc>
          <w:tcPr>
            <w:tcW w:w="2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78,717</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14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w w:val="94"/>
              </w:rPr>
              <w:t>Long-term debt, net of current portion and deferred financing costs</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859,133</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859,133</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140" w:type="dxa"/>
            <w:vAlign w:val="bottom"/>
            <w:gridSpan w:val="2"/>
          </w:tcPr>
          <w:p>
            <w:pPr>
              <w:ind w:left="140"/>
              <w:spacing w:after="0"/>
              <w:rPr>
                <w:sz w:val="20"/>
                <w:szCs w:val="20"/>
                <w:color w:val="auto"/>
              </w:rPr>
            </w:pPr>
            <w:r>
              <w:rPr>
                <w:rFonts w:ascii="Arial" w:cs="Arial" w:eastAsia="Arial" w:hAnsi="Arial"/>
                <w:sz w:val="18"/>
                <w:szCs w:val="18"/>
                <w:color w:val="auto"/>
              </w:rPr>
              <w:t>Other long-term liabilities</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3,764</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3,764</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14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Payable related to tax receivable agreement</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66,097</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66,097</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140" w:type="dxa"/>
            <w:vAlign w:val="bottom"/>
            <w:gridSpan w:val="2"/>
          </w:tcPr>
          <w:p>
            <w:pPr>
              <w:ind w:left="140"/>
              <w:spacing w:after="0"/>
              <w:rPr>
                <w:sz w:val="20"/>
                <w:szCs w:val="20"/>
                <w:color w:val="auto"/>
              </w:rPr>
            </w:pPr>
            <w:r>
              <w:rPr>
                <w:rFonts w:ascii="Arial" w:cs="Arial" w:eastAsia="Arial" w:hAnsi="Arial"/>
                <w:sz w:val="18"/>
                <w:szCs w:val="18"/>
                <w:color w:val="auto"/>
              </w:rPr>
              <w:t>Due to affiliates</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169,259</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(169,259)</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30"/>
        </w:trPr>
        <w:tc>
          <w:tcPr>
            <w:tcW w:w="514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Asset retirement obligation</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6,873</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6,873</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140" w:type="dxa"/>
            <w:vAlign w:val="bottom"/>
            <w:gridSpan w:val="2"/>
          </w:tcPr>
          <w:p>
            <w:pPr>
              <w:ind w:left="140"/>
              <w:spacing w:after="0"/>
              <w:rPr>
                <w:sz w:val="20"/>
                <w:szCs w:val="20"/>
                <w:color w:val="auto"/>
              </w:rPr>
            </w:pPr>
            <w:r>
              <w:rPr>
                <w:rFonts w:ascii="Arial" w:cs="Arial" w:eastAsia="Arial" w:hAnsi="Arial"/>
                <w:sz w:val="18"/>
                <w:szCs w:val="18"/>
                <w:color w:val="auto"/>
              </w:rPr>
              <w:t>Deferred tax liabilities</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22,039</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22,039</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514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 liabilities</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6,205</w:t>
            </w:r>
          </w:p>
        </w:tc>
        <w:tc>
          <w:tcPr>
            <w:tcW w:w="2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1,199,677</w:t>
            </w:r>
          </w:p>
        </w:tc>
        <w:tc>
          <w:tcPr>
            <w:tcW w:w="2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(169,259)</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1,036,623</w:t>
            </w:r>
          </w:p>
        </w:tc>
        <w:tc>
          <w:tcPr>
            <w:tcW w:w="12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514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Total stockholders' equity</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309,828</w:t>
            </w:r>
          </w:p>
        </w:tc>
        <w:tc>
          <w:tcPr>
            <w:tcW w:w="26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146,774</w:t>
            </w:r>
          </w:p>
        </w:tc>
        <w:tc>
          <w:tcPr>
            <w:tcW w:w="26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(146,774)</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309,828</w:t>
            </w:r>
          </w:p>
        </w:tc>
        <w:tc>
          <w:tcPr>
            <w:tcW w:w="12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514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 liabilities and stockholders' equity</w:t>
            </w:r>
          </w:p>
        </w:tc>
        <w:tc>
          <w:tcPr>
            <w:tcW w:w="1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316,033</w:t>
            </w:r>
          </w:p>
        </w:tc>
        <w:tc>
          <w:tcPr>
            <w:tcW w:w="2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1,346,451</w:t>
            </w:r>
          </w:p>
        </w:tc>
        <w:tc>
          <w:tcPr>
            <w:tcW w:w="26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(316,033)</w:t>
            </w:r>
          </w:p>
        </w:tc>
        <w:tc>
          <w:tcPr>
            <w:tcW w:w="16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1,346,451</w:t>
            </w:r>
          </w:p>
        </w:tc>
        <w:tc>
          <w:tcPr>
            <w:tcW w:w="120" w:type="dxa"/>
            <w:vAlign w:val="bottom"/>
            <w:tcBorders>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0"/>
        </w:trPr>
        <w:tc>
          <w:tcPr>
            <w:tcW w:w="100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656"/>
        </w:trPr>
        <w:tc>
          <w:tcPr>
            <w:tcW w:w="100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jc w:val="right"/>
              <w:ind w:right="712"/>
              <w:spacing w:after="0"/>
              <w:rPr>
                <w:sz w:val="20"/>
                <w:szCs w:val="20"/>
                <w:color w:val="auto"/>
              </w:rPr>
            </w:pPr>
            <w:r>
              <w:rPr>
                <w:rFonts w:ascii="Arial" w:cs="Arial" w:eastAsia="Arial" w:hAnsi="Arial"/>
                <w:sz w:val="18"/>
                <w:szCs w:val="18"/>
                <w:color w:val="auto"/>
              </w:rPr>
              <w:t>26</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1000" w:type="dxa"/>
            <w:vAlign w:val="bottom"/>
            <w:tcBorders>
              <w:bottom w:val="single" w:sz="8" w:color="9A9A9A"/>
            </w:tcBorders>
          </w:tcPr>
          <w:p>
            <w:pPr>
              <w:spacing w:after="0"/>
              <w:rPr>
                <w:sz w:val="10"/>
                <w:szCs w:val="10"/>
                <w:color w:val="auto"/>
              </w:rPr>
            </w:pPr>
          </w:p>
        </w:tc>
        <w:tc>
          <w:tcPr>
            <w:tcW w:w="41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30" w:right="219" w:bottom="1440" w:gutter="0" w:footer="0" w:header="0"/>
        </w:sectPr>
      </w:pPr>
    </w:p>
    <w:bookmarkStart w:id="26" w:name="page27"/>
    <w:bookmarkEnd w:id="2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Verra Mobility Corporation and Subsidiaries</w:t>
      </w:r>
    </w:p>
    <w:p>
      <w:pPr>
        <w:spacing w:after="0" w:line="1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Consolidated Statements of Operations and Comprehensive Income (Loss)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Three Months Ended June 30, 2019</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(Unaudited)</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0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VM</w:t>
            </w: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100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9"/>
              </w:rPr>
              <w:t>Verra Mobility</w:t>
            </w:r>
          </w:p>
        </w:tc>
        <w:tc>
          <w:tcPr>
            <w:tcW w:w="100" w:type="dxa"/>
            <w:vAlign w:val="bottom"/>
          </w:tcPr>
          <w:p>
            <w:pPr>
              <w:spacing w:after="0"/>
              <w:rPr>
                <w:sz w:val="14"/>
                <w:szCs w:val="14"/>
                <w:color w:val="auto"/>
              </w:rPr>
            </w:pPr>
          </w:p>
        </w:tc>
        <w:tc>
          <w:tcPr>
            <w:tcW w:w="14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2"/>
              </w:rPr>
              <w:t>Consolidated Inc.</w:t>
            </w: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100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Corporation</w:t>
            </w:r>
          </w:p>
        </w:tc>
        <w:tc>
          <w:tcPr>
            <w:tcW w:w="100" w:type="dxa"/>
            <w:vAlign w:val="bottom"/>
          </w:tcPr>
          <w:p>
            <w:pPr>
              <w:spacing w:after="0"/>
              <w:rPr>
                <w:sz w:val="14"/>
                <w:szCs w:val="14"/>
                <w:color w:val="auto"/>
              </w:rPr>
            </w:pPr>
          </w:p>
        </w:tc>
        <w:tc>
          <w:tcPr>
            <w:tcW w:w="14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9"/>
              </w:rPr>
              <w:t>(Guarantor</w:t>
            </w: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8"/>
        </w:trPr>
        <w:tc>
          <w:tcPr>
            <w:tcW w:w="1000" w:type="dxa"/>
            <w:vAlign w:val="bottom"/>
            <w:tcBorders>
              <w:bottom w:val="single" w:sz="8" w:color="auto"/>
            </w:tcBorders>
          </w:tcPr>
          <w:p>
            <w:pPr>
              <w:spacing w:after="0" w:line="158" w:lineRule="exact"/>
              <w:rPr>
                <w:sz w:val="20"/>
                <w:szCs w:val="20"/>
                <w:color w:val="auto"/>
              </w:rPr>
            </w:pPr>
            <w:r>
              <w:rPr>
                <w:rFonts w:ascii="Arial" w:cs="Arial" w:eastAsia="Arial" w:hAnsi="Arial"/>
                <w:sz w:val="14"/>
                <w:szCs w:val="14"/>
                <w:b w:val="1"/>
                <w:bCs w:val="1"/>
                <w:u w:val="single" w:color="auto"/>
                <w:color w:val="auto"/>
                <w:w w:val="90"/>
              </w:rPr>
              <w:t>(</w:t>
            </w:r>
            <w:r>
              <w:rPr>
                <w:rFonts w:ascii="Arial" w:cs="Arial" w:eastAsia="Arial" w:hAnsi="Arial"/>
                <w:sz w:val="14"/>
                <w:szCs w:val="14"/>
                <w:b w:val="1"/>
                <w:bCs w:val="1"/>
                <w:color w:val="auto"/>
                <w:w w:val="90"/>
              </w:rPr>
              <w:t>$ in thousands)</w:t>
            </w:r>
          </w:p>
        </w:tc>
        <w:tc>
          <w:tcPr>
            <w:tcW w:w="4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gridSpan w:val="2"/>
          </w:tcPr>
          <w:p>
            <w:pPr>
              <w:jc w:val="center"/>
              <w:ind w:right="380"/>
              <w:spacing w:after="0" w:line="158" w:lineRule="exact"/>
              <w:rPr>
                <w:sz w:val="20"/>
                <w:szCs w:val="20"/>
                <w:color w:val="auto"/>
              </w:rPr>
            </w:pPr>
            <w:r>
              <w:rPr>
                <w:rFonts w:ascii="Arial" w:cs="Arial" w:eastAsia="Arial" w:hAnsi="Arial"/>
                <w:sz w:val="14"/>
                <w:szCs w:val="14"/>
                <w:b w:val="1"/>
                <w:bCs w:val="1"/>
                <w:color w:val="auto"/>
                <w:w w:val="96"/>
              </w:rPr>
              <w:t>(Ultimate Parent)</w:t>
            </w:r>
          </w:p>
        </w:tc>
        <w:tc>
          <w:tcPr>
            <w:tcW w:w="100" w:type="dxa"/>
            <w:vAlign w:val="bottom"/>
          </w:tcPr>
          <w:p>
            <w:pPr>
              <w:spacing w:after="0"/>
              <w:rPr>
                <w:sz w:val="15"/>
                <w:szCs w:val="15"/>
                <w:color w:val="auto"/>
              </w:rPr>
            </w:pPr>
          </w:p>
        </w:tc>
        <w:tc>
          <w:tcPr>
            <w:tcW w:w="1460" w:type="dxa"/>
            <w:vAlign w:val="bottom"/>
            <w:gridSpan w:val="2"/>
          </w:tcPr>
          <w:p>
            <w:pPr>
              <w:jc w:val="center"/>
              <w:ind w:right="380"/>
              <w:spacing w:after="0" w:line="158" w:lineRule="exact"/>
              <w:rPr>
                <w:sz w:val="20"/>
                <w:szCs w:val="20"/>
                <w:color w:val="auto"/>
              </w:rPr>
            </w:pPr>
            <w:r>
              <w:rPr>
                <w:rFonts w:ascii="Arial" w:cs="Arial" w:eastAsia="Arial" w:hAnsi="Arial"/>
                <w:sz w:val="14"/>
                <w:szCs w:val="14"/>
                <w:b w:val="1"/>
                <w:bCs w:val="1"/>
                <w:color w:val="auto"/>
                <w:w w:val="94"/>
              </w:rPr>
              <w:t>Subsidiary)</w:t>
            </w:r>
          </w:p>
        </w:tc>
        <w:tc>
          <w:tcPr>
            <w:tcW w:w="180" w:type="dxa"/>
            <w:vAlign w:val="bottom"/>
          </w:tcPr>
          <w:p>
            <w:pPr>
              <w:spacing w:after="0"/>
              <w:rPr>
                <w:sz w:val="15"/>
                <w:szCs w:val="15"/>
                <w:color w:val="auto"/>
              </w:rPr>
            </w:pPr>
          </w:p>
        </w:tc>
        <w:tc>
          <w:tcPr>
            <w:tcW w:w="1300" w:type="dxa"/>
            <w:vAlign w:val="bottom"/>
            <w:gridSpan w:val="2"/>
          </w:tcPr>
          <w:p>
            <w:pPr>
              <w:ind w:left="80"/>
              <w:spacing w:after="0" w:line="158" w:lineRule="exact"/>
              <w:rPr>
                <w:sz w:val="20"/>
                <w:szCs w:val="20"/>
                <w:color w:val="auto"/>
              </w:rPr>
            </w:pPr>
            <w:r>
              <w:rPr>
                <w:rFonts w:ascii="Arial" w:cs="Arial" w:eastAsia="Arial" w:hAnsi="Arial"/>
                <w:sz w:val="14"/>
                <w:szCs w:val="14"/>
                <w:b w:val="1"/>
                <w:bCs w:val="1"/>
                <w:color w:val="auto"/>
              </w:rPr>
              <w:t>Eliminations</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gridSpan w:val="2"/>
          </w:tcPr>
          <w:p>
            <w:pPr>
              <w:jc w:val="right"/>
              <w:ind w:right="380"/>
              <w:spacing w:after="0" w:line="158" w:lineRule="exact"/>
              <w:rPr>
                <w:sz w:val="20"/>
                <w:szCs w:val="20"/>
                <w:color w:val="auto"/>
              </w:rPr>
            </w:pPr>
            <w:r>
              <w:rPr>
                <w:rFonts w:ascii="Arial" w:cs="Arial" w:eastAsia="Arial" w:hAnsi="Arial"/>
                <w:sz w:val="14"/>
                <w:szCs w:val="14"/>
                <w:b w:val="1"/>
                <w:bCs w:val="1"/>
                <w:color w:val="auto"/>
                <w:w w:val="96"/>
              </w:rPr>
              <w:t>Consolidated</w:t>
            </w:r>
          </w:p>
        </w:tc>
        <w:tc>
          <w:tcPr>
            <w:tcW w:w="20" w:type="dxa"/>
            <w:vAlign w:val="bottom"/>
          </w:tcPr>
          <w:p>
            <w:pPr>
              <w:spacing w:after="0"/>
              <w:rPr>
                <w:sz w:val="15"/>
                <w:szCs w:val="15"/>
                <w:color w:val="auto"/>
              </w:rPr>
            </w:pPr>
          </w:p>
        </w:tc>
      </w:tr>
      <w:tr>
        <w:trPr>
          <w:trHeight w:val="217"/>
        </w:trPr>
        <w:tc>
          <w:tcPr>
            <w:tcW w:w="508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Service revenue</w:t>
            </w:r>
          </w:p>
        </w:tc>
        <w:tc>
          <w:tcPr>
            <w:tcW w:w="2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103,057</w:t>
            </w:r>
          </w:p>
        </w:tc>
        <w:tc>
          <w:tcPr>
            <w:tcW w:w="26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103,057</w:t>
            </w:r>
          </w:p>
        </w:tc>
        <w:tc>
          <w:tcPr>
            <w:tcW w:w="120" w:type="dxa"/>
            <w:vAlign w:val="bottom"/>
            <w:tcBorders>
              <w:top w:val="single" w:sz="8" w:color="CFF0FC"/>
            </w:tcBorders>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5080" w:type="dxa"/>
            <w:vAlign w:val="bottom"/>
            <w:gridSpan w:val="2"/>
          </w:tcPr>
          <w:p>
            <w:pPr>
              <w:spacing w:after="0"/>
              <w:rPr>
                <w:sz w:val="20"/>
                <w:szCs w:val="20"/>
                <w:color w:val="auto"/>
              </w:rPr>
            </w:pPr>
            <w:r>
              <w:rPr>
                <w:rFonts w:ascii="Arial" w:cs="Arial" w:eastAsia="Arial" w:hAnsi="Arial"/>
                <w:sz w:val="18"/>
                <w:szCs w:val="18"/>
                <w:color w:val="auto"/>
              </w:rPr>
              <w:t>Product sales</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6,518</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6,518</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5080" w:type="dxa"/>
            <w:vAlign w:val="bottom"/>
            <w:tcBorders>
              <w:top w:val="single" w:sz="8" w:color="CFF0FC"/>
            </w:tcBorders>
            <w:gridSpan w:val="2"/>
            <w:shd w:val="clear" w:color="auto" w:fill="CFF0FC"/>
          </w:tcPr>
          <w:p>
            <w:pPr>
              <w:ind w:left="140"/>
              <w:spacing w:after="0"/>
              <w:rPr>
                <w:sz w:val="20"/>
                <w:szCs w:val="20"/>
                <w:color w:val="auto"/>
              </w:rPr>
            </w:pPr>
            <w:r>
              <w:rPr>
                <w:rFonts w:ascii="Arial" w:cs="Arial" w:eastAsia="Arial" w:hAnsi="Arial"/>
                <w:sz w:val="18"/>
                <w:szCs w:val="18"/>
                <w:color w:val="auto"/>
              </w:rPr>
              <w:t>Total revenue</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109,575</w:t>
            </w:r>
          </w:p>
        </w:tc>
        <w:tc>
          <w:tcPr>
            <w:tcW w:w="2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109,575</w:t>
            </w:r>
          </w:p>
        </w:tc>
        <w:tc>
          <w:tcPr>
            <w:tcW w:w="12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080" w:type="dxa"/>
            <w:vAlign w:val="bottom"/>
            <w:gridSpan w:val="2"/>
          </w:tcPr>
          <w:p>
            <w:pPr>
              <w:spacing w:after="0"/>
              <w:rPr>
                <w:sz w:val="20"/>
                <w:szCs w:val="20"/>
                <w:color w:val="auto"/>
              </w:rPr>
            </w:pPr>
            <w:r>
              <w:rPr>
                <w:rFonts w:ascii="Arial" w:cs="Arial" w:eastAsia="Arial" w:hAnsi="Arial"/>
                <w:sz w:val="18"/>
                <w:szCs w:val="18"/>
                <w:color w:val="auto"/>
              </w:rPr>
              <w:t>Cost of service revenue</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1,613</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1,613</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0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Cost of product sales</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2,918</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2,918</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08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31,795</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31,795</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0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Selling, general and administrative expenses</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20,865</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20,865</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080" w:type="dxa"/>
            <w:vAlign w:val="bottom"/>
            <w:gridSpan w:val="2"/>
          </w:tcPr>
          <w:p>
            <w:pPr>
              <w:spacing w:after="0"/>
              <w:rPr>
                <w:sz w:val="20"/>
                <w:szCs w:val="20"/>
                <w:color w:val="auto"/>
              </w:rPr>
            </w:pPr>
            <w:r>
              <w:rPr>
                <w:rFonts w:ascii="Arial" w:cs="Arial" w:eastAsia="Arial" w:hAnsi="Arial"/>
                <w:sz w:val="18"/>
                <w:szCs w:val="18"/>
                <w:color w:val="auto"/>
                <w:w w:val="93"/>
              </w:rPr>
              <w:t>Depreciation, amortization and (gain) loss on disposal of assets, net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28,850</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28,850</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0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Impairment of property and equipment</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5,898</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5,898</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5080" w:type="dxa"/>
            <w:vAlign w:val="bottom"/>
            <w:tcBorders>
              <w:bottom w:val="single" w:sz="8" w:color="CFF0FC"/>
            </w:tcBorders>
            <w:gridSpan w:val="2"/>
          </w:tcPr>
          <w:p>
            <w:pPr>
              <w:ind w:left="140"/>
              <w:spacing w:after="0"/>
              <w:rPr>
                <w:sz w:val="20"/>
                <w:szCs w:val="20"/>
                <w:color w:val="auto"/>
              </w:rPr>
            </w:pPr>
            <w:r>
              <w:rPr>
                <w:rFonts w:ascii="Arial" w:cs="Arial" w:eastAsia="Arial" w:hAnsi="Arial"/>
                <w:sz w:val="18"/>
                <w:szCs w:val="18"/>
                <w:color w:val="auto"/>
              </w:rPr>
              <w:t>Total costs and expenses</w:t>
            </w:r>
          </w:p>
        </w:tc>
        <w:tc>
          <w:tcPr>
            <w:tcW w:w="220" w:type="dxa"/>
            <w:vAlign w:val="bottom"/>
            <w:tcBorders>
              <w:bottom w:val="single" w:sz="8" w:color="CFF0FC"/>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91,939</w:t>
            </w:r>
          </w:p>
        </w:tc>
        <w:tc>
          <w:tcPr>
            <w:tcW w:w="26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91,939</w:t>
            </w:r>
          </w:p>
        </w:tc>
        <w:tc>
          <w:tcPr>
            <w:tcW w:w="12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50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Income from operations</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17,636</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17,636</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080" w:type="dxa"/>
            <w:vAlign w:val="bottom"/>
            <w:gridSpan w:val="2"/>
          </w:tcPr>
          <w:p>
            <w:pPr>
              <w:spacing w:after="0"/>
              <w:rPr>
                <w:sz w:val="20"/>
                <w:szCs w:val="20"/>
                <w:color w:val="auto"/>
              </w:rPr>
            </w:pPr>
            <w:r>
              <w:rPr>
                <w:rFonts w:ascii="Arial" w:cs="Arial" w:eastAsia="Arial" w:hAnsi="Arial"/>
                <w:sz w:val="18"/>
                <w:szCs w:val="18"/>
                <w:color w:val="auto"/>
              </w:rPr>
              <w:t>(Income) from equity investment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(3,591)</w:t>
            </w:r>
          </w:p>
        </w:tc>
        <w:tc>
          <w:tcPr>
            <w:tcW w:w="100" w:type="dxa"/>
            <w:vAlign w:val="bottom"/>
          </w:tcPr>
          <w:p>
            <w:pPr>
              <w:spacing w:after="0"/>
              <w:rPr>
                <w:sz w:val="19"/>
                <w:szCs w:val="19"/>
                <w:color w:val="auto"/>
              </w:rPr>
            </w:pPr>
          </w:p>
        </w:tc>
        <w:tc>
          <w:tcPr>
            <w:tcW w:w="14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3,591</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30"/>
        </w:trPr>
        <w:tc>
          <w:tcPr>
            <w:tcW w:w="50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Interest expense, net</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15,656</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15,656</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080" w:type="dxa"/>
            <w:vAlign w:val="bottom"/>
            <w:gridSpan w:val="2"/>
          </w:tcPr>
          <w:p>
            <w:pPr>
              <w:spacing w:after="0"/>
              <w:rPr>
                <w:sz w:val="20"/>
                <w:szCs w:val="20"/>
                <w:color w:val="auto"/>
              </w:rPr>
            </w:pPr>
            <w:r>
              <w:rPr>
                <w:rFonts w:ascii="Arial" w:cs="Arial" w:eastAsia="Arial" w:hAnsi="Arial"/>
                <w:sz w:val="18"/>
                <w:szCs w:val="18"/>
                <w:color w:val="auto"/>
              </w:rPr>
              <w:t>Other income, net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(3,345)</w:t>
            </w:r>
          </w:p>
        </w:tc>
        <w:tc>
          <w:tcPr>
            <w:tcW w:w="18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(3,345)</w:t>
            </w:r>
          </w:p>
        </w:tc>
        <w:tc>
          <w:tcPr>
            <w:tcW w:w="20" w:type="dxa"/>
            <w:vAlign w:val="bottom"/>
          </w:tcPr>
          <w:p>
            <w:pPr>
              <w:spacing w:after="0"/>
              <w:rPr>
                <w:sz w:val="19"/>
                <w:szCs w:val="19"/>
                <w:color w:val="auto"/>
              </w:rPr>
            </w:pPr>
          </w:p>
        </w:tc>
      </w:tr>
      <w:tr>
        <w:trPr>
          <w:trHeight w:val="223"/>
        </w:trPr>
        <w:tc>
          <w:tcPr>
            <w:tcW w:w="5080" w:type="dxa"/>
            <w:vAlign w:val="bottom"/>
            <w:tcBorders>
              <w:top w:val="single" w:sz="8" w:color="CFF0FC"/>
            </w:tcBorders>
            <w:gridSpan w:val="2"/>
            <w:shd w:val="clear" w:color="auto" w:fill="CFF0FC"/>
          </w:tcPr>
          <w:p>
            <w:pPr>
              <w:ind w:left="140"/>
              <w:spacing w:after="0"/>
              <w:rPr>
                <w:sz w:val="20"/>
                <w:szCs w:val="20"/>
                <w:color w:val="auto"/>
              </w:rPr>
            </w:pPr>
            <w:r>
              <w:rPr>
                <w:rFonts w:ascii="Arial" w:cs="Arial" w:eastAsia="Arial" w:hAnsi="Arial"/>
                <w:sz w:val="18"/>
                <w:szCs w:val="18"/>
                <w:color w:val="auto"/>
              </w:rPr>
              <w:t>Total other expense (income)</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(3,591)</w:t>
            </w:r>
          </w:p>
        </w:tc>
        <w:tc>
          <w:tcPr>
            <w:tcW w:w="2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12,311</w:t>
            </w:r>
          </w:p>
        </w:tc>
        <w:tc>
          <w:tcPr>
            <w:tcW w:w="2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3,591</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12,311</w:t>
            </w:r>
          </w:p>
        </w:tc>
        <w:tc>
          <w:tcPr>
            <w:tcW w:w="12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5080" w:type="dxa"/>
            <w:vAlign w:val="bottom"/>
            <w:gridSpan w:val="2"/>
          </w:tcPr>
          <w:p>
            <w:pPr>
              <w:spacing w:after="0"/>
              <w:rPr>
                <w:sz w:val="20"/>
                <w:szCs w:val="20"/>
                <w:color w:val="auto"/>
              </w:rPr>
            </w:pPr>
            <w:r>
              <w:rPr>
                <w:rFonts w:ascii="Arial" w:cs="Arial" w:eastAsia="Arial" w:hAnsi="Arial"/>
                <w:sz w:val="18"/>
                <w:szCs w:val="18"/>
                <w:color w:val="auto"/>
              </w:rPr>
              <w:t>Income before income tax provision</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3,591</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5,325</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(3,591)</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5,325</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0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Income tax provision</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1,734</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1,734</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63"/>
        </w:trPr>
        <w:tc>
          <w:tcPr>
            <w:tcW w:w="5080" w:type="dxa"/>
            <w:vAlign w:val="bottom"/>
            <w:tcBorders>
              <w:bottom w:val="single" w:sz="8" w:color="CFF0FC"/>
            </w:tcBorders>
            <w:gridSpan w:val="2"/>
          </w:tcPr>
          <w:p>
            <w:pPr>
              <w:ind w:left="140"/>
              <w:spacing w:after="0"/>
              <w:rPr>
                <w:sz w:val="20"/>
                <w:szCs w:val="20"/>
                <w:color w:val="auto"/>
              </w:rPr>
            </w:pPr>
            <w:r>
              <w:rPr>
                <w:rFonts w:ascii="Arial" w:cs="Arial" w:eastAsia="Arial" w:hAnsi="Arial"/>
                <w:sz w:val="18"/>
                <w:szCs w:val="18"/>
                <w:color w:val="auto"/>
              </w:rPr>
              <w:t>Net income</w:t>
            </w:r>
          </w:p>
        </w:tc>
        <w:tc>
          <w:tcPr>
            <w:tcW w:w="220" w:type="dxa"/>
            <w:vAlign w:val="bottom"/>
            <w:tcBorders>
              <w:bottom w:val="single" w:sz="8" w:color="CFF0FC"/>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3,591</w:t>
            </w:r>
          </w:p>
        </w:tc>
        <w:tc>
          <w:tcPr>
            <w:tcW w:w="260" w:type="dxa"/>
            <w:vAlign w:val="bottom"/>
            <w:tcBorders>
              <w:bottom w:val="single" w:sz="8" w:color="CFF0FC"/>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3,591</w:t>
            </w:r>
          </w:p>
        </w:tc>
        <w:tc>
          <w:tcPr>
            <w:tcW w:w="260" w:type="dxa"/>
            <w:vAlign w:val="bottom"/>
            <w:tcBorders>
              <w:bottom w:val="single" w:sz="8" w:color="CFF0FC"/>
            </w:tcBorders>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(3,591)</w:t>
            </w:r>
          </w:p>
        </w:tc>
        <w:tc>
          <w:tcPr>
            <w:tcW w:w="16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3,591</w:t>
            </w:r>
          </w:p>
        </w:tc>
        <w:tc>
          <w:tcPr>
            <w:tcW w:w="120" w:type="dxa"/>
            <w:vAlign w:val="bottom"/>
            <w:tcBorders>
              <w:bottom w:val="single" w:sz="8" w:color="CFF0FC"/>
            </w:tcBorders>
          </w:tcPr>
          <w:p>
            <w:pPr>
              <w:spacing w:after="0"/>
              <w:rPr>
                <w:sz w:val="22"/>
                <w:szCs w:val="22"/>
                <w:color w:val="auto"/>
              </w:rPr>
            </w:pPr>
          </w:p>
        </w:tc>
        <w:tc>
          <w:tcPr>
            <w:tcW w:w="20" w:type="dxa"/>
            <w:vAlign w:val="bottom"/>
          </w:tcPr>
          <w:p>
            <w:pPr>
              <w:spacing w:after="0"/>
              <w:rPr>
                <w:sz w:val="22"/>
                <w:szCs w:val="22"/>
                <w:color w:val="auto"/>
              </w:rPr>
            </w:pPr>
          </w:p>
        </w:tc>
      </w:tr>
      <w:tr>
        <w:trPr>
          <w:trHeight w:val="210"/>
        </w:trPr>
        <w:tc>
          <w:tcPr>
            <w:tcW w:w="508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Other comprehensive income (loss):</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5080" w:type="dxa"/>
            <w:vAlign w:val="bottom"/>
            <w:gridSpan w:val="2"/>
          </w:tcPr>
          <w:p>
            <w:pPr>
              <w:spacing w:after="0"/>
              <w:rPr>
                <w:sz w:val="20"/>
                <w:szCs w:val="20"/>
                <w:color w:val="auto"/>
              </w:rPr>
            </w:pPr>
            <w:r>
              <w:rPr>
                <w:rFonts w:ascii="Arial" w:cs="Arial" w:eastAsia="Arial" w:hAnsi="Arial"/>
                <w:sz w:val="18"/>
                <w:szCs w:val="18"/>
                <w:color w:val="auto"/>
              </w:rPr>
              <w:t>Foreign currency translation adjustment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(1,396)</w:t>
            </w:r>
          </w:p>
        </w:tc>
        <w:tc>
          <w:tcPr>
            <w:tcW w:w="18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(1,396)</w:t>
            </w:r>
          </w:p>
        </w:tc>
        <w:tc>
          <w:tcPr>
            <w:tcW w:w="20" w:type="dxa"/>
            <w:vAlign w:val="bottom"/>
          </w:tcPr>
          <w:p>
            <w:pPr>
              <w:spacing w:after="0"/>
              <w:rPr>
                <w:sz w:val="19"/>
                <w:szCs w:val="19"/>
                <w:color w:val="auto"/>
              </w:rPr>
            </w:pPr>
          </w:p>
        </w:tc>
      </w:tr>
      <w:tr>
        <w:trPr>
          <w:trHeight w:val="223"/>
        </w:trPr>
        <w:tc>
          <w:tcPr>
            <w:tcW w:w="5080" w:type="dxa"/>
            <w:vAlign w:val="bottom"/>
            <w:tcBorders>
              <w:top w:val="single" w:sz="8" w:color="CFF0FC"/>
              <w:bottom w:val="single" w:sz="8" w:color="CFF0FC"/>
            </w:tcBorders>
            <w:gridSpan w:val="2"/>
            <w:shd w:val="clear" w:color="auto" w:fill="CFF0FC"/>
          </w:tcPr>
          <w:p>
            <w:pPr>
              <w:ind w:left="140"/>
              <w:spacing w:after="0"/>
              <w:rPr>
                <w:sz w:val="20"/>
                <w:szCs w:val="20"/>
                <w:color w:val="auto"/>
              </w:rPr>
            </w:pPr>
            <w:r>
              <w:rPr>
                <w:rFonts w:ascii="Arial" w:cs="Arial" w:eastAsia="Arial" w:hAnsi="Arial"/>
                <w:sz w:val="18"/>
                <w:szCs w:val="18"/>
                <w:color w:val="auto"/>
              </w:rPr>
              <w:t>Total comprehensive income (loss)</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3,591</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2,195</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(3,591)</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2,195</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0"/>
        </w:trPr>
        <w:tc>
          <w:tcPr>
            <w:tcW w:w="100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656"/>
        </w:trPr>
        <w:tc>
          <w:tcPr>
            <w:tcW w:w="100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jc w:val="right"/>
              <w:ind w:right="712"/>
              <w:spacing w:after="0"/>
              <w:rPr>
                <w:sz w:val="20"/>
                <w:szCs w:val="20"/>
                <w:color w:val="auto"/>
              </w:rPr>
            </w:pPr>
            <w:r>
              <w:rPr>
                <w:rFonts w:ascii="Arial" w:cs="Arial" w:eastAsia="Arial" w:hAnsi="Arial"/>
                <w:sz w:val="18"/>
                <w:szCs w:val="18"/>
                <w:color w:val="auto"/>
              </w:rPr>
              <w:t>27</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1000" w:type="dxa"/>
            <w:vAlign w:val="bottom"/>
            <w:tcBorders>
              <w:bottom w:val="single" w:sz="8" w:color="9A9A9A"/>
            </w:tcBorders>
          </w:tcPr>
          <w:p>
            <w:pPr>
              <w:spacing w:after="0"/>
              <w:rPr>
                <w:sz w:val="10"/>
                <w:szCs w:val="10"/>
                <w:color w:val="auto"/>
              </w:rPr>
            </w:pPr>
          </w:p>
        </w:tc>
        <w:tc>
          <w:tcPr>
            <w:tcW w:w="40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30" w:right="219" w:bottom="1440" w:gutter="0" w:footer="0" w:header="0"/>
        </w:sectPr>
      </w:pPr>
    </w:p>
    <w:bookmarkStart w:id="27" w:name="page28"/>
    <w:bookmarkEnd w:id="2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Verra Mobility Corporation and Subsidiaries</w:t>
      </w:r>
    </w:p>
    <w:p>
      <w:pPr>
        <w:spacing w:after="0" w:line="1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Consolidated Statements of Operations and Comprehensive Income (Loss)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Six Months Ended June 30, 2019</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(Unaudited)</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0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VM</w:t>
            </w: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100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9"/>
              </w:rPr>
              <w:t>Verra Mobility</w:t>
            </w:r>
          </w:p>
        </w:tc>
        <w:tc>
          <w:tcPr>
            <w:tcW w:w="100" w:type="dxa"/>
            <w:vAlign w:val="bottom"/>
          </w:tcPr>
          <w:p>
            <w:pPr>
              <w:spacing w:after="0"/>
              <w:rPr>
                <w:sz w:val="14"/>
                <w:szCs w:val="14"/>
                <w:color w:val="auto"/>
              </w:rPr>
            </w:pPr>
          </w:p>
        </w:tc>
        <w:tc>
          <w:tcPr>
            <w:tcW w:w="14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2"/>
              </w:rPr>
              <w:t>Consolidated Inc.</w:t>
            </w: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100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Corporation</w:t>
            </w:r>
          </w:p>
        </w:tc>
        <w:tc>
          <w:tcPr>
            <w:tcW w:w="100" w:type="dxa"/>
            <w:vAlign w:val="bottom"/>
          </w:tcPr>
          <w:p>
            <w:pPr>
              <w:spacing w:after="0"/>
              <w:rPr>
                <w:sz w:val="14"/>
                <w:szCs w:val="14"/>
                <w:color w:val="auto"/>
              </w:rPr>
            </w:pPr>
          </w:p>
        </w:tc>
        <w:tc>
          <w:tcPr>
            <w:tcW w:w="14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9"/>
              </w:rPr>
              <w:t>(Guarantor</w:t>
            </w: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8"/>
        </w:trPr>
        <w:tc>
          <w:tcPr>
            <w:tcW w:w="1000" w:type="dxa"/>
            <w:vAlign w:val="bottom"/>
            <w:tcBorders>
              <w:bottom w:val="single" w:sz="8" w:color="auto"/>
            </w:tcBorders>
          </w:tcPr>
          <w:p>
            <w:pPr>
              <w:spacing w:after="0" w:line="158" w:lineRule="exact"/>
              <w:rPr>
                <w:sz w:val="20"/>
                <w:szCs w:val="20"/>
                <w:color w:val="auto"/>
              </w:rPr>
            </w:pPr>
            <w:r>
              <w:rPr>
                <w:rFonts w:ascii="Arial" w:cs="Arial" w:eastAsia="Arial" w:hAnsi="Arial"/>
                <w:sz w:val="14"/>
                <w:szCs w:val="14"/>
                <w:b w:val="1"/>
                <w:bCs w:val="1"/>
                <w:u w:val="single" w:color="auto"/>
                <w:color w:val="auto"/>
                <w:w w:val="90"/>
              </w:rPr>
              <w:t>(</w:t>
            </w:r>
            <w:r>
              <w:rPr>
                <w:rFonts w:ascii="Arial" w:cs="Arial" w:eastAsia="Arial" w:hAnsi="Arial"/>
                <w:sz w:val="14"/>
                <w:szCs w:val="14"/>
                <w:b w:val="1"/>
                <w:bCs w:val="1"/>
                <w:color w:val="auto"/>
                <w:w w:val="90"/>
              </w:rPr>
              <w:t>$ in thousands)</w:t>
            </w:r>
          </w:p>
        </w:tc>
        <w:tc>
          <w:tcPr>
            <w:tcW w:w="4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gridSpan w:val="2"/>
          </w:tcPr>
          <w:p>
            <w:pPr>
              <w:jc w:val="center"/>
              <w:ind w:right="380"/>
              <w:spacing w:after="0" w:line="158" w:lineRule="exact"/>
              <w:rPr>
                <w:sz w:val="20"/>
                <w:szCs w:val="20"/>
                <w:color w:val="auto"/>
              </w:rPr>
            </w:pPr>
            <w:r>
              <w:rPr>
                <w:rFonts w:ascii="Arial" w:cs="Arial" w:eastAsia="Arial" w:hAnsi="Arial"/>
                <w:sz w:val="14"/>
                <w:szCs w:val="14"/>
                <w:b w:val="1"/>
                <w:bCs w:val="1"/>
                <w:color w:val="auto"/>
                <w:w w:val="96"/>
              </w:rPr>
              <w:t>(Ultimate Parent)</w:t>
            </w:r>
          </w:p>
        </w:tc>
        <w:tc>
          <w:tcPr>
            <w:tcW w:w="100" w:type="dxa"/>
            <w:vAlign w:val="bottom"/>
          </w:tcPr>
          <w:p>
            <w:pPr>
              <w:spacing w:after="0"/>
              <w:rPr>
                <w:sz w:val="15"/>
                <w:szCs w:val="15"/>
                <w:color w:val="auto"/>
              </w:rPr>
            </w:pPr>
          </w:p>
        </w:tc>
        <w:tc>
          <w:tcPr>
            <w:tcW w:w="1460" w:type="dxa"/>
            <w:vAlign w:val="bottom"/>
            <w:gridSpan w:val="2"/>
          </w:tcPr>
          <w:p>
            <w:pPr>
              <w:jc w:val="center"/>
              <w:ind w:right="380"/>
              <w:spacing w:after="0" w:line="158" w:lineRule="exact"/>
              <w:rPr>
                <w:sz w:val="20"/>
                <w:szCs w:val="20"/>
                <w:color w:val="auto"/>
              </w:rPr>
            </w:pPr>
            <w:r>
              <w:rPr>
                <w:rFonts w:ascii="Arial" w:cs="Arial" w:eastAsia="Arial" w:hAnsi="Arial"/>
                <w:sz w:val="14"/>
                <w:szCs w:val="14"/>
                <w:b w:val="1"/>
                <w:bCs w:val="1"/>
                <w:color w:val="auto"/>
                <w:w w:val="94"/>
              </w:rPr>
              <w:t>Subsidiary)</w:t>
            </w:r>
          </w:p>
        </w:tc>
        <w:tc>
          <w:tcPr>
            <w:tcW w:w="180" w:type="dxa"/>
            <w:vAlign w:val="bottom"/>
          </w:tcPr>
          <w:p>
            <w:pPr>
              <w:spacing w:after="0"/>
              <w:rPr>
                <w:sz w:val="15"/>
                <w:szCs w:val="15"/>
                <w:color w:val="auto"/>
              </w:rPr>
            </w:pPr>
          </w:p>
        </w:tc>
        <w:tc>
          <w:tcPr>
            <w:tcW w:w="1300" w:type="dxa"/>
            <w:vAlign w:val="bottom"/>
            <w:gridSpan w:val="2"/>
          </w:tcPr>
          <w:p>
            <w:pPr>
              <w:ind w:left="80"/>
              <w:spacing w:after="0" w:line="158" w:lineRule="exact"/>
              <w:rPr>
                <w:sz w:val="20"/>
                <w:szCs w:val="20"/>
                <w:color w:val="auto"/>
              </w:rPr>
            </w:pPr>
            <w:r>
              <w:rPr>
                <w:rFonts w:ascii="Arial" w:cs="Arial" w:eastAsia="Arial" w:hAnsi="Arial"/>
                <w:sz w:val="14"/>
                <w:szCs w:val="14"/>
                <w:b w:val="1"/>
                <w:bCs w:val="1"/>
                <w:color w:val="auto"/>
              </w:rPr>
              <w:t>Eliminations</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gridSpan w:val="2"/>
          </w:tcPr>
          <w:p>
            <w:pPr>
              <w:jc w:val="right"/>
              <w:ind w:right="380"/>
              <w:spacing w:after="0" w:line="158" w:lineRule="exact"/>
              <w:rPr>
                <w:sz w:val="20"/>
                <w:szCs w:val="20"/>
                <w:color w:val="auto"/>
              </w:rPr>
            </w:pPr>
            <w:r>
              <w:rPr>
                <w:rFonts w:ascii="Arial" w:cs="Arial" w:eastAsia="Arial" w:hAnsi="Arial"/>
                <w:sz w:val="14"/>
                <w:szCs w:val="14"/>
                <w:b w:val="1"/>
                <w:bCs w:val="1"/>
                <w:color w:val="auto"/>
                <w:w w:val="96"/>
              </w:rPr>
              <w:t>Consolidated</w:t>
            </w:r>
          </w:p>
        </w:tc>
        <w:tc>
          <w:tcPr>
            <w:tcW w:w="20" w:type="dxa"/>
            <w:vAlign w:val="bottom"/>
          </w:tcPr>
          <w:p>
            <w:pPr>
              <w:spacing w:after="0"/>
              <w:rPr>
                <w:sz w:val="15"/>
                <w:szCs w:val="15"/>
                <w:color w:val="auto"/>
              </w:rPr>
            </w:pPr>
          </w:p>
        </w:tc>
      </w:tr>
      <w:tr>
        <w:trPr>
          <w:trHeight w:val="217"/>
        </w:trPr>
        <w:tc>
          <w:tcPr>
            <w:tcW w:w="508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Service revenue</w:t>
            </w:r>
          </w:p>
        </w:tc>
        <w:tc>
          <w:tcPr>
            <w:tcW w:w="2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201,127</w:t>
            </w:r>
          </w:p>
        </w:tc>
        <w:tc>
          <w:tcPr>
            <w:tcW w:w="26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201,127</w:t>
            </w:r>
          </w:p>
        </w:tc>
        <w:tc>
          <w:tcPr>
            <w:tcW w:w="120" w:type="dxa"/>
            <w:vAlign w:val="bottom"/>
            <w:tcBorders>
              <w:top w:val="single" w:sz="8" w:color="CFF0FC"/>
            </w:tcBorders>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5080" w:type="dxa"/>
            <w:vAlign w:val="bottom"/>
            <w:gridSpan w:val="2"/>
          </w:tcPr>
          <w:p>
            <w:pPr>
              <w:spacing w:after="0"/>
              <w:rPr>
                <w:sz w:val="20"/>
                <w:szCs w:val="20"/>
                <w:color w:val="auto"/>
              </w:rPr>
            </w:pPr>
            <w:r>
              <w:rPr>
                <w:rFonts w:ascii="Arial" w:cs="Arial" w:eastAsia="Arial" w:hAnsi="Arial"/>
                <w:sz w:val="18"/>
                <w:szCs w:val="18"/>
                <w:color w:val="auto"/>
              </w:rPr>
              <w:t>Product sales</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6,909</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6,909</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5080" w:type="dxa"/>
            <w:vAlign w:val="bottom"/>
            <w:tcBorders>
              <w:top w:val="single" w:sz="8" w:color="CFF0FC"/>
            </w:tcBorders>
            <w:gridSpan w:val="2"/>
            <w:shd w:val="clear" w:color="auto" w:fill="CFF0FC"/>
          </w:tcPr>
          <w:p>
            <w:pPr>
              <w:ind w:left="140"/>
              <w:spacing w:after="0"/>
              <w:rPr>
                <w:sz w:val="20"/>
                <w:szCs w:val="20"/>
                <w:color w:val="auto"/>
              </w:rPr>
            </w:pPr>
            <w:r>
              <w:rPr>
                <w:rFonts w:ascii="Arial" w:cs="Arial" w:eastAsia="Arial" w:hAnsi="Arial"/>
                <w:sz w:val="18"/>
                <w:szCs w:val="18"/>
                <w:color w:val="auto"/>
              </w:rPr>
              <w:t>Total revenue</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208,036</w:t>
            </w:r>
          </w:p>
        </w:tc>
        <w:tc>
          <w:tcPr>
            <w:tcW w:w="2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208,036</w:t>
            </w:r>
          </w:p>
        </w:tc>
        <w:tc>
          <w:tcPr>
            <w:tcW w:w="12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080" w:type="dxa"/>
            <w:vAlign w:val="bottom"/>
            <w:gridSpan w:val="2"/>
          </w:tcPr>
          <w:p>
            <w:pPr>
              <w:spacing w:after="0"/>
              <w:rPr>
                <w:sz w:val="20"/>
                <w:szCs w:val="20"/>
                <w:color w:val="auto"/>
              </w:rPr>
            </w:pPr>
            <w:r>
              <w:rPr>
                <w:rFonts w:ascii="Arial" w:cs="Arial" w:eastAsia="Arial" w:hAnsi="Arial"/>
                <w:sz w:val="18"/>
                <w:szCs w:val="18"/>
                <w:color w:val="auto"/>
              </w:rPr>
              <w:t>Cost of service revenue</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3,002</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3,002</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0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Cost of product sales</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3,194</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3,194</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08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61,133</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61,133</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0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Selling, general and administrative expenses</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41,416</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41,416</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080" w:type="dxa"/>
            <w:vAlign w:val="bottom"/>
            <w:gridSpan w:val="2"/>
          </w:tcPr>
          <w:p>
            <w:pPr>
              <w:spacing w:after="0"/>
              <w:rPr>
                <w:sz w:val="20"/>
                <w:szCs w:val="20"/>
                <w:color w:val="auto"/>
              </w:rPr>
            </w:pPr>
            <w:r>
              <w:rPr>
                <w:rFonts w:ascii="Arial" w:cs="Arial" w:eastAsia="Arial" w:hAnsi="Arial"/>
                <w:sz w:val="18"/>
                <w:szCs w:val="18"/>
                <w:color w:val="auto"/>
                <w:w w:val="93"/>
              </w:rPr>
              <w:t>Depreciation, amortization and (gain) loss on disposal of assets, net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57,791</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57,791</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0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Impairment of property and equipment</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5,898</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5,898</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5080" w:type="dxa"/>
            <w:vAlign w:val="bottom"/>
            <w:tcBorders>
              <w:bottom w:val="single" w:sz="8" w:color="CFF0FC"/>
            </w:tcBorders>
            <w:gridSpan w:val="2"/>
          </w:tcPr>
          <w:p>
            <w:pPr>
              <w:ind w:left="140"/>
              <w:spacing w:after="0"/>
              <w:rPr>
                <w:sz w:val="20"/>
                <w:szCs w:val="20"/>
                <w:color w:val="auto"/>
              </w:rPr>
            </w:pPr>
            <w:r>
              <w:rPr>
                <w:rFonts w:ascii="Arial" w:cs="Arial" w:eastAsia="Arial" w:hAnsi="Arial"/>
                <w:sz w:val="18"/>
                <w:szCs w:val="18"/>
                <w:color w:val="auto"/>
              </w:rPr>
              <w:t>Total costs and expenses</w:t>
            </w:r>
          </w:p>
        </w:tc>
        <w:tc>
          <w:tcPr>
            <w:tcW w:w="220" w:type="dxa"/>
            <w:vAlign w:val="bottom"/>
            <w:tcBorders>
              <w:bottom w:val="single" w:sz="8" w:color="CFF0FC"/>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172,434</w:t>
            </w:r>
          </w:p>
        </w:tc>
        <w:tc>
          <w:tcPr>
            <w:tcW w:w="26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172,434</w:t>
            </w:r>
          </w:p>
        </w:tc>
        <w:tc>
          <w:tcPr>
            <w:tcW w:w="12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50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Income from operations</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35,602</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35,602</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080" w:type="dxa"/>
            <w:vAlign w:val="bottom"/>
            <w:gridSpan w:val="2"/>
          </w:tcPr>
          <w:p>
            <w:pPr>
              <w:spacing w:after="0"/>
              <w:rPr>
                <w:sz w:val="20"/>
                <w:szCs w:val="20"/>
                <w:color w:val="auto"/>
              </w:rPr>
            </w:pPr>
            <w:r>
              <w:rPr>
                <w:rFonts w:ascii="Arial" w:cs="Arial" w:eastAsia="Arial" w:hAnsi="Arial"/>
                <w:sz w:val="18"/>
                <w:szCs w:val="18"/>
                <w:color w:val="auto"/>
              </w:rPr>
              <w:t>(Income) from equity investment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(6,411)</w:t>
            </w:r>
          </w:p>
        </w:tc>
        <w:tc>
          <w:tcPr>
            <w:tcW w:w="100" w:type="dxa"/>
            <w:vAlign w:val="bottom"/>
          </w:tcPr>
          <w:p>
            <w:pPr>
              <w:spacing w:after="0"/>
              <w:rPr>
                <w:sz w:val="19"/>
                <w:szCs w:val="19"/>
                <w:color w:val="auto"/>
              </w:rPr>
            </w:pPr>
          </w:p>
        </w:tc>
        <w:tc>
          <w:tcPr>
            <w:tcW w:w="14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6,411</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30"/>
        </w:trPr>
        <w:tc>
          <w:tcPr>
            <w:tcW w:w="50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Interest expense, net</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31,689</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31,689</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080" w:type="dxa"/>
            <w:vAlign w:val="bottom"/>
            <w:gridSpan w:val="2"/>
          </w:tcPr>
          <w:p>
            <w:pPr>
              <w:spacing w:after="0"/>
              <w:rPr>
                <w:sz w:val="20"/>
                <w:szCs w:val="20"/>
                <w:color w:val="auto"/>
              </w:rPr>
            </w:pPr>
            <w:r>
              <w:rPr>
                <w:rFonts w:ascii="Arial" w:cs="Arial" w:eastAsia="Arial" w:hAnsi="Arial"/>
                <w:sz w:val="18"/>
                <w:szCs w:val="18"/>
                <w:color w:val="auto"/>
              </w:rPr>
              <w:t>Other income, net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(5,552)</w:t>
            </w:r>
          </w:p>
        </w:tc>
        <w:tc>
          <w:tcPr>
            <w:tcW w:w="18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(5,552)</w:t>
            </w:r>
          </w:p>
        </w:tc>
        <w:tc>
          <w:tcPr>
            <w:tcW w:w="20" w:type="dxa"/>
            <w:vAlign w:val="bottom"/>
          </w:tcPr>
          <w:p>
            <w:pPr>
              <w:spacing w:after="0"/>
              <w:rPr>
                <w:sz w:val="19"/>
                <w:szCs w:val="19"/>
                <w:color w:val="auto"/>
              </w:rPr>
            </w:pPr>
          </w:p>
        </w:tc>
      </w:tr>
      <w:tr>
        <w:trPr>
          <w:trHeight w:val="223"/>
        </w:trPr>
        <w:tc>
          <w:tcPr>
            <w:tcW w:w="5080" w:type="dxa"/>
            <w:vAlign w:val="bottom"/>
            <w:tcBorders>
              <w:top w:val="single" w:sz="8" w:color="CFF0FC"/>
            </w:tcBorders>
            <w:gridSpan w:val="2"/>
            <w:shd w:val="clear" w:color="auto" w:fill="CFF0FC"/>
          </w:tcPr>
          <w:p>
            <w:pPr>
              <w:ind w:left="140"/>
              <w:spacing w:after="0"/>
              <w:rPr>
                <w:sz w:val="20"/>
                <w:szCs w:val="20"/>
                <w:color w:val="auto"/>
              </w:rPr>
            </w:pPr>
            <w:r>
              <w:rPr>
                <w:rFonts w:ascii="Arial" w:cs="Arial" w:eastAsia="Arial" w:hAnsi="Arial"/>
                <w:sz w:val="18"/>
                <w:szCs w:val="18"/>
                <w:color w:val="auto"/>
              </w:rPr>
              <w:t>Total other expense (income)</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(6,411)</w:t>
            </w:r>
          </w:p>
        </w:tc>
        <w:tc>
          <w:tcPr>
            <w:tcW w:w="2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26,137</w:t>
            </w:r>
          </w:p>
        </w:tc>
        <w:tc>
          <w:tcPr>
            <w:tcW w:w="2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6,411</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26,137</w:t>
            </w:r>
          </w:p>
        </w:tc>
        <w:tc>
          <w:tcPr>
            <w:tcW w:w="12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5080" w:type="dxa"/>
            <w:vAlign w:val="bottom"/>
            <w:gridSpan w:val="2"/>
          </w:tcPr>
          <w:p>
            <w:pPr>
              <w:spacing w:after="0"/>
              <w:rPr>
                <w:sz w:val="20"/>
                <w:szCs w:val="20"/>
                <w:color w:val="auto"/>
              </w:rPr>
            </w:pPr>
            <w:r>
              <w:rPr>
                <w:rFonts w:ascii="Arial" w:cs="Arial" w:eastAsia="Arial" w:hAnsi="Arial"/>
                <w:sz w:val="18"/>
                <w:szCs w:val="18"/>
                <w:color w:val="auto"/>
              </w:rPr>
              <w:t>Income before income tax provision</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6,411</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9,465</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(6,411)</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9,465</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0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Income tax provision</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3,054</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3,054</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63"/>
        </w:trPr>
        <w:tc>
          <w:tcPr>
            <w:tcW w:w="5080" w:type="dxa"/>
            <w:vAlign w:val="bottom"/>
            <w:tcBorders>
              <w:bottom w:val="single" w:sz="8" w:color="CFF0FC"/>
            </w:tcBorders>
            <w:gridSpan w:val="2"/>
          </w:tcPr>
          <w:p>
            <w:pPr>
              <w:ind w:left="140"/>
              <w:spacing w:after="0"/>
              <w:rPr>
                <w:sz w:val="20"/>
                <w:szCs w:val="20"/>
                <w:color w:val="auto"/>
              </w:rPr>
            </w:pPr>
            <w:r>
              <w:rPr>
                <w:rFonts w:ascii="Arial" w:cs="Arial" w:eastAsia="Arial" w:hAnsi="Arial"/>
                <w:sz w:val="18"/>
                <w:szCs w:val="18"/>
                <w:color w:val="auto"/>
              </w:rPr>
              <w:t>Net income</w:t>
            </w:r>
          </w:p>
        </w:tc>
        <w:tc>
          <w:tcPr>
            <w:tcW w:w="220" w:type="dxa"/>
            <w:vAlign w:val="bottom"/>
            <w:tcBorders>
              <w:bottom w:val="single" w:sz="8" w:color="CFF0FC"/>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6,411</w:t>
            </w:r>
          </w:p>
        </w:tc>
        <w:tc>
          <w:tcPr>
            <w:tcW w:w="260" w:type="dxa"/>
            <w:vAlign w:val="bottom"/>
            <w:tcBorders>
              <w:bottom w:val="single" w:sz="8" w:color="CFF0FC"/>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6,411</w:t>
            </w:r>
          </w:p>
        </w:tc>
        <w:tc>
          <w:tcPr>
            <w:tcW w:w="260" w:type="dxa"/>
            <w:vAlign w:val="bottom"/>
            <w:tcBorders>
              <w:bottom w:val="single" w:sz="8" w:color="CFF0FC"/>
            </w:tcBorders>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(6,411)</w:t>
            </w:r>
          </w:p>
        </w:tc>
        <w:tc>
          <w:tcPr>
            <w:tcW w:w="16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6,411</w:t>
            </w:r>
          </w:p>
        </w:tc>
        <w:tc>
          <w:tcPr>
            <w:tcW w:w="120" w:type="dxa"/>
            <w:vAlign w:val="bottom"/>
            <w:tcBorders>
              <w:bottom w:val="single" w:sz="8" w:color="CFF0FC"/>
            </w:tcBorders>
          </w:tcPr>
          <w:p>
            <w:pPr>
              <w:spacing w:after="0"/>
              <w:rPr>
                <w:sz w:val="22"/>
                <w:szCs w:val="22"/>
                <w:color w:val="auto"/>
              </w:rPr>
            </w:pPr>
          </w:p>
        </w:tc>
        <w:tc>
          <w:tcPr>
            <w:tcW w:w="20" w:type="dxa"/>
            <w:vAlign w:val="bottom"/>
          </w:tcPr>
          <w:p>
            <w:pPr>
              <w:spacing w:after="0"/>
              <w:rPr>
                <w:sz w:val="22"/>
                <w:szCs w:val="22"/>
                <w:color w:val="auto"/>
              </w:rPr>
            </w:pPr>
          </w:p>
        </w:tc>
      </w:tr>
      <w:tr>
        <w:trPr>
          <w:trHeight w:val="210"/>
        </w:trPr>
        <w:tc>
          <w:tcPr>
            <w:tcW w:w="508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Other comprehensive income (loss):</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5080" w:type="dxa"/>
            <w:vAlign w:val="bottom"/>
            <w:gridSpan w:val="2"/>
          </w:tcPr>
          <w:p>
            <w:pPr>
              <w:spacing w:after="0"/>
              <w:rPr>
                <w:sz w:val="20"/>
                <w:szCs w:val="20"/>
                <w:color w:val="auto"/>
              </w:rPr>
            </w:pPr>
            <w:r>
              <w:rPr>
                <w:rFonts w:ascii="Arial" w:cs="Arial" w:eastAsia="Arial" w:hAnsi="Arial"/>
                <w:sz w:val="18"/>
                <w:szCs w:val="18"/>
                <w:color w:val="auto"/>
              </w:rPr>
              <w:t>Foreign currency translation adjustment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(72)</w:t>
            </w:r>
          </w:p>
        </w:tc>
        <w:tc>
          <w:tcPr>
            <w:tcW w:w="18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(72)</w:t>
            </w:r>
          </w:p>
        </w:tc>
        <w:tc>
          <w:tcPr>
            <w:tcW w:w="20" w:type="dxa"/>
            <w:vAlign w:val="bottom"/>
          </w:tcPr>
          <w:p>
            <w:pPr>
              <w:spacing w:after="0"/>
              <w:rPr>
                <w:sz w:val="19"/>
                <w:szCs w:val="19"/>
                <w:color w:val="auto"/>
              </w:rPr>
            </w:pPr>
          </w:p>
        </w:tc>
      </w:tr>
      <w:tr>
        <w:trPr>
          <w:trHeight w:val="223"/>
        </w:trPr>
        <w:tc>
          <w:tcPr>
            <w:tcW w:w="5080" w:type="dxa"/>
            <w:vAlign w:val="bottom"/>
            <w:tcBorders>
              <w:top w:val="single" w:sz="8" w:color="CFF0FC"/>
              <w:bottom w:val="single" w:sz="8" w:color="CFF0FC"/>
            </w:tcBorders>
            <w:gridSpan w:val="2"/>
            <w:shd w:val="clear" w:color="auto" w:fill="CFF0FC"/>
          </w:tcPr>
          <w:p>
            <w:pPr>
              <w:ind w:left="140"/>
              <w:spacing w:after="0"/>
              <w:rPr>
                <w:sz w:val="20"/>
                <w:szCs w:val="20"/>
                <w:color w:val="auto"/>
              </w:rPr>
            </w:pPr>
            <w:r>
              <w:rPr>
                <w:rFonts w:ascii="Arial" w:cs="Arial" w:eastAsia="Arial" w:hAnsi="Arial"/>
                <w:sz w:val="18"/>
                <w:szCs w:val="18"/>
                <w:color w:val="auto"/>
              </w:rPr>
              <w:t>Total comprehensive income (loss)</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6,411</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6,339</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(6,411)</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6,339</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0"/>
        </w:trPr>
        <w:tc>
          <w:tcPr>
            <w:tcW w:w="100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3"/>
        </w:trPr>
        <w:tc>
          <w:tcPr>
            <w:tcW w:w="100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jc w:val="right"/>
              <w:ind w:right="712"/>
              <w:spacing w:after="0"/>
              <w:rPr>
                <w:sz w:val="20"/>
                <w:szCs w:val="20"/>
                <w:color w:val="auto"/>
              </w:rPr>
            </w:pPr>
            <w:r>
              <w:rPr>
                <w:rFonts w:ascii="Arial" w:cs="Arial" w:eastAsia="Arial" w:hAnsi="Arial"/>
                <w:sz w:val="18"/>
                <w:szCs w:val="18"/>
                <w:color w:val="auto"/>
              </w:rPr>
              <w:t>28</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1000" w:type="dxa"/>
            <w:vAlign w:val="bottom"/>
            <w:tcBorders>
              <w:bottom w:val="single" w:sz="8" w:color="9A9A9A"/>
            </w:tcBorders>
          </w:tcPr>
          <w:p>
            <w:pPr>
              <w:spacing w:after="0"/>
              <w:rPr>
                <w:sz w:val="10"/>
                <w:szCs w:val="10"/>
                <w:color w:val="auto"/>
              </w:rPr>
            </w:pPr>
          </w:p>
        </w:tc>
        <w:tc>
          <w:tcPr>
            <w:tcW w:w="40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30" w:right="219" w:bottom="1440" w:gutter="0" w:footer="0" w:header="0"/>
        </w:sectPr>
      </w:pPr>
    </w:p>
    <w:bookmarkStart w:id="28" w:name="page29"/>
    <w:bookmarkEnd w:id="2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Verra Mobility Corporation and Subsidiaries</w:t>
      </w:r>
    </w:p>
    <w:p>
      <w:pPr>
        <w:spacing w:after="0" w:line="1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Six Months Ended June 30, 2019</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(Unaudited)</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0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VM</w:t>
            </w: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100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9"/>
              </w:rPr>
              <w:t>Verra Mobility</w:t>
            </w:r>
          </w:p>
        </w:tc>
        <w:tc>
          <w:tcPr>
            <w:tcW w:w="100" w:type="dxa"/>
            <w:vAlign w:val="bottom"/>
          </w:tcPr>
          <w:p>
            <w:pPr>
              <w:spacing w:after="0"/>
              <w:rPr>
                <w:sz w:val="14"/>
                <w:szCs w:val="14"/>
                <w:color w:val="auto"/>
              </w:rPr>
            </w:pPr>
          </w:p>
        </w:tc>
        <w:tc>
          <w:tcPr>
            <w:tcW w:w="14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2"/>
              </w:rPr>
              <w:t>Consolidated Inc.</w:t>
            </w: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100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Corporation</w:t>
            </w:r>
          </w:p>
        </w:tc>
        <w:tc>
          <w:tcPr>
            <w:tcW w:w="100" w:type="dxa"/>
            <w:vAlign w:val="bottom"/>
          </w:tcPr>
          <w:p>
            <w:pPr>
              <w:spacing w:after="0"/>
              <w:rPr>
                <w:sz w:val="14"/>
                <w:szCs w:val="14"/>
                <w:color w:val="auto"/>
              </w:rPr>
            </w:pPr>
          </w:p>
        </w:tc>
        <w:tc>
          <w:tcPr>
            <w:tcW w:w="14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9"/>
              </w:rPr>
              <w:t>(Guarantor</w:t>
            </w: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8"/>
        </w:trPr>
        <w:tc>
          <w:tcPr>
            <w:tcW w:w="1000" w:type="dxa"/>
            <w:vAlign w:val="bottom"/>
            <w:tcBorders>
              <w:bottom w:val="single" w:sz="8" w:color="auto"/>
            </w:tcBorders>
          </w:tcPr>
          <w:p>
            <w:pPr>
              <w:spacing w:after="0" w:line="158" w:lineRule="exact"/>
              <w:rPr>
                <w:sz w:val="20"/>
                <w:szCs w:val="20"/>
                <w:color w:val="auto"/>
              </w:rPr>
            </w:pPr>
            <w:r>
              <w:rPr>
                <w:rFonts w:ascii="Arial" w:cs="Arial" w:eastAsia="Arial" w:hAnsi="Arial"/>
                <w:sz w:val="14"/>
                <w:szCs w:val="14"/>
                <w:b w:val="1"/>
                <w:bCs w:val="1"/>
                <w:u w:val="single" w:color="auto"/>
                <w:color w:val="auto"/>
                <w:w w:val="90"/>
              </w:rPr>
              <w:t>(</w:t>
            </w:r>
            <w:r>
              <w:rPr>
                <w:rFonts w:ascii="Arial" w:cs="Arial" w:eastAsia="Arial" w:hAnsi="Arial"/>
                <w:sz w:val="14"/>
                <w:szCs w:val="14"/>
                <w:b w:val="1"/>
                <w:bCs w:val="1"/>
                <w:color w:val="auto"/>
                <w:w w:val="90"/>
              </w:rPr>
              <w:t>$ in thousands)</w:t>
            </w:r>
          </w:p>
        </w:tc>
        <w:tc>
          <w:tcPr>
            <w:tcW w:w="4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gridSpan w:val="2"/>
          </w:tcPr>
          <w:p>
            <w:pPr>
              <w:jc w:val="center"/>
              <w:ind w:right="380"/>
              <w:spacing w:after="0" w:line="158" w:lineRule="exact"/>
              <w:rPr>
                <w:sz w:val="20"/>
                <w:szCs w:val="20"/>
                <w:color w:val="auto"/>
              </w:rPr>
            </w:pPr>
            <w:r>
              <w:rPr>
                <w:rFonts w:ascii="Arial" w:cs="Arial" w:eastAsia="Arial" w:hAnsi="Arial"/>
                <w:sz w:val="14"/>
                <w:szCs w:val="14"/>
                <w:b w:val="1"/>
                <w:bCs w:val="1"/>
                <w:color w:val="auto"/>
                <w:w w:val="96"/>
              </w:rPr>
              <w:t>(Ultimate Parent)</w:t>
            </w:r>
          </w:p>
        </w:tc>
        <w:tc>
          <w:tcPr>
            <w:tcW w:w="100" w:type="dxa"/>
            <w:vAlign w:val="bottom"/>
          </w:tcPr>
          <w:p>
            <w:pPr>
              <w:spacing w:after="0"/>
              <w:rPr>
                <w:sz w:val="15"/>
                <w:szCs w:val="15"/>
                <w:color w:val="auto"/>
              </w:rPr>
            </w:pPr>
          </w:p>
        </w:tc>
        <w:tc>
          <w:tcPr>
            <w:tcW w:w="1460" w:type="dxa"/>
            <w:vAlign w:val="bottom"/>
            <w:gridSpan w:val="2"/>
          </w:tcPr>
          <w:p>
            <w:pPr>
              <w:jc w:val="center"/>
              <w:ind w:right="380"/>
              <w:spacing w:after="0" w:line="158" w:lineRule="exact"/>
              <w:rPr>
                <w:sz w:val="20"/>
                <w:szCs w:val="20"/>
                <w:color w:val="auto"/>
              </w:rPr>
            </w:pPr>
            <w:r>
              <w:rPr>
                <w:rFonts w:ascii="Arial" w:cs="Arial" w:eastAsia="Arial" w:hAnsi="Arial"/>
                <w:sz w:val="14"/>
                <w:szCs w:val="14"/>
                <w:b w:val="1"/>
                <w:bCs w:val="1"/>
                <w:color w:val="auto"/>
                <w:w w:val="94"/>
              </w:rPr>
              <w:t>Subsidiary)</w:t>
            </w:r>
          </w:p>
        </w:tc>
        <w:tc>
          <w:tcPr>
            <w:tcW w:w="180" w:type="dxa"/>
            <w:vAlign w:val="bottom"/>
          </w:tcPr>
          <w:p>
            <w:pPr>
              <w:spacing w:after="0"/>
              <w:rPr>
                <w:sz w:val="15"/>
                <w:szCs w:val="15"/>
                <w:color w:val="auto"/>
              </w:rPr>
            </w:pPr>
          </w:p>
        </w:tc>
        <w:tc>
          <w:tcPr>
            <w:tcW w:w="1300" w:type="dxa"/>
            <w:vAlign w:val="bottom"/>
            <w:gridSpan w:val="2"/>
          </w:tcPr>
          <w:p>
            <w:pPr>
              <w:jc w:val="right"/>
              <w:ind w:right="440"/>
              <w:spacing w:after="0" w:line="158" w:lineRule="exact"/>
              <w:rPr>
                <w:sz w:val="20"/>
                <w:szCs w:val="20"/>
                <w:color w:val="auto"/>
              </w:rPr>
            </w:pPr>
            <w:r>
              <w:rPr>
                <w:rFonts w:ascii="Arial" w:cs="Arial" w:eastAsia="Arial" w:hAnsi="Arial"/>
                <w:sz w:val="14"/>
                <w:szCs w:val="14"/>
                <w:b w:val="1"/>
                <w:bCs w:val="1"/>
                <w:color w:val="auto"/>
              </w:rPr>
              <w:t>Eliminations</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gridSpan w:val="2"/>
          </w:tcPr>
          <w:p>
            <w:pPr>
              <w:jc w:val="right"/>
              <w:ind w:right="380"/>
              <w:spacing w:after="0" w:line="158" w:lineRule="exact"/>
              <w:rPr>
                <w:sz w:val="20"/>
                <w:szCs w:val="20"/>
                <w:color w:val="auto"/>
              </w:rPr>
            </w:pPr>
            <w:r>
              <w:rPr>
                <w:rFonts w:ascii="Arial" w:cs="Arial" w:eastAsia="Arial" w:hAnsi="Arial"/>
                <w:sz w:val="14"/>
                <w:szCs w:val="14"/>
                <w:b w:val="1"/>
                <w:bCs w:val="1"/>
                <w:color w:val="auto"/>
                <w:w w:val="96"/>
              </w:rPr>
              <w:t>Consolidated</w:t>
            </w:r>
          </w:p>
        </w:tc>
        <w:tc>
          <w:tcPr>
            <w:tcW w:w="20" w:type="dxa"/>
            <w:vAlign w:val="bottom"/>
          </w:tcPr>
          <w:p>
            <w:pPr>
              <w:spacing w:after="0"/>
              <w:rPr>
                <w:sz w:val="15"/>
                <w:szCs w:val="15"/>
                <w:color w:val="auto"/>
              </w:rPr>
            </w:pPr>
          </w:p>
        </w:tc>
      </w:tr>
      <w:tr>
        <w:trPr>
          <w:trHeight w:val="217"/>
        </w:trPr>
        <w:tc>
          <w:tcPr>
            <w:tcW w:w="522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8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522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6,411</w:t>
            </w:r>
          </w:p>
        </w:tc>
        <w:tc>
          <w:tcPr>
            <w:tcW w:w="2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6,411</w:t>
            </w:r>
          </w:p>
        </w:tc>
        <w:tc>
          <w:tcPr>
            <w:tcW w:w="26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(6,411)</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6,411</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5"/>
        </w:trPr>
        <w:tc>
          <w:tcPr>
            <w:tcW w:w="5220" w:type="dxa"/>
            <w:vAlign w:val="bottom"/>
            <w:gridSpan w:val="2"/>
            <w:shd w:val="clear" w:color="auto" w:fill="CFF0FC"/>
          </w:tcPr>
          <w:p>
            <w:pPr>
              <w:spacing w:after="0"/>
              <w:rPr>
                <w:sz w:val="20"/>
                <w:szCs w:val="20"/>
                <w:color w:val="auto"/>
              </w:rPr>
            </w:pPr>
            <w:r>
              <w:rPr>
                <w:rFonts w:ascii="Arial" w:cs="Arial" w:eastAsia="Arial" w:hAnsi="Arial"/>
                <w:sz w:val="18"/>
                <w:szCs w:val="18"/>
                <w:color w:val="auto"/>
                <w:w w:val="92"/>
              </w:rPr>
              <w:t>Adjustments to reconcile net income to net cash provided by operating</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52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activities:</w:t>
            </w: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r>
      <w:tr>
        <w:trPr>
          <w:trHeight w:val="230"/>
        </w:trPr>
        <w:tc>
          <w:tcPr>
            <w:tcW w:w="5220" w:type="dxa"/>
            <w:vAlign w:val="bottom"/>
            <w:gridSpan w:val="2"/>
          </w:tcPr>
          <w:p>
            <w:pPr>
              <w:ind w:left="260"/>
              <w:spacing w:after="0"/>
              <w:rPr>
                <w:sz w:val="20"/>
                <w:szCs w:val="20"/>
                <w:color w:val="auto"/>
              </w:rPr>
            </w:pPr>
            <w:r>
              <w:rPr>
                <w:rFonts w:ascii="Arial" w:cs="Arial" w:eastAsia="Arial" w:hAnsi="Arial"/>
                <w:sz w:val="18"/>
                <w:szCs w:val="18"/>
                <w:color w:val="auto"/>
              </w:rPr>
              <w:t>Depreciation and amortization</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57,804</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57,804</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22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Amortization of deferred financing costs and discounts</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3,589</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3,589</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220" w:type="dxa"/>
            <w:vAlign w:val="bottom"/>
            <w:gridSpan w:val="2"/>
          </w:tcPr>
          <w:p>
            <w:pPr>
              <w:ind w:left="260"/>
              <w:spacing w:after="0"/>
              <w:rPr>
                <w:sz w:val="20"/>
                <w:szCs w:val="20"/>
                <w:color w:val="auto"/>
              </w:rPr>
            </w:pPr>
            <w:r>
              <w:rPr>
                <w:rFonts w:ascii="Arial" w:cs="Arial" w:eastAsia="Arial" w:hAnsi="Arial"/>
                <w:sz w:val="18"/>
                <w:szCs w:val="18"/>
                <w:color w:val="auto"/>
              </w:rPr>
              <w:t>Impairment of property and equipment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5,898</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5,898</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22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Bad debt expense</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2,736</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2,736</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220" w:type="dxa"/>
            <w:vAlign w:val="bottom"/>
            <w:gridSpan w:val="2"/>
          </w:tcPr>
          <w:p>
            <w:pPr>
              <w:ind w:left="260"/>
              <w:spacing w:after="0"/>
              <w:rPr>
                <w:sz w:val="20"/>
                <w:szCs w:val="20"/>
                <w:color w:val="auto"/>
              </w:rPr>
            </w:pPr>
            <w:r>
              <w:rPr>
                <w:rFonts w:ascii="Arial" w:cs="Arial" w:eastAsia="Arial" w:hAnsi="Arial"/>
                <w:sz w:val="18"/>
                <w:szCs w:val="18"/>
                <w:color w:val="auto"/>
              </w:rPr>
              <w:t>Deferred income taxes</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(11,568)</w:t>
            </w:r>
          </w:p>
        </w:tc>
        <w:tc>
          <w:tcPr>
            <w:tcW w:w="18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(11,568)</w:t>
            </w:r>
          </w:p>
        </w:tc>
        <w:tc>
          <w:tcPr>
            <w:tcW w:w="20" w:type="dxa"/>
            <w:vAlign w:val="bottom"/>
          </w:tcPr>
          <w:p>
            <w:pPr>
              <w:spacing w:after="0"/>
              <w:rPr>
                <w:sz w:val="19"/>
                <w:szCs w:val="19"/>
                <w:color w:val="auto"/>
              </w:rPr>
            </w:pPr>
          </w:p>
        </w:tc>
      </w:tr>
      <w:tr>
        <w:trPr>
          <w:trHeight w:val="230"/>
        </w:trPr>
        <w:tc>
          <w:tcPr>
            <w:tcW w:w="522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Stock-based compensation</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4,955</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4,955</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220" w:type="dxa"/>
            <w:vAlign w:val="bottom"/>
            <w:gridSpan w:val="2"/>
          </w:tcPr>
          <w:p>
            <w:pPr>
              <w:ind w:left="260"/>
              <w:spacing w:after="0"/>
              <w:rPr>
                <w:sz w:val="20"/>
                <w:szCs w:val="20"/>
                <w:color w:val="auto"/>
              </w:rPr>
            </w:pPr>
            <w:r>
              <w:rPr>
                <w:rFonts w:ascii="Arial" w:cs="Arial" w:eastAsia="Arial" w:hAnsi="Arial"/>
                <w:sz w:val="18"/>
                <w:szCs w:val="18"/>
                <w:color w:val="auto"/>
              </w:rPr>
              <w:t>Installation and service parts expense</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643</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643</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22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Accretion expense</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183</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183</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15"/>
        </w:trPr>
        <w:tc>
          <w:tcPr>
            <w:tcW w:w="5220" w:type="dxa"/>
            <w:vAlign w:val="bottom"/>
            <w:gridSpan w:val="2"/>
          </w:tcPr>
          <w:p>
            <w:pPr>
              <w:ind w:left="260"/>
              <w:spacing w:after="0"/>
              <w:rPr>
                <w:sz w:val="20"/>
                <w:szCs w:val="20"/>
                <w:color w:val="auto"/>
              </w:rPr>
            </w:pPr>
            <w:r>
              <w:rPr>
                <w:rFonts w:ascii="Arial" w:cs="Arial" w:eastAsia="Arial" w:hAnsi="Arial"/>
                <w:sz w:val="18"/>
                <w:szCs w:val="18"/>
                <w:color w:val="auto"/>
                <w:w w:val="92"/>
              </w:rPr>
              <w:t>Write-downs of installation and service parts and (gain) on disposal</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5220" w:type="dxa"/>
            <w:vAlign w:val="bottom"/>
            <w:gridSpan w:val="2"/>
          </w:tcPr>
          <w:p>
            <w:pPr>
              <w:ind w:left="260"/>
              <w:spacing w:after="0"/>
              <w:rPr>
                <w:sz w:val="20"/>
                <w:szCs w:val="20"/>
                <w:color w:val="auto"/>
              </w:rPr>
            </w:pPr>
            <w:r>
              <w:rPr>
                <w:rFonts w:ascii="Arial" w:cs="Arial" w:eastAsia="Arial" w:hAnsi="Arial"/>
                <w:sz w:val="18"/>
                <w:szCs w:val="18"/>
                <w:color w:val="auto"/>
              </w:rPr>
              <w:t>of assets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(13)</w:t>
            </w:r>
          </w:p>
        </w:tc>
        <w:tc>
          <w:tcPr>
            <w:tcW w:w="180" w:type="dxa"/>
            <w:vAlign w:val="bottom"/>
          </w:tcPr>
          <w:p>
            <w:pPr>
              <w:spacing w:after="0"/>
              <w:rPr>
                <w:sz w:val="20"/>
                <w:szCs w:val="20"/>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20"/>
                <w:szCs w:val="20"/>
                <w:color w:val="auto"/>
              </w:rPr>
            </w:pPr>
          </w:p>
        </w:tc>
      </w:tr>
      <w:tr>
        <w:trPr>
          <w:trHeight w:val="230"/>
        </w:trPr>
        <w:tc>
          <w:tcPr>
            <w:tcW w:w="522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(Income) loss from equity investment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(6,411)</w:t>
            </w:r>
          </w:p>
        </w:tc>
        <w:tc>
          <w:tcPr>
            <w:tcW w:w="10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6,411</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30"/>
        </w:trPr>
        <w:tc>
          <w:tcPr>
            <w:tcW w:w="5220" w:type="dxa"/>
            <w:vAlign w:val="bottom"/>
            <w:gridSpan w:val="2"/>
          </w:tcPr>
          <w:p>
            <w:pPr>
              <w:spacing w:after="0"/>
              <w:rPr>
                <w:sz w:val="20"/>
                <w:szCs w:val="20"/>
                <w:color w:val="auto"/>
              </w:rPr>
            </w:pPr>
            <w:r>
              <w:rPr>
                <w:rFonts w:ascii="Arial" w:cs="Arial" w:eastAsia="Arial" w:hAnsi="Arial"/>
                <w:sz w:val="18"/>
                <w:szCs w:val="18"/>
                <w:color w:val="auto"/>
              </w:rPr>
              <w:t>Changes in operating assets and liabilities:</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22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Accounts receivable, net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(21,433)</w:t>
            </w:r>
          </w:p>
        </w:tc>
        <w:tc>
          <w:tcPr>
            <w:tcW w:w="18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(21,433)</w:t>
            </w:r>
          </w:p>
        </w:tc>
        <w:tc>
          <w:tcPr>
            <w:tcW w:w="20" w:type="dxa"/>
            <w:vAlign w:val="bottom"/>
          </w:tcPr>
          <w:p>
            <w:pPr>
              <w:spacing w:after="0"/>
              <w:rPr>
                <w:sz w:val="19"/>
                <w:szCs w:val="19"/>
                <w:color w:val="auto"/>
              </w:rPr>
            </w:pPr>
          </w:p>
        </w:tc>
      </w:tr>
      <w:tr>
        <w:trPr>
          <w:trHeight w:val="230"/>
        </w:trPr>
        <w:tc>
          <w:tcPr>
            <w:tcW w:w="5220" w:type="dxa"/>
            <w:vAlign w:val="bottom"/>
            <w:gridSpan w:val="2"/>
          </w:tcPr>
          <w:p>
            <w:pPr>
              <w:ind w:left="260"/>
              <w:spacing w:after="0"/>
              <w:rPr>
                <w:sz w:val="20"/>
                <w:szCs w:val="20"/>
                <w:color w:val="auto"/>
              </w:rPr>
            </w:pPr>
            <w:r>
              <w:rPr>
                <w:rFonts w:ascii="Arial" w:cs="Arial" w:eastAsia="Arial" w:hAnsi="Arial"/>
                <w:sz w:val="18"/>
                <w:szCs w:val="18"/>
                <w:color w:val="auto"/>
              </w:rPr>
              <w:t>Unbilled receivables</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(616)</w:t>
            </w:r>
          </w:p>
        </w:tc>
        <w:tc>
          <w:tcPr>
            <w:tcW w:w="18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(616)</w:t>
            </w:r>
          </w:p>
        </w:tc>
        <w:tc>
          <w:tcPr>
            <w:tcW w:w="20" w:type="dxa"/>
            <w:vAlign w:val="bottom"/>
          </w:tcPr>
          <w:p>
            <w:pPr>
              <w:spacing w:after="0"/>
              <w:rPr>
                <w:sz w:val="19"/>
                <w:szCs w:val="19"/>
                <w:color w:val="auto"/>
              </w:rPr>
            </w:pPr>
          </w:p>
        </w:tc>
      </w:tr>
      <w:tr>
        <w:trPr>
          <w:trHeight w:val="230"/>
        </w:trPr>
        <w:tc>
          <w:tcPr>
            <w:tcW w:w="522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Prepaid expense and other current assets</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(3,848)</w:t>
            </w:r>
          </w:p>
        </w:tc>
        <w:tc>
          <w:tcPr>
            <w:tcW w:w="18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(3,848)</w:t>
            </w:r>
          </w:p>
        </w:tc>
        <w:tc>
          <w:tcPr>
            <w:tcW w:w="20" w:type="dxa"/>
            <w:vAlign w:val="bottom"/>
          </w:tcPr>
          <w:p>
            <w:pPr>
              <w:spacing w:after="0"/>
              <w:rPr>
                <w:sz w:val="19"/>
                <w:szCs w:val="19"/>
                <w:color w:val="auto"/>
              </w:rPr>
            </w:pPr>
          </w:p>
        </w:tc>
      </w:tr>
      <w:tr>
        <w:trPr>
          <w:trHeight w:val="230"/>
        </w:trPr>
        <w:tc>
          <w:tcPr>
            <w:tcW w:w="5220" w:type="dxa"/>
            <w:vAlign w:val="bottom"/>
            <w:gridSpan w:val="2"/>
          </w:tcPr>
          <w:p>
            <w:pPr>
              <w:ind w:left="260"/>
              <w:spacing w:after="0"/>
              <w:rPr>
                <w:sz w:val="20"/>
                <w:szCs w:val="20"/>
                <w:color w:val="auto"/>
              </w:rPr>
            </w:pPr>
            <w:r>
              <w:rPr>
                <w:rFonts w:ascii="Arial" w:cs="Arial" w:eastAsia="Arial" w:hAnsi="Arial"/>
                <w:sz w:val="18"/>
                <w:szCs w:val="18"/>
                <w:color w:val="auto"/>
              </w:rPr>
              <w:t>Other assets</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(351)</w:t>
            </w:r>
          </w:p>
        </w:tc>
        <w:tc>
          <w:tcPr>
            <w:tcW w:w="18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(351)</w:t>
            </w:r>
          </w:p>
        </w:tc>
        <w:tc>
          <w:tcPr>
            <w:tcW w:w="20" w:type="dxa"/>
            <w:vAlign w:val="bottom"/>
          </w:tcPr>
          <w:p>
            <w:pPr>
              <w:spacing w:after="0"/>
              <w:rPr>
                <w:sz w:val="19"/>
                <w:szCs w:val="19"/>
                <w:color w:val="auto"/>
              </w:rPr>
            </w:pPr>
          </w:p>
        </w:tc>
      </w:tr>
      <w:tr>
        <w:trPr>
          <w:trHeight w:val="230"/>
        </w:trPr>
        <w:tc>
          <w:tcPr>
            <w:tcW w:w="522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Accounts payable and accrued liabilities</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5,224</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5,224</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220" w:type="dxa"/>
            <w:vAlign w:val="bottom"/>
            <w:gridSpan w:val="2"/>
          </w:tcPr>
          <w:p>
            <w:pPr>
              <w:ind w:left="260"/>
              <w:spacing w:after="0"/>
              <w:rPr>
                <w:sz w:val="20"/>
                <w:szCs w:val="20"/>
                <w:color w:val="auto"/>
              </w:rPr>
            </w:pPr>
            <w:r>
              <w:rPr>
                <w:rFonts w:ascii="Arial" w:cs="Arial" w:eastAsia="Arial" w:hAnsi="Arial"/>
                <w:sz w:val="18"/>
                <w:szCs w:val="18"/>
                <w:color w:val="auto"/>
              </w:rPr>
              <w:t>Due to affiliates</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30"/>
        </w:trPr>
        <w:tc>
          <w:tcPr>
            <w:tcW w:w="522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Other liabilities</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(3,833)</w:t>
            </w:r>
          </w:p>
        </w:tc>
        <w:tc>
          <w:tcPr>
            <w:tcW w:w="18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(3,833)</w:t>
            </w:r>
          </w:p>
        </w:tc>
        <w:tc>
          <w:tcPr>
            <w:tcW w:w="20" w:type="dxa"/>
            <w:vAlign w:val="bottom"/>
          </w:tcPr>
          <w:p>
            <w:pPr>
              <w:spacing w:after="0"/>
              <w:rPr>
                <w:sz w:val="19"/>
                <w:szCs w:val="19"/>
                <w:color w:val="auto"/>
              </w:rPr>
            </w:pPr>
          </w:p>
        </w:tc>
      </w:tr>
      <w:tr>
        <w:trPr>
          <w:trHeight w:val="223"/>
        </w:trPr>
        <w:tc>
          <w:tcPr>
            <w:tcW w:w="5220" w:type="dxa"/>
            <w:vAlign w:val="bottom"/>
            <w:gridSpan w:val="2"/>
          </w:tcPr>
          <w:p>
            <w:pPr>
              <w:spacing w:after="0"/>
              <w:rPr>
                <w:sz w:val="20"/>
                <w:szCs w:val="20"/>
                <w:color w:val="auto"/>
              </w:rPr>
            </w:pPr>
            <w:r>
              <w:rPr>
                <w:rFonts w:ascii="Arial" w:cs="Arial" w:eastAsia="Arial" w:hAnsi="Arial"/>
                <w:sz w:val="18"/>
                <w:szCs w:val="18"/>
                <w:color w:val="auto"/>
              </w:rPr>
              <w:t>Net cash provided by operating activities</w:t>
            </w: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45,781</w:t>
            </w:r>
          </w:p>
        </w:tc>
        <w:tc>
          <w:tcPr>
            <w:tcW w:w="2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45,781</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22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15"/>
        </w:trPr>
        <w:tc>
          <w:tcPr>
            <w:tcW w:w="5220" w:type="dxa"/>
            <w:vAlign w:val="bottom"/>
            <w:gridSpan w:val="2"/>
          </w:tcPr>
          <w:p>
            <w:pPr>
              <w:ind w:left="260"/>
              <w:spacing w:after="0"/>
              <w:rPr>
                <w:sz w:val="20"/>
                <w:szCs w:val="20"/>
                <w:color w:val="auto"/>
              </w:rPr>
            </w:pPr>
            <w:r>
              <w:rPr>
                <w:rFonts w:ascii="Arial" w:cs="Arial" w:eastAsia="Arial" w:hAnsi="Arial"/>
                <w:sz w:val="18"/>
                <w:szCs w:val="18"/>
                <w:color w:val="auto"/>
              </w:rPr>
              <w:t>Purchases of installation and service parts and property and</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5220" w:type="dxa"/>
            <w:vAlign w:val="bottom"/>
            <w:gridSpan w:val="2"/>
          </w:tcPr>
          <w:p>
            <w:pPr>
              <w:ind w:left="260"/>
              <w:spacing w:after="0"/>
              <w:rPr>
                <w:sz w:val="20"/>
                <w:szCs w:val="20"/>
                <w:color w:val="auto"/>
              </w:rPr>
            </w:pPr>
            <w:r>
              <w:rPr>
                <w:rFonts w:ascii="Arial" w:cs="Arial" w:eastAsia="Arial" w:hAnsi="Arial"/>
                <w:sz w:val="18"/>
                <w:szCs w:val="18"/>
                <w:color w:val="auto"/>
              </w:rPr>
              <w:t>equipment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(14,192)</w:t>
            </w:r>
          </w:p>
        </w:tc>
        <w:tc>
          <w:tcPr>
            <w:tcW w:w="180" w:type="dxa"/>
            <w:vAlign w:val="bottom"/>
          </w:tcPr>
          <w:p>
            <w:pPr>
              <w:spacing w:after="0"/>
              <w:rPr>
                <w:sz w:val="20"/>
                <w:szCs w:val="20"/>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(14,192)</w:t>
            </w:r>
          </w:p>
        </w:tc>
        <w:tc>
          <w:tcPr>
            <w:tcW w:w="20" w:type="dxa"/>
            <w:vAlign w:val="bottom"/>
          </w:tcPr>
          <w:p>
            <w:pPr>
              <w:spacing w:after="0"/>
              <w:rPr>
                <w:sz w:val="20"/>
                <w:szCs w:val="20"/>
                <w:color w:val="auto"/>
              </w:rPr>
            </w:pPr>
          </w:p>
        </w:tc>
      </w:tr>
      <w:tr>
        <w:trPr>
          <w:trHeight w:val="230"/>
        </w:trPr>
        <w:tc>
          <w:tcPr>
            <w:tcW w:w="522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w w:val="96"/>
              </w:rPr>
              <w:t>Cash proceeds from the sale of assets and insurance recoveries</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5220" w:type="dxa"/>
            <w:vAlign w:val="bottom"/>
            <w:gridSpan w:val="2"/>
          </w:tcPr>
          <w:p>
            <w:pPr>
              <w:spacing w:after="0"/>
              <w:rPr>
                <w:sz w:val="20"/>
                <w:szCs w:val="20"/>
                <w:color w:val="auto"/>
              </w:rPr>
            </w:pPr>
            <w:r>
              <w:rPr>
                <w:rFonts w:ascii="Arial" w:cs="Arial" w:eastAsia="Arial" w:hAnsi="Arial"/>
                <w:sz w:val="18"/>
                <w:szCs w:val="18"/>
                <w:color w:val="auto"/>
              </w:rPr>
              <w:t>Net cash used in investing activities</w:t>
            </w: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(14,178)</w:t>
            </w:r>
          </w:p>
        </w:tc>
        <w:tc>
          <w:tcPr>
            <w:tcW w:w="2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(14,178)</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22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220" w:type="dxa"/>
            <w:vAlign w:val="bottom"/>
            <w:gridSpan w:val="2"/>
          </w:tcPr>
          <w:p>
            <w:pPr>
              <w:ind w:left="260"/>
              <w:spacing w:after="0"/>
              <w:rPr>
                <w:sz w:val="20"/>
                <w:szCs w:val="20"/>
                <w:color w:val="auto"/>
              </w:rPr>
            </w:pPr>
            <w:r>
              <w:rPr>
                <w:rFonts w:ascii="Arial" w:cs="Arial" w:eastAsia="Arial" w:hAnsi="Arial"/>
                <w:sz w:val="18"/>
                <w:szCs w:val="18"/>
                <w:color w:val="auto"/>
              </w:rPr>
              <w:t>Repayment of long-term debt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(4,552)</w:t>
            </w:r>
          </w:p>
        </w:tc>
        <w:tc>
          <w:tcPr>
            <w:tcW w:w="18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(4,552)</w:t>
            </w:r>
          </w:p>
        </w:tc>
        <w:tc>
          <w:tcPr>
            <w:tcW w:w="20" w:type="dxa"/>
            <w:vAlign w:val="bottom"/>
          </w:tcPr>
          <w:p>
            <w:pPr>
              <w:spacing w:after="0"/>
              <w:rPr>
                <w:sz w:val="19"/>
                <w:szCs w:val="19"/>
                <w:color w:val="auto"/>
              </w:rPr>
            </w:pPr>
          </w:p>
        </w:tc>
      </w:tr>
      <w:tr>
        <w:trPr>
          <w:trHeight w:val="230"/>
        </w:trPr>
        <w:tc>
          <w:tcPr>
            <w:tcW w:w="522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Payment of debt issuance costs</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(152)</w:t>
            </w:r>
          </w:p>
        </w:tc>
        <w:tc>
          <w:tcPr>
            <w:tcW w:w="18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(152)</w:t>
            </w:r>
          </w:p>
        </w:tc>
        <w:tc>
          <w:tcPr>
            <w:tcW w:w="20" w:type="dxa"/>
            <w:vAlign w:val="bottom"/>
          </w:tcPr>
          <w:p>
            <w:pPr>
              <w:spacing w:after="0"/>
              <w:rPr>
                <w:sz w:val="19"/>
                <w:szCs w:val="19"/>
                <w:color w:val="auto"/>
              </w:rPr>
            </w:pPr>
          </w:p>
        </w:tc>
      </w:tr>
      <w:tr>
        <w:trPr>
          <w:trHeight w:val="223"/>
        </w:trPr>
        <w:tc>
          <w:tcPr>
            <w:tcW w:w="522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Net cash used in financing activities</w:t>
            </w:r>
          </w:p>
        </w:tc>
        <w:tc>
          <w:tcPr>
            <w:tcW w:w="80" w:type="dxa"/>
            <w:vAlign w:val="bottom"/>
            <w:tcBorders>
              <w:bottom w:val="single" w:sz="8" w:color="CFF0FC"/>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(4,704)</w:t>
            </w:r>
          </w:p>
        </w:tc>
        <w:tc>
          <w:tcPr>
            <w:tcW w:w="26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(4,704)</w:t>
            </w:r>
          </w:p>
        </w:tc>
        <w:tc>
          <w:tcPr>
            <w:tcW w:w="12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52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8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26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5220" w:type="dxa"/>
            <w:vAlign w:val="bottom"/>
            <w:gridSpan w:val="2"/>
          </w:tcPr>
          <w:p>
            <w:pPr>
              <w:spacing w:after="0"/>
              <w:rPr>
                <w:sz w:val="20"/>
                <w:szCs w:val="20"/>
                <w:color w:val="auto"/>
              </w:rPr>
            </w:pPr>
            <w:r>
              <w:rPr>
                <w:rFonts w:ascii="Arial" w:cs="Arial" w:eastAsia="Arial" w:hAnsi="Arial"/>
                <w:sz w:val="18"/>
                <w:szCs w:val="18"/>
                <w:color w:val="auto"/>
              </w:rPr>
              <w:t>Net increase in cash, cash equivalents and restricted cash</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26,909</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26,909</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2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Cash, cash equivalents and restricted cash - beginning of period</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67,081</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67,081</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5220" w:type="dxa"/>
            <w:vAlign w:val="bottom"/>
            <w:gridSpan w:val="2"/>
          </w:tcPr>
          <w:p>
            <w:pPr>
              <w:spacing w:after="0"/>
              <w:rPr>
                <w:sz w:val="20"/>
                <w:szCs w:val="20"/>
                <w:color w:val="auto"/>
              </w:rPr>
            </w:pPr>
            <w:r>
              <w:rPr>
                <w:rFonts w:ascii="Arial" w:cs="Arial" w:eastAsia="Arial" w:hAnsi="Arial"/>
                <w:sz w:val="18"/>
                <w:szCs w:val="18"/>
                <w:color w:val="auto"/>
              </w:rPr>
              <w:t>Cash, cash equivalents and restricted cash - end of period</w:t>
            </w: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93,990</w:t>
            </w:r>
          </w:p>
        </w:tc>
        <w:tc>
          <w:tcPr>
            <w:tcW w:w="26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93,990</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0"/>
        </w:trPr>
        <w:tc>
          <w:tcPr>
            <w:tcW w:w="100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656"/>
        </w:trPr>
        <w:tc>
          <w:tcPr>
            <w:tcW w:w="100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jc w:val="right"/>
              <w:ind w:right="712"/>
              <w:spacing w:after="0"/>
              <w:rPr>
                <w:sz w:val="20"/>
                <w:szCs w:val="20"/>
                <w:color w:val="auto"/>
              </w:rPr>
            </w:pPr>
            <w:r>
              <w:rPr>
                <w:rFonts w:ascii="Arial" w:cs="Arial" w:eastAsia="Arial" w:hAnsi="Arial"/>
                <w:sz w:val="18"/>
                <w:szCs w:val="18"/>
                <w:color w:val="auto"/>
              </w:rPr>
              <w:t>29</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1000" w:type="dxa"/>
            <w:vAlign w:val="bottom"/>
            <w:tcBorders>
              <w:bottom w:val="single" w:sz="8" w:color="9A9A9A"/>
            </w:tcBorders>
          </w:tcPr>
          <w:p>
            <w:pPr>
              <w:spacing w:after="0"/>
              <w:rPr>
                <w:sz w:val="10"/>
                <w:szCs w:val="10"/>
                <w:color w:val="auto"/>
              </w:rPr>
            </w:pPr>
          </w:p>
        </w:tc>
        <w:tc>
          <w:tcPr>
            <w:tcW w:w="42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30" w:right="219" w:bottom="1440" w:gutter="0" w:footer="0" w:header="0"/>
        </w:sectPr>
      </w:pPr>
    </w:p>
    <w:bookmarkStart w:id="29" w:name="page30"/>
    <w:bookmarkEnd w:id="2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Verra Mobility Corporation and Subsidiaries</w:t>
      </w:r>
    </w:p>
    <w:p>
      <w:pPr>
        <w:spacing w:after="0" w:line="1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Consolidated Statements of Cash Flows (Continued)</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Six Months Ended June 30, 2019</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(Unaudited)</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VM</w:t>
            </w: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5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9"/>
              </w:rPr>
              <w:t>Verra Mobility</w:t>
            </w:r>
          </w:p>
        </w:tc>
        <w:tc>
          <w:tcPr>
            <w:tcW w:w="100" w:type="dxa"/>
            <w:vAlign w:val="bottom"/>
          </w:tcPr>
          <w:p>
            <w:pPr>
              <w:spacing w:after="0"/>
              <w:rPr>
                <w:sz w:val="14"/>
                <w:szCs w:val="14"/>
                <w:color w:val="auto"/>
              </w:rPr>
            </w:pPr>
          </w:p>
        </w:tc>
        <w:tc>
          <w:tcPr>
            <w:tcW w:w="14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2"/>
              </w:rPr>
              <w:t>Consolidated Inc.</w:t>
            </w: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5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Corporation</w:t>
            </w:r>
          </w:p>
        </w:tc>
        <w:tc>
          <w:tcPr>
            <w:tcW w:w="100" w:type="dxa"/>
            <w:vAlign w:val="bottom"/>
          </w:tcPr>
          <w:p>
            <w:pPr>
              <w:spacing w:after="0"/>
              <w:rPr>
                <w:sz w:val="14"/>
                <w:szCs w:val="14"/>
                <w:color w:val="auto"/>
              </w:rPr>
            </w:pPr>
          </w:p>
        </w:tc>
        <w:tc>
          <w:tcPr>
            <w:tcW w:w="14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9"/>
              </w:rPr>
              <w:t>(Guarantor</w:t>
            </w: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1"/>
        </w:trPr>
        <w:tc>
          <w:tcPr>
            <w:tcW w:w="5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6"/>
              </w:rPr>
              <w:t>(Ultimate Parent)</w:t>
            </w:r>
          </w:p>
        </w:tc>
        <w:tc>
          <w:tcPr>
            <w:tcW w:w="100" w:type="dxa"/>
            <w:vAlign w:val="bottom"/>
          </w:tcPr>
          <w:p>
            <w:pPr>
              <w:spacing w:after="0"/>
              <w:rPr>
                <w:sz w:val="14"/>
                <w:szCs w:val="14"/>
                <w:color w:val="auto"/>
              </w:rPr>
            </w:pPr>
          </w:p>
        </w:tc>
        <w:tc>
          <w:tcPr>
            <w:tcW w:w="14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Subsidiary)</w:t>
            </w:r>
          </w:p>
        </w:tc>
        <w:tc>
          <w:tcPr>
            <w:tcW w:w="180" w:type="dxa"/>
            <w:vAlign w:val="bottom"/>
          </w:tcPr>
          <w:p>
            <w:pPr>
              <w:spacing w:after="0"/>
              <w:rPr>
                <w:sz w:val="14"/>
                <w:szCs w:val="14"/>
                <w:color w:val="auto"/>
              </w:rPr>
            </w:pPr>
          </w:p>
        </w:tc>
        <w:tc>
          <w:tcPr>
            <w:tcW w:w="1140" w:type="dxa"/>
            <w:vAlign w:val="bottom"/>
          </w:tcPr>
          <w:p>
            <w:pPr>
              <w:ind w:left="80"/>
              <w:spacing w:after="0"/>
              <w:rPr>
                <w:sz w:val="20"/>
                <w:szCs w:val="20"/>
                <w:color w:val="auto"/>
              </w:rPr>
            </w:pPr>
            <w:r>
              <w:rPr>
                <w:rFonts w:ascii="Arial" w:cs="Arial" w:eastAsia="Arial" w:hAnsi="Arial"/>
                <w:sz w:val="14"/>
                <w:szCs w:val="14"/>
                <w:b w:val="1"/>
                <w:bCs w:val="1"/>
                <w:color w:val="auto"/>
              </w:rPr>
              <w:t>Eliminations</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4"/>
                <w:szCs w:val="14"/>
                <w:b w:val="1"/>
                <w:bCs w:val="1"/>
                <w:color w:val="auto"/>
              </w:rPr>
              <w:t>Consolidated</w:t>
            </w:r>
          </w:p>
        </w:tc>
        <w:tc>
          <w:tcPr>
            <w:tcW w:w="20" w:type="dxa"/>
            <w:vAlign w:val="bottom"/>
          </w:tcPr>
          <w:p>
            <w:pPr>
              <w:spacing w:after="0"/>
              <w:rPr>
                <w:sz w:val="14"/>
                <w:szCs w:val="14"/>
                <w:color w:val="auto"/>
              </w:rPr>
            </w:pPr>
          </w:p>
        </w:tc>
      </w:tr>
      <w:tr>
        <w:trPr>
          <w:trHeight w:val="223"/>
        </w:trPr>
        <w:tc>
          <w:tcPr>
            <w:tcW w:w="52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Supplemental cash flow information:</w:t>
            </w: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200" w:type="dxa"/>
            <w:vAlign w:val="bottom"/>
          </w:tcPr>
          <w:p>
            <w:pPr>
              <w:ind w:left="260"/>
              <w:spacing w:after="0"/>
              <w:rPr>
                <w:sz w:val="20"/>
                <w:szCs w:val="20"/>
                <w:color w:val="auto"/>
              </w:rPr>
            </w:pPr>
            <w:r>
              <w:rPr>
                <w:rFonts w:ascii="Arial" w:cs="Arial" w:eastAsia="Arial" w:hAnsi="Arial"/>
                <w:sz w:val="18"/>
                <w:szCs w:val="18"/>
                <w:color w:val="auto"/>
              </w:rPr>
              <w:t>Interest paid</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28,144</w:t>
            </w:r>
          </w:p>
        </w:tc>
        <w:tc>
          <w:tcPr>
            <w:tcW w:w="26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ind w:left="940"/>
              <w:spacing w:after="0"/>
              <w:rPr>
                <w:sz w:val="20"/>
                <w:szCs w:val="20"/>
                <w:color w:val="auto"/>
              </w:rPr>
            </w:pPr>
            <w:r>
              <w:rPr>
                <w:rFonts w:ascii="Arial" w:cs="Arial" w:eastAsia="Arial" w:hAnsi="Arial"/>
                <w:sz w:val="18"/>
                <w:szCs w:val="18"/>
                <w:color w:val="auto"/>
                <w:w w:val="99"/>
              </w:rPr>
              <w:t>—</w:t>
            </w:r>
          </w:p>
        </w:tc>
        <w:tc>
          <w:tcPr>
            <w:tcW w:w="4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28,144</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2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Income taxes paid, net</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15,448</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40" w:type="dxa"/>
            <w:vAlign w:val="bottom"/>
            <w:shd w:val="clear" w:color="auto" w:fill="CFF0FC"/>
          </w:tcPr>
          <w:p>
            <w:pPr>
              <w:ind w:left="940"/>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15,448</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200" w:type="dxa"/>
            <w:vAlign w:val="bottom"/>
          </w:tcPr>
          <w:p>
            <w:pPr>
              <w:spacing w:after="0"/>
              <w:rPr>
                <w:sz w:val="20"/>
                <w:szCs w:val="20"/>
                <w:color w:val="auto"/>
              </w:rPr>
            </w:pPr>
            <w:r>
              <w:rPr>
                <w:rFonts w:ascii="Arial" w:cs="Arial" w:eastAsia="Arial" w:hAnsi="Arial"/>
                <w:sz w:val="18"/>
                <w:szCs w:val="18"/>
                <w:color w:val="auto"/>
              </w:rPr>
              <w:t>Supplemental non-cash investing and financing activities:</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2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Reduction to tax receivable agreement liability</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2,940</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140" w:type="dxa"/>
            <w:vAlign w:val="bottom"/>
            <w:shd w:val="clear" w:color="auto" w:fill="CFF0FC"/>
          </w:tcPr>
          <w:p>
            <w:pPr>
              <w:ind w:left="940"/>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2,940</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15"/>
        </w:trPr>
        <w:tc>
          <w:tcPr>
            <w:tcW w:w="5200" w:type="dxa"/>
            <w:vAlign w:val="bottom"/>
          </w:tcPr>
          <w:p>
            <w:pPr>
              <w:ind w:left="260"/>
              <w:spacing w:after="0"/>
              <w:rPr>
                <w:sz w:val="20"/>
                <w:szCs w:val="20"/>
                <w:color w:val="auto"/>
              </w:rPr>
            </w:pPr>
            <w:r>
              <w:rPr>
                <w:rFonts w:ascii="Arial" w:cs="Arial" w:eastAsia="Arial" w:hAnsi="Arial"/>
                <w:sz w:val="18"/>
                <w:szCs w:val="18"/>
                <w:color w:val="auto"/>
              </w:rPr>
              <w:t>Gores equity infusion working capital adjustment payable to</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5200" w:type="dxa"/>
            <w:vAlign w:val="bottom"/>
          </w:tcPr>
          <w:p>
            <w:pPr>
              <w:ind w:left="260"/>
              <w:spacing w:after="0"/>
              <w:rPr>
                <w:sz w:val="20"/>
                <w:szCs w:val="20"/>
                <w:color w:val="auto"/>
              </w:rPr>
            </w:pPr>
            <w:r>
              <w:rPr>
                <w:rFonts w:ascii="Arial" w:cs="Arial" w:eastAsia="Arial" w:hAnsi="Arial"/>
                <w:sz w:val="18"/>
                <w:szCs w:val="18"/>
                <w:color w:val="auto"/>
              </w:rPr>
              <w:t>related party</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6,205</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40" w:type="dxa"/>
            <w:vAlign w:val="bottom"/>
          </w:tcPr>
          <w:p>
            <w:pPr>
              <w:ind w:left="940"/>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6,205</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30"/>
        </w:trPr>
        <w:tc>
          <w:tcPr>
            <w:tcW w:w="52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Earn-out shares issued to Platinum Stockholder</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18,288</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140" w:type="dxa"/>
            <w:vAlign w:val="bottom"/>
            <w:shd w:val="clear" w:color="auto" w:fill="CFF0FC"/>
          </w:tcPr>
          <w:p>
            <w:pPr>
              <w:ind w:left="940"/>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18,288</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200" w:type="dxa"/>
            <w:vAlign w:val="bottom"/>
          </w:tcPr>
          <w:p>
            <w:pPr>
              <w:ind w:left="260"/>
              <w:spacing w:after="0"/>
              <w:rPr>
                <w:sz w:val="20"/>
                <w:szCs w:val="20"/>
                <w:color w:val="auto"/>
              </w:rPr>
            </w:pPr>
            <w:r>
              <w:rPr>
                <w:rFonts w:ascii="Arial" w:cs="Arial" w:eastAsia="Arial" w:hAnsi="Arial"/>
                <w:sz w:val="18"/>
                <w:szCs w:val="18"/>
                <w:color w:val="auto"/>
              </w:rPr>
              <w:t>Additions to ARO, property and equipment, and other</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143</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ind w:left="940"/>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143</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5"/>
        </w:trPr>
        <w:tc>
          <w:tcPr>
            <w:tcW w:w="52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Purchases of installation and service parts and property and</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5200" w:type="dxa"/>
            <w:vAlign w:val="bottom"/>
            <w:shd w:val="clear" w:color="auto" w:fill="CFF0FC"/>
          </w:tcPr>
          <w:p>
            <w:pPr>
              <w:ind w:left="260"/>
              <w:spacing w:after="0"/>
              <w:rPr>
                <w:sz w:val="20"/>
                <w:szCs w:val="20"/>
                <w:color w:val="auto"/>
              </w:rPr>
            </w:pPr>
            <w:r>
              <w:rPr>
                <w:rFonts w:ascii="Arial" w:cs="Arial" w:eastAsia="Arial" w:hAnsi="Arial"/>
                <w:sz w:val="18"/>
                <w:szCs w:val="18"/>
                <w:color w:val="auto"/>
                <w:w w:val="91"/>
              </w:rPr>
              <w:t>equipment in accounts payable and accrued liabilities at period-end</w:t>
            </w:r>
          </w:p>
        </w:tc>
        <w:tc>
          <w:tcPr>
            <w:tcW w:w="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46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4,269</w:t>
            </w:r>
          </w:p>
        </w:tc>
        <w:tc>
          <w:tcPr>
            <w:tcW w:w="2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140" w:type="dxa"/>
            <w:vAlign w:val="bottom"/>
            <w:shd w:val="clear" w:color="auto" w:fill="CFF0FC"/>
          </w:tcPr>
          <w:p>
            <w:pPr>
              <w:ind w:left="940"/>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4,269</w:t>
            </w:r>
          </w:p>
        </w:tc>
        <w:tc>
          <w:tcPr>
            <w:tcW w:w="12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r>
      <w:tr>
        <w:trPr>
          <w:trHeight w:val="918"/>
        </w:trPr>
        <w:tc>
          <w:tcPr>
            <w:tcW w:w="5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jc w:val="right"/>
              <w:ind w:right="715"/>
              <w:spacing w:after="0"/>
              <w:rPr>
                <w:sz w:val="20"/>
                <w:szCs w:val="20"/>
                <w:color w:val="auto"/>
              </w:rPr>
            </w:pPr>
            <w:r>
              <w:rPr>
                <w:rFonts w:ascii="Arial" w:cs="Arial" w:eastAsia="Arial" w:hAnsi="Arial"/>
                <w:sz w:val="18"/>
                <w:szCs w:val="18"/>
                <w:color w:val="auto"/>
              </w:rPr>
              <w:t>30</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52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30" w:right="219" w:bottom="1440" w:gutter="0" w:footer="0" w:header="0"/>
        </w:sectPr>
      </w:pPr>
    </w:p>
    <w:bookmarkStart w:id="30" w:name="page31"/>
    <w:bookmarkEnd w:id="3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76" w:lineRule="exact"/>
        <w:rPr>
          <w:sz w:val="20"/>
          <w:szCs w:val="20"/>
          <w:color w:val="auto"/>
        </w:rPr>
      </w:pPr>
    </w:p>
    <w:p>
      <w:pPr>
        <w:jc w:val="both"/>
        <w:ind w:firstLine="815"/>
        <w:spacing w:after="0" w:line="257"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together with our Annual Report on Form 10-K/A for the year ended December 31, 2018 and our financial statements included in Part I, Item 1, of this Form 10-Q. This discussion contains forward-looking statements based upon current expectations that involve risks and uncertainties. Our actual results may differ materially from those anticipated in these forward-looking statements as a result of various factors, including those set forth in the Annual Report on Form 10-K/A for the year ended December 31, 2018.</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189" w:lineRule="exact"/>
        <w:rPr>
          <w:sz w:val="20"/>
          <w:szCs w:val="20"/>
          <w:color w:val="auto"/>
        </w:rPr>
      </w:pPr>
    </w:p>
    <w:p>
      <w:pPr>
        <w:jc w:val="both"/>
        <w:ind w:firstLine="815"/>
        <w:spacing w:after="0" w:line="255" w:lineRule="auto"/>
        <w:rPr>
          <w:sz w:val="20"/>
          <w:szCs w:val="20"/>
          <w:color w:val="auto"/>
        </w:rPr>
      </w:pPr>
      <w:r>
        <w:rPr>
          <w:rFonts w:ascii="Arial" w:cs="Arial" w:eastAsia="Arial" w:hAnsi="Arial"/>
          <w:sz w:val="18"/>
          <w:szCs w:val="18"/>
          <w:color w:val="auto"/>
        </w:rPr>
        <w:t>We believe we are a leading provider of smart mobility technology solutions and services throughout the United States, Canada and Europe. We provide integrated technology solutions and services, which include toll and violations management, title and registration, automated safety solutions, and other data-driven solutions to our customers, which include rental car companies (“</w:t>
      </w:r>
      <w:r>
        <w:rPr>
          <w:rFonts w:ascii="Arial" w:cs="Arial" w:eastAsia="Arial" w:hAnsi="Arial"/>
          <w:sz w:val="18"/>
          <w:szCs w:val="18"/>
          <w:b w:val="1"/>
          <w:bCs w:val="1"/>
          <w:i w:val="1"/>
          <w:iCs w:val="1"/>
          <w:color w:val="auto"/>
        </w:rPr>
        <w:t>RAC</w:t>
      </w:r>
      <w:r>
        <w:rPr>
          <w:rFonts w:ascii="Arial" w:cs="Arial" w:eastAsia="Arial" w:hAnsi="Arial"/>
          <w:sz w:val="18"/>
          <w:szCs w:val="18"/>
          <w:color w:val="auto"/>
        </w:rPr>
        <w:t>s”), fleet management companies (“</w:t>
      </w:r>
      <w:r>
        <w:rPr>
          <w:rFonts w:ascii="Arial" w:cs="Arial" w:eastAsia="Arial" w:hAnsi="Arial"/>
          <w:sz w:val="18"/>
          <w:szCs w:val="18"/>
          <w:b w:val="1"/>
          <w:bCs w:val="1"/>
          <w:i w:val="1"/>
          <w:iCs w:val="1"/>
          <w:color w:val="auto"/>
        </w:rPr>
        <w:t>FMC</w:t>
      </w:r>
      <w:r>
        <w:rPr>
          <w:rFonts w:ascii="Arial" w:cs="Arial" w:eastAsia="Arial" w:hAnsi="Arial"/>
          <w:sz w:val="18"/>
          <w:szCs w:val="18"/>
          <w:color w:val="auto"/>
        </w:rPr>
        <w:t>s”), other large fleet owners, municipalities, school districts and violation-issuing authorities. Our solutions simplify the smart mobility ecosystem by utilizing what we believe are industry-leading capabilities, information and technology expertise, and integrated hardware and software to efficiently facilitate the automated processing of tolls and violations and safety solutions for hundreds of agencies and millions of end users annually, while also making cities and roadways safer for everyone.</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Information</w:t>
      </w:r>
    </w:p>
    <w:p>
      <w:pPr>
        <w:spacing w:after="0" w:line="202" w:lineRule="exact"/>
        <w:rPr>
          <w:sz w:val="20"/>
          <w:szCs w:val="20"/>
          <w:color w:val="auto"/>
        </w:rPr>
      </w:pPr>
    </w:p>
    <w:p>
      <w:pPr>
        <w:ind w:left="820"/>
        <w:spacing w:after="0"/>
        <w:rPr>
          <w:sz w:val="20"/>
          <w:szCs w:val="20"/>
          <w:color w:val="auto"/>
        </w:rPr>
      </w:pPr>
      <w:r>
        <w:rPr>
          <w:rFonts w:ascii="Arial" w:cs="Arial" w:eastAsia="Arial" w:hAnsi="Arial"/>
          <w:sz w:val="18"/>
          <w:szCs w:val="18"/>
          <w:color w:val="auto"/>
        </w:rPr>
        <w:t>We have two operating and reportable segments, Commercial Services and Government Solutions:</w:t>
      </w:r>
    </w:p>
    <w:p>
      <w:pPr>
        <w:spacing w:after="0" w:line="117" w:lineRule="exact"/>
        <w:rPr>
          <w:sz w:val="20"/>
          <w:szCs w:val="20"/>
          <w:color w:val="auto"/>
        </w:rPr>
      </w:pPr>
    </w:p>
    <w:p>
      <w:pPr>
        <w:jc w:val="both"/>
        <w:ind w:left="1220" w:hanging="402"/>
        <w:spacing w:after="0" w:line="312" w:lineRule="auto"/>
        <w:tabs>
          <w:tab w:leader="none" w:pos="122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Commercial Services division offers toll and violation management solutions for the commercial fleet and rental car industries by partnering with the leading fleet management and rental car companies in North America and Europe. The Commercial Services division also offers title and registration services and processing for individuals, rental car companies and fleet management companies.</w:t>
      </w:r>
    </w:p>
    <w:p>
      <w:pPr>
        <w:spacing w:after="0" w:line="38" w:lineRule="exact"/>
        <w:rPr>
          <w:rFonts w:ascii="Arial" w:cs="Arial" w:eastAsia="Arial" w:hAnsi="Arial"/>
          <w:sz w:val="16"/>
          <w:szCs w:val="16"/>
          <w:color w:val="auto"/>
        </w:rPr>
      </w:pPr>
    </w:p>
    <w:p>
      <w:pPr>
        <w:jc w:val="both"/>
        <w:ind w:left="1220" w:hanging="402"/>
        <w:spacing w:after="0" w:line="342" w:lineRule="auto"/>
        <w:tabs>
          <w:tab w:leader="none" w:pos="122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Government Solutions division provides complete, end-to-end red-light, speed, school bus stop arm and bus lane enforcement solutions. The Company implements and administers traffic safety programs and products for municipalities and local government agencies of all sizes.</w:t>
      </w:r>
    </w:p>
    <w:p>
      <w:pPr>
        <w:spacing w:after="0" w:line="83" w:lineRule="exact"/>
        <w:rPr>
          <w:sz w:val="20"/>
          <w:szCs w:val="20"/>
          <w:color w:val="auto"/>
        </w:rPr>
      </w:pPr>
    </w:p>
    <w:p>
      <w:pPr>
        <w:jc w:val="both"/>
        <w:ind w:firstLine="815"/>
        <w:spacing w:after="0" w:line="264" w:lineRule="auto"/>
        <w:rPr>
          <w:sz w:val="20"/>
          <w:szCs w:val="20"/>
          <w:color w:val="auto"/>
        </w:rPr>
      </w:pPr>
      <w:r>
        <w:rPr>
          <w:rFonts w:ascii="Arial" w:cs="Arial" w:eastAsia="Arial" w:hAnsi="Arial"/>
          <w:sz w:val="18"/>
          <w:szCs w:val="18"/>
          <w:color w:val="auto"/>
        </w:rPr>
        <w:t>Segment performance is based on revenues and income (loss) from operations before depreciation, amortization, gain (loss) on disposal of assets, impairment of property and equipment, stock-based compensation, interest expense, net, loss on extinguishment of debt, income taxes and after other (income), net.</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202" w:lineRule="exact"/>
        <w:rPr>
          <w:sz w:val="20"/>
          <w:szCs w:val="20"/>
          <w:color w:val="auto"/>
        </w:rPr>
      </w:pPr>
    </w:p>
    <w:p>
      <w:pPr>
        <w:jc w:val="both"/>
        <w:ind w:firstLine="815"/>
        <w:spacing w:after="0" w:line="264" w:lineRule="auto"/>
        <w:rPr>
          <w:sz w:val="20"/>
          <w:szCs w:val="20"/>
          <w:color w:val="auto"/>
        </w:rPr>
      </w:pPr>
      <w:r>
        <w:rPr>
          <w:rFonts w:ascii="Arial" w:cs="Arial" w:eastAsia="Arial" w:hAnsi="Arial"/>
          <w:sz w:val="18"/>
          <w:szCs w:val="18"/>
          <w:color w:val="auto"/>
        </w:rPr>
        <w:t>We operate with long-term contracts and a highly recurring service revenue model. We continue to execute on our strategy of growing revenues with existing customers, expanding offerings into adjacent markets through innovation or acquisition and reducing operating costs. During the periods presented, we:</w:t>
      </w:r>
    </w:p>
    <w:p>
      <w:pPr>
        <w:spacing w:after="0" w:line="73" w:lineRule="exact"/>
        <w:rPr>
          <w:sz w:val="20"/>
          <w:szCs w:val="20"/>
          <w:color w:val="auto"/>
        </w:rPr>
      </w:pPr>
    </w:p>
    <w:p>
      <w:pPr>
        <w:jc w:val="both"/>
        <w:ind w:left="1220" w:hanging="402"/>
        <w:spacing w:after="0" w:line="259" w:lineRule="auto"/>
        <w:tabs>
          <w:tab w:leader="none" w:pos="12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Executed on growth strategies by completing strategic acquisitions: we acquired Highway Toll Administration, LLC, and Canada Highway Toll Administration (collectively, “</w:t>
      </w:r>
      <w:r>
        <w:rPr>
          <w:rFonts w:ascii="Arial" w:cs="Arial" w:eastAsia="Arial" w:hAnsi="Arial"/>
          <w:sz w:val="18"/>
          <w:szCs w:val="18"/>
          <w:b w:val="1"/>
          <w:bCs w:val="1"/>
          <w:i w:val="1"/>
          <w:iCs w:val="1"/>
          <w:color w:val="auto"/>
        </w:rPr>
        <w:t>HTA</w:t>
      </w:r>
      <w:r>
        <w:rPr>
          <w:rFonts w:ascii="Arial" w:cs="Arial" w:eastAsia="Arial" w:hAnsi="Arial"/>
          <w:sz w:val="18"/>
          <w:szCs w:val="18"/>
          <w:color w:val="auto"/>
        </w:rPr>
        <w:t>”), a tolling company which strengthens our position in tolling and related services to RAC and FMC customers, in the first quarter of 2018; and we acquired Euro Parking Collection plc (“</w:t>
      </w:r>
      <w:r>
        <w:rPr>
          <w:rFonts w:ascii="Arial" w:cs="Arial" w:eastAsia="Arial" w:hAnsi="Arial"/>
          <w:sz w:val="18"/>
          <w:szCs w:val="18"/>
          <w:b w:val="1"/>
          <w:bCs w:val="1"/>
          <w:i w:val="1"/>
          <w:iCs w:val="1"/>
          <w:color w:val="auto"/>
        </w:rPr>
        <w:t>EPC</w:t>
      </w:r>
      <w:r>
        <w:rPr>
          <w:rFonts w:ascii="Arial" w:cs="Arial" w:eastAsia="Arial" w:hAnsi="Arial"/>
          <w:sz w:val="18"/>
          <w:szCs w:val="18"/>
          <w:color w:val="auto"/>
        </w:rPr>
        <w:t>”) in the second quarter of 2018, providing a platform to expand our RAC and FMC solutions into Europe.</w:t>
      </w:r>
    </w:p>
    <w:p>
      <w:pPr>
        <w:spacing w:after="0" w:line="78" w:lineRule="exact"/>
        <w:rPr>
          <w:rFonts w:ascii="Arial" w:cs="Arial" w:eastAsia="Arial" w:hAnsi="Arial"/>
          <w:sz w:val="18"/>
          <w:szCs w:val="18"/>
          <w:color w:val="auto"/>
        </w:rPr>
      </w:pPr>
    </w:p>
    <w:p>
      <w:pPr>
        <w:jc w:val="both"/>
        <w:ind w:left="1220" w:hanging="402"/>
        <w:spacing w:after="0" w:line="264" w:lineRule="auto"/>
        <w:tabs>
          <w:tab w:leader="none" w:pos="12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Grew service revenue from $166.1 million during the six months ended June 30, 2018 to $201.1 million during the six months ended June 30, 2019. Acquisitions contributed $21.6 million to the revenue growth, while expansion in existing products or customers contributed $13.4 million to the revenue growth.</w:t>
      </w:r>
    </w:p>
    <w:p>
      <w:pPr>
        <w:spacing w:after="0" w:line="73" w:lineRule="exact"/>
        <w:rPr>
          <w:rFonts w:ascii="Arial" w:cs="Arial" w:eastAsia="Arial" w:hAnsi="Arial"/>
          <w:sz w:val="18"/>
          <w:szCs w:val="18"/>
          <w:color w:val="auto"/>
        </w:rPr>
      </w:pPr>
    </w:p>
    <w:p>
      <w:pPr>
        <w:ind w:left="1220" w:hanging="402"/>
        <w:spacing w:after="0" w:line="277" w:lineRule="auto"/>
        <w:tabs>
          <w:tab w:leader="none" w:pos="12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Improved our cost structure, as operating expenses as a percentage of total revenue decreased from 31.3% in the six months ended June 30, 2018 to 29.4% in the six months ended June 30, 2019.</w:t>
      </w:r>
    </w:p>
    <w:p>
      <w:pPr>
        <w:spacing w:after="0" w:line="62" w:lineRule="exact"/>
        <w:rPr>
          <w:rFonts w:ascii="Arial" w:cs="Arial" w:eastAsia="Arial" w:hAnsi="Arial"/>
          <w:sz w:val="18"/>
          <w:szCs w:val="18"/>
          <w:color w:val="auto"/>
        </w:rPr>
      </w:pPr>
    </w:p>
    <w:p>
      <w:pPr>
        <w:jc w:val="both"/>
        <w:ind w:left="1220" w:right="20" w:hanging="402"/>
        <w:spacing w:after="0" w:line="264" w:lineRule="auto"/>
        <w:tabs>
          <w:tab w:leader="none" w:pos="12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Generated cash flows from operating activities of $45.8 million for the six months ended June 30, 2019. Cash flows from operating activities for the six months ended June 30, 2018 were negatively impacted by $18.6 million of expenses associated with the HTA and EPC acquisitions.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31" w:name="page32"/>
    <w:bookmarkEnd w:id="3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Our Operating Results</w:t>
      </w:r>
    </w:p>
    <w:p>
      <w:pPr>
        <w:spacing w:after="0" w:line="202" w:lineRule="exact"/>
        <w:rPr>
          <w:sz w:val="20"/>
          <w:szCs w:val="20"/>
          <w:color w:val="auto"/>
        </w:rPr>
      </w:pPr>
    </w:p>
    <w:p>
      <w:pPr>
        <w:ind w:left="820"/>
        <w:spacing w:after="0"/>
        <w:rPr>
          <w:sz w:val="20"/>
          <w:szCs w:val="20"/>
          <w:color w:val="auto"/>
        </w:rPr>
      </w:pPr>
      <w:r>
        <w:rPr>
          <w:rFonts w:ascii="Arial" w:cs="Arial" w:eastAsia="Arial" w:hAnsi="Arial"/>
          <w:sz w:val="17"/>
          <w:szCs w:val="17"/>
          <w:color w:val="auto"/>
        </w:rPr>
        <w:t>Our operating results and financial performance are influenced by certain unique events during the periods discussed herein, including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following: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w:t>
      </w:r>
    </w:p>
    <w:p>
      <w:pPr>
        <w:spacing w:after="0" w:line="185" w:lineRule="exact"/>
        <w:rPr>
          <w:sz w:val="20"/>
          <w:szCs w:val="20"/>
          <w:color w:val="auto"/>
        </w:rPr>
      </w:pPr>
    </w:p>
    <w:p>
      <w:pPr>
        <w:jc w:val="both"/>
        <w:ind w:firstLine="815"/>
        <w:spacing w:after="0" w:line="259" w:lineRule="auto"/>
        <w:rPr>
          <w:sz w:val="20"/>
          <w:szCs w:val="20"/>
          <w:color w:val="auto"/>
        </w:rPr>
      </w:pPr>
      <w:r>
        <w:rPr>
          <w:rFonts w:ascii="Arial" w:cs="Arial" w:eastAsia="Arial" w:hAnsi="Arial"/>
          <w:sz w:val="18"/>
          <w:szCs w:val="18"/>
          <w:color w:val="auto"/>
        </w:rPr>
        <w:t>We were originally incorporated in Delaware on August 15, 2016 as Gores Holdings II, Inc. (“</w:t>
      </w:r>
      <w:r>
        <w:rPr>
          <w:rFonts w:ascii="Arial" w:cs="Arial" w:eastAsia="Arial" w:hAnsi="Arial"/>
          <w:sz w:val="18"/>
          <w:szCs w:val="18"/>
          <w:b w:val="1"/>
          <w:bCs w:val="1"/>
          <w:i w:val="1"/>
          <w:iCs w:val="1"/>
          <w:color w:val="auto"/>
        </w:rPr>
        <w:t>Gores</w:t>
      </w:r>
      <w:r>
        <w:rPr>
          <w:rFonts w:ascii="Arial" w:cs="Arial" w:eastAsia="Arial" w:hAnsi="Arial"/>
          <w:sz w:val="18"/>
          <w:szCs w:val="18"/>
          <w:color w:val="auto"/>
        </w:rPr>
        <w:t>”), a special purpose acquisition company formed for the purpose of effecting a merger, capital stock exchange, asset acquisition, stock purchase, reorganization, or other similar business combination with one or more target businesses. On January 19, 2017, we consummated our initial public offering, following which our shares began trading on the Nasdaq Capital Market.</w:t>
      </w:r>
    </w:p>
    <w:p>
      <w:pPr>
        <w:spacing w:after="0" w:line="160" w:lineRule="exact"/>
        <w:rPr>
          <w:sz w:val="20"/>
          <w:szCs w:val="20"/>
          <w:color w:val="auto"/>
        </w:rPr>
      </w:pPr>
    </w:p>
    <w:p>
      <w:pPr>
        <w:jc w:val="both"/>
        <w:ind w:firstLine="815"/>
        <w:spacing w:after="0" w:line="270" w:lineRule="auto"/>
        <w:rPr>
          <w:sz w:val="20"/>
          <w:szCs w:val="20"/>
          <w:color w:val="auto"/>
        </w:rPr>
      </w:pPr>
      <w:r>
        <w:rPr>
          <w:rFonts w:ascii="Arial" w:cs="Arial" w:eastAsia="Arial" w:hAnsi="Arial"/>
          <w:sz w:val="17"/>
          <w:szCs w:val="17"/>
          <w:color w:val="auto"/>
        </w:rPr>
        <w:t>On June 21, 2018, Gores, AM Merger Sub I, Inc., a direct, wholly-owned subsidiary of Gores (“</w:t>
      </w:r>
      <w:r>
        <w:rPr>
          <w:rFonts w:ascii="Arial" w:cs="Arial" w:eastAsia="Arial" w:hAnsi="Arial"/>
          <w:sz w:val="17"/>
          <w:szCs w:val="17"/>
          <w:b w:val="1"/>
          <w:bCs w:val="1"/>
          <w:i w:val="1"/>
          <w:iCs w:val="1"/>
          <w:color w:val="auto"/>
        </w:rPr>
        <w:t>First Merger Sub</w:t>
      </w:r>
      <w:r>
        <w:rPr>
          <w:rFonts w:ascii="Arial" w:cs="Arial" w:eastAsia="Arial" w:hAnsi="Arial"/>
          <w:sz w:val="17"/>
          <w:szCs w:val="17"/>
          <w:color w:val="auto"/>
        </w:rPr>
        <w:t>”), AM Merger Sub II, LLC, a direct, wholly-owned subsidiary of Gores (“</w:t>
      </w:r>
      <w:r>
        <w:rPr>
          <w:rFonts w:ascii="Arial" w:cs="Arial" w:eastAsia="Arial" w:hAnsi="Arial"/>
          <w:sz w:val="17"/>
          <w:szCs w:val="17"/>
          <w:b w:val="1"/>
          <w:bCs w:val="1"/>
          <w:i w:val="1"/>
          <w:iCs w:val="1"/>
          <w:color w:val="auto"/>
        </w:rPr>
        <w:t>Second Merger Sub</w:t>
      </w:r>
      <w:r>
        <w:rPr>
          <w:rFonts w:ascii="Arial" w:cs="Arial" w:eastAsia="Arial" w:hAnsi="Arial"/>
          <w:sz w:val="17"/>
          <w:szCs w:val="17"/>
          <w:color w:val="auto"/>
        </w:rPr>
        <w:t>”), Greenlight Holding II Corporation (“</w:t>
      </w:r>
      <w:r>
        <w:rPr>
          <w:rFonts w:ascii="Arial" w:cs="Arial" w:eastAsia="Arial" w:hAnsi="Arial"/>
          <w:sz w:val="17"/>
          <w:szCs w:val="17"/>
          <w:b w:val="1"/>
          <w:bCs w:val="1"/>
          <w:i w:val="1"/>
          <w:iCs w:val="1"/>
          <w:color w:val="auto"/>
        </w:rPr>
        <w:t>Greenlight</w:t>
      </w:r>
      <w:r>
        <w:rPr>
          <w:rFonts w:ascii="Arial" w:cs="Arial" w:eastAsia="Arial" w:hAnsi="Arial"/>
          <w:sz w:val="17"/>
          <w:szCs w:val="17"/>
          <w:color w:val="auto"/>
        </w:rPr>
        <w:t>”), and PE Greenlight Holdings, LLC entered into an Agreement and Plan of Merger as amended on August 23, 2018 by that certain Amendment No. 1 to Agreement and Plan of Merger (as amended, the “</w:t>
      </w:r>
      <w:r>
        <w:rPr>
          <w:rFonts w:ascii="Arial" w:cs="Arial" w:eastAsia="Arial" w:hAnsi="Arial"/>
          <w:sz w:val="17"/>
          <w:szCs w:val="17"/>
          <w:b w:val="1"/>
          <w:bCs w:val="1"/>
          <w:i w:val="1"/>
          <w:iCs w:val="1"/>
          <w:color w:val="auto"/>
        </w:rPr>
        <w:t>Merger Agreement</w:t>
      </w:r>
      <w:r>
        <w:rPr>
          <w:rFonts w:ascii="Arial" w:cs="Arial" w:eastAsia="Arial" w:hAnsi="Arial"/>
          <w:sz w:val="17"/>
          <w:szCs w:val="17"/>
          <w:color w:val="auto"/>
        </w:rPr>
        <w:t>”), which provided for, among other things, (i) the merger of First Merger Sub with and into Greenlight, with Greenlight continuing as the surviving corporation (the “</w:t>
      </w:r>
      <w:r>
        <w:rPr>
          <w:rFonts w:ascii="Arial" w:cs="Arial" w:eastAsia="Arial" w:hAnsi="Arial"/>
          <w:sz w:val="17"/>
          <w:szCs w:val="17"/>
          <w:b w:val="1"/>
          <w:bCs w:val="1"/>
          <w:i w:val="1"/>
          <w:iCs w:val="1"/>
          <w:color w:val="auto"/>
        </w:rPr>
        <w:t>First Merger</w:t>
      </w:r>
      <w:r>
        <w:rPr>
          <w:rFonts w:ascii="Arial" w:cs="Arial" w:eastAsia="Arial" w:hAnsi="Arial"/>
          <w:sz w:val="17"/>
          <w:szCs w:val="17"/>
          <w:color w:val="auto"/>
        </w:rPr>
        <w:t>”) and (ii) immediately following the First Merger and as part of the same overall transaction as the First Merger, the merger of Greenlight with and into Second Merger Sub, with Second Merger Sub continuing as the surviving entity (the “</w:t>
      </w:r>
      <w:r>
        <w:rPr>
          <w:rFonts w:ascii="Arial" w:cs="Arial" w:eastAsia="Arial" w:hAnsi="Arial"/>
          <w:sz w:val="17"/>
          <w:szCs w:val="17"/>
          <w:b w:val="1"/>
          <w:bCs w:val="1"/>
          <w:i w:val="1"/>
          <w:iCs w:val="1"/>
          <w:color w:val="auto"/>
        </w:rPr>
        <w:t>Second Merger</w:t>
      </w:r>
      <w:r>
        <w:rPr>
          <w:rFonts w:ascii="Arial" w:cs="Arial" w:eastAsia="Arial" w:hAnsi="Arial"/>
          <w:sz w:val="17"/>
          <w:szCs w:val="17"/>
          <w:color w:val="auto"/>
        </w:rPr>
        <w:t>” and, together with the First Merger, the “</w:t>
      </w:r>
      <w:r>
        <w:rPr>
          <w:rFonts w:ascii="Arial" w:cs="Arial" w:eastAsia="Arial" w:hAnsi="Arial"/>
          <w:sz w:val="17"/>
          <w:szCs w:val="17"/>
          <w:b w:val="1"/>
          <w:bCs w:val="1"/>
          <w:i w:val="1"/>
          <w:iCs w:val="1"/>
          <w:color w:val="auto"/>
        </w:rPr>
        <w:t>Merger</w:t>
      </w:r>
      <w:r>
        <w:rPr>
          <w:rFonts w:ascii="Arial" w:cs="Arial" w:eastAsia="Arial" w:hAnsi="Arial"/>
          <w:sz w:val="17"/>
          <w:szCs w:val="17"/>
          <w:color w:val="auto"/>
        </w:rPr>
        <w:t>” and, together with the other transactions contemplated by the Merger Agreement, the “</w:t>
      </w:r>
      <w:r>
        <w:rPr>
          <w:rFonts w:ascii="Arial" w:cs="Arial" w:eastAsia="Arial" w:hAnsi="Arial"/>
          <w:sz w:val="17"/>
          <w:szCs w:val="17"/>
          <w:b w:val="1"/>
          <w:bCs w:val="1"/>
          <w:i w:val="1"/>
          <w:iCs w:val="1"/>
          <w:color w:val="auto"/>
        </w:rPr>
        <w:t>Business</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Combination</w:t>
      </w:r>
      <w:r>
        <w:rPr>
          <w:rFonts w:ascii="Arial" w:cs="Arial" w:eastAsia="Arial" w:hAnsi="Arial"/>
          <w:sz w:val="17"/>
          <w:szCs w:val="17"/>
          <w:color w:val="auto"/>
        </w:rPr>
        <w:t>”). In connection with the closing of the Business Combination on October 17, 2018, we changed our name to Verra Mobility Corporation. As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result of the Business Combination, we became the owner, directly or indirectly, of all of the equity interests of Verra Mobility Holdings, LLC (formerly Second Merger Sub) and its subsidiaries.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HTA Acquisition and Refinancing</w:t>
      </w:r>
    </w:p>
    <w:p>
      <w:pPr>
        <w:spacing w:after="0" w:line="185" w:lineRule="exact"/>
        <w:rPr>
          <w:sz w:val="20"/>
          <w:szCs w:val="20"/>
          <w:color w:val="auto"/>
        </w:rPr>
      </w:pPr>
    </w:p>
    <w:p>
      <w:pPr>
        <w:jc w:val="both"/>
        <w:ind w:firstLine="815"/>
        <w:spacing w:after="0" w:line="297" w:lineRule="auto"/>
        <w:rPr>
          <w:sz w:val="20"/>
          <w:szCs w:val="20"/>
          <w:color w:val="auto"/>
        </w:rPr>
      </w:pPr>
      <w:r>
        <w:rPr>
          <w:rFonts w:ascii="Arial" w:cs="Arial" w:eastAsia="Arial" w:hAnsi="Arial"/>
          <w:sz w:val="16"/>
          <w:szCs w:val="16"/>
          <w:color w:val="auto"/>
        </w:rPr>
        <w:t xml:space="preserve">On March 1, 2018, we acquired HTA for an aggregate purchase price of $603.3 million, consisting of $525.0 million in cash, $9.7 million in purchase price adjustments, a $11.3 million payment to the sellers for certain tax items, and the issuance of equity in Greenlight with a fair value of approximately $57.3 million. The receipt of the equity was treated for accounting purposes as a capital contribution from Greenlight Acquisition Corporation. We recognized $15.6 million of costs related to the transaction in the six months ended June 30, 2018. HTA contributed $28.1 million and $9.7 million in revenues for the six months ended June 30, 2019 and 2018, respectively. See Note 3, </w:t>
      </w:r>
      <w:r>
        <w:rPr>
          <w:rFonts w:ascii="Arial" w:cs="Arial" w:eastAsia="Arial" w:hAnsi="Arial"/>
          <w:sz w:val="16"/>
          <w:szCs w:val="16"/>
          <w:i w:val="1"/>
          <w:iCs w:val="1"/>
          <w:color w:val="auto"/>
        </w:rPr>
        <w:t>Mergers and Acquisitions,</w:t>
      </w:r>
      <w:r>
        <w:rPr>
          <w:rFonts w:ascii="Arial" w:cs="Arial" w:eastAsia="Arial" w:hAnsi="Arial"/>
          <w:sz w:val="16"/>
          <w:szCs w:val="16"/>
          <w:color w:val="auto"/>
        </w:rPr>
        <w:t xml:space="preserve"> in Item 1, Financial Statements.</w:t>
      </w:r>
    </w:p>
    <w:p>
      <w:pPr>
        <w:spacing w:after="0" w:line="131" w:lineRule="exact"/>
        <w:rPr>
          <w:sz w:val="20"/>
          <w:szCs w:val="20"/>
          <w:color w:val="auto"/>
        </w:rPr>
      </w:pPr>
    </w:p>
    <w:p>
      <w:pPr>
        <w:jc w:val="both"/>
        <w:ind w:firstLine="815"/>
        <w:spacing w:after="0" w:line="279" w:lineRule="auto"/>
        <w:rPr>
          <w:sz w:val="20"/>
          <w:szCs w:val="20"/>
          <w:color w:val="auto"/>
        </w:rPr>
      </w:pPr>
      <w:r>
        <w:rPr>
          <w:rFonts w:ascii="Arial" w:cs="Arial" w:eastAsia="Arial" w:hAnsi="Arial"/>
          <w:sz w:val="17"/>
          <w:szCs w:val="17"/>
          <w:color w:val="auto"/>
        </w:rPr>
        <w:t xml:space="preserve">In connection with the HTA acquisition, we refinanced the 2017 Credit Facilities (defined below) and entered into the 2018 Credit Facilities (defined below), which provided for term loans with an aggregate principal amount of $1.04 billion and a revolver with an aggregate commitment of up to $75.0 million. We recorded a loss on extinguishment of the 2017 Credit Facilities of approximately $10.2 million during the six months ended June 30, 2018, which included a prepayment penalty of $3.8 million related to one of the term loans. See Note 8, </w:t>
      </w:r>
      <w:r>
        <w:rPr>
          <w:rFonts w:ascii="Arial" w:cs="Arial" w:eastAsia="Arial" w:hAnsi="Arial"/>
          <w:sz w:val="17"/>
          <w:szCs w:val="17"/>
          <w:i w:val="1"/>
          <w:iCs w:val="1"/>
          <w:color w:val="auto"/>
        </w:rPr>
        <w:t>Debt</w:t>
      </w:r>
      <w:r>
        <w:rPr>
          <w:rFonts w:ascii="Arial" w:cs="Arial" w:eastAsia="Arial" w:hAnsi="Arial"/>
          <w:sz w:val="17"/>
          <w:szCs w:val="17"/>
          <w:color w:val="auto"/>
        </w:rPr>
        <w:t>, in Item 1, Financial Statements.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EPC Acquisition</w:t>
      </w:r>
    </w:p>
    <w:p>
      <w:pPr>
        <w:spacing w:after="0" w:line="185" w:lineRule="exact"/>
        <w:rPr>
          <w:sz w:val="20"/>
          <w:szCs w:val="20"/>
          <w:color w:val="auto"/>
        </w:rPr>
      </w:pPr>
    </w:p>
    <w:p>
      <w:pPr>
        <w:jc w:val="both"/>
        <w:ind w:firstLine="815"/>
        <w:spacing w:after="0" w:line="302" w:lineRule="auto"/>
        <w:rPr>
          <w:sz w:val="20"/>
          <w:szCs w:val="20"/>
          <w:color w:val="auto"/>
        </w:rPr>
      </w:pPr>
      <w:r>
        <w:rPr>
          <w:rFonts w:ascii="Arial" w:cs="Arial" w:eastAsia="Arial" w:hAnsi="Arial"/>
          <w:sz w:val="16"/>
          <w:szCs w:val="16"/>
          <w:color w:val="auto"/>
        </w:rPr>
        <w:t xml:space="preserve">On April 6, 2018, we acquired EPC for an aggregate purchase price of $62.9 million. The purchase consideration consisted primarily of equity in Greenlight and working capital adjustments, which aggregated $2.6 million. The receipt of the equity was treated for accounting purposes as a capital contribution from Greenlight Acquisition Corporation. EPC contributed $3.2 million in revenues for the six months ended June 30, 2019. We recognized $3.0 million of costs related to the transaction in the six months ended June 30, 2018. See Note 3, </w:t>
      </w:r>
      <w:r>
        <w:rPr>
          <w:rFonts w:ascii="Arial" w:cs="Arial" w:eastAsia="Arial" w:hAnsi="Arial"/>
          <w:sz w:val="16"/>
          <w:szCs w:val="16"/>
          <w:i w:val="1"/>
          <w:iCs w:val="1"/>
          <w:color w:val="auto"/>
        </w:rPr>
        <w:t>Mergers and Acquisitions,</w:t>
      </w:r>
      <w:r>
        <w:rPr>
          <w:rFonts w:ascii="Arial" w:cs="Arial" w:eastAsia="Arial" w:hAnsi="Arial"/>
          <w:sz w:val="16"/>
          <w:szCs w:val="16"/>
          <w:color w:val="auto"/>
        </w:rPr>
        <w:t xml:space="preserve"> in Item 1, Financial Statements.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ATS Merger</w:t>
      </w:r>
    </w:p>
    <w:p>
      <w:pPr>
        <w:spacing w:after="0" w:line="185" w:lineRule="exact"/>
        <w:rPr>
          <w:sz w:val="20"/>
          <w:szCs w:val="20"/>
          <w:color w:val="auto"/>
        </w:rPr>
      </w:pPr>
    </w:p>
    <w:p>
      <w:pPr>
        <w:jc w:val="both"/>
        <w:ind w:firstLine="815"/>
        <w:spacing w:after="0" w:line="279" w:lineRule="auto"/>
        <w:rPr>
          <w:sz w:val="20"/>
          <w:szCs w:val="20"/>
          <w:color w:val="auto"/>
        </w:rPr>
      </w:pPr>
      <w:r>
        <w:rPr>
          <w:rFonts w:ascii="Arial" w:cs="Arial" w:eastAsia="Arial" w:hAnsi="Arial"/>
          <w:sz w:val="17"/>
          <w:szCs w:val="17"/>
          <w:color w:val="auto"/>
        </w:rPr>
        <w:t>On May 31, 2017, private equity investment vehicles sponsored by Platinum Equity, LLC (collectively “</w:t>
      </w:r>
      <w:r>
        <w:rPr>
          <w:rFonts w:ascii="Arial" w:cs="Arial" w:eastAsia="Arial" w:hAnsi="Arial"/>
          <w:sz w:val="17"/>
          <w:szCs w:val="17"/>
          <w:b w:val="1"/>
          <w:bCs w:val="1"/>
          <w:i w:val="1"/>
          <w:iCs w:val="1"/>
          <w:color w:val="auto"/>
        </w:rPr>
        <w:t>Platinum</w:t>
      </w:r>
      <w:r>
        <w:rPr>
          <w:rFonts w:ascii="Arial" w:cs="Arial" w:eastAsia="Arial" w:hAnsi="Arial"/>
          <w:sz w:val="17"/>
          <w:szCs w:val="17"/>
          <w:color w:val="auto"/>
        </w:rPr>
        <w:t>”) acquired ATS Consolidated, Inc. (now VM Consolidated, Inc.) pursuant to the Agreement and Plan of Merger, dated April 15, 2017, by and among ATS Consolidated, Inc., Greenlight Merger Corporation, a wholly-owned subsidiary of Greenlight Acquisition Corporation, and Greenlight Acquisition Corporation, whereby ATS Consolidated, Inc. merged with and into Greenlight Merger Corporation with the former surviving the merger (such transaction, the “</w:t>
      </w:r>
      <w:r>
        <w:rPr>
          <w:rFonts w:ascii="Arial" w:cs="Arial" w:eastAsia="Arial" w:hAnsi="Arial"/>
          <w:sz w:val="17"/>
          <w:szCs w:val="17"/>
          <w:b w:val="1"/>
          <w:bCs w:val="1"/>
          <w:i w:val="1"/>
          <w:iCs w:val="1"/>
          <w:color w:val="auto"/>
        </w:rPr>
        <w:t>ATS Merger</w:t>
      </w:r>
      <w:r>
        <w:rPr>
          <w:rFonts w:ascii="Arial" w:cs="Arial" w:eastAsia="Arial" w:hAnsi="Arial"/>
          <w:sz w:val="17"/>
          <w:szCs w:val="17"/>
          <w:color w:val="auto"/>
        </w:rPr>
        <w: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32" w:name="page33"/>
    <w:bookmarkEnd w:id="3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Primary Components of Operating Results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185" w:lineRule="exact"/>
        <w:rPr>
          <w:sz w:val="20"/>
          <w:szCs w:val="20"/>
          <w:color w:val="auto"/>
        </w:rPr>
      </w:pPr>
    </w:p>
    <w:p>
      <w:pPr>
        <w:jc w:val="both"/>
        <w:ind w:firstLine="815"/>
        <w:spacing w:after="0" w:line="277" w:lineRule="auto"/>
        <w:rPr>
          <w:sz w:val="20"/>
          <w:szCs w:val="20"/>
          <w:color w:val="auto"/>
        </w:rPr>
      </w:pPr>
      <w:r>
        <w:rPr>
          <w:rFonts w:ascii="Arial" w:cs="Arial" w:eastAsia="Arial" w:hAnsi="Arial"/>
          <w:sz w:val="18"/>
          <w:szCs w:val="18"/>
          <w:color w:val="auto"/>
        </w:rPr>
        <w:t>Total revenues consist of service revenues generated by our Commercial Services and Government Solutions segments and product sales generated by the Government Solutions segment.</w:t>
      </w:r>
    </w:p>
    <w:p>
      <w:pPr>
        <w:spacing w:after="0" w:line="130" w:lineRule="exact"/>
        <w:rPr>
          <w:sz w:val="20"/>
          <w:szCs w:val="20"/>
          <w:color w:val="auto"/>
        </w:rPr>
      </w:pPr>
    </w:p>
    <w:p>
      <w:pPr>
        <w:jc w:val="both"/>
        <w:ind w:firstLine="815"/>
        <w:spacing w:after="0" w:line="255" w:lineRule="auto"/>
        <w:rPr>
          <w:sz w:val="20"/>
          <w:szCs w:val="20"/>
          <w:color w:val="auto"/>
        </w:rPr>
      </w:pPr>
      <w:r>
        <w:rPr>
          <w:rFonts w:ascii="Arial" w:cs="Arial" w:eastAsia="Arial" w:hAnsi="Arial"/>
          <w:sz w:val="18"/>
          <w:szCs w:val="18"/>
          <w:i w:val="1"/>
          <w:iCs w:val="1"/>
          <w:color w:val="auto"/>
        </w:rPr>
        <w:t xml:space="preserve">Service Revenue. </w:t>
      </w:r>
      <w:r>
        <w:rPr>
          <w:rFonts w:ascii="Arial" w:cs="Arial" w:eastAsia="Arial" w:hAnsi="Arial"/>
          <w:sz w:val="18"/>
          <w:szCs w:val="18"/>
          <w:color w:val="auto"/>
        </w:rPr>
        <w:t>The Commercial Services segment primarily generates service revenue through the management and operation of tolling</w:t>
      </w:r>
      <w:r>
        <w:rPr>
          <w:rFonts w:ascii="Arial" w:cs="Arial" w:eastAsia="Arial" w:hAnsi="Arial"/>
          <w:sz w:val="18"/>
          <w:szCs w:val="18"/>
          <w:i w:val="1"/>
          <w:iCs w:val="1"/>
          <w:color w:val="auto"/>
        </w:rPr>
        <w:t xml:space="preserve"> </w:t>
      </w:r>
      <w:r>
        <w:rPr>
          <w:rFonts w:ascii="Arial" w:cs="Arial" w:eastAsia="Arial" w:hAnsi="Arial"/>
          <w:sz w:val="18"/>
          <w:szCs w:val="18"/>
          <w:color w:val="auto"/>
        </w:rPr>
        <w:t>programs for RACs, FMCs and other large fleet customers. These solutions are full service offerings by which we enroll plates of our customers’ vehicles with tolling authorities, process payments on the customers’ behalf and, through proprietary technology, integrate with customer data to match the toll to the driver and then bill the driver (or our customer, as applicable) for use of the service. The cost of certain tolls, violations and our customers’ share of administration fees are netted against revenue. We also generate service revenue in the Commercial Services segment through processing titles, registrations and violations for our customers.</w:t>
      </w:r>
    </w:p>
    <w:p>
      <w:pPr>
        <w:spacing w:after="0" w:line="166" w:lineRule="exact"/>
        <w:rPr>
          <w:sz w:val="20"/>
          <w:szCs w:val="20"/>
          <w:color w:val="auto"/>
        </w:rPr>
      </w:pPr>
    </w:p>
    <w:p>
      <w:pPr>
        <w:jc w:val="both"/>
        <w:ind w:firstLine="815"/>
        <w:spacing w:after="0" w:line="302" w:lineRule="auto"/>
        <w:rPr>
          <w:sz w:val="20"/>
          <w:szCs w:val="20"/>
          <w:color w:val="auto"/>
        </w:rPr>
      </w:pPr>
      <w:r>
        <w:rPr>
          <w:rFonts w:ascii="Arial" w:cs="Arial" w:eastAsia="Arial" w:hAnsi="Arial"/>
          <w:sz w:val="16"/>
          <w:szCs w:val="16"/>
          <w:color w:val="auto"/>
        </w:rPr>
        <w:t>The Government Solutions segment generates service revenue through the operation and maintenance of photo enforcement systems. This revenue is generally tied to long-term contracts, and revenue is recognized either when services are performed or when citations are issued or paid, depending on the terms of the customer contract. Revenue drivers include the number of systems installed and the monthly revenue per system. Ancillary service revenue is generated in the Government Solutions segment from payment processing, pass-through fees for collection expense and other fees.</w:t>
      </w:r>
    </w:p>
    <w:p>
      <w:pPr>
        <w:spacing w:after="0" w:line="114" w:lineRule="exact"/>
        <w:rPr>
          <w:sz w:val="20"/>
          <w:szCs w:val="20"/>
          <w:color w:val="auto"/>
        </w:rPr>
      </w:pPr>
    </w:p>
    <w:p>
      <w:pPr>
        <w:jc w:val="both"/>
        <w:ind w:firstLine="815"/>
        <w:spacing w:after="0" w:line="264" w:lineRule="auto"/>
        <w:rPr>
          <w:sz w:val="20"/>
          <w:szCs w:val="20"/>
          <w:color w:val="auto"/>
        </w:rPr>
      </w:pPr>
      <w:r>
        <w:rPr>
          <w:rFonts w:ascii="Arial" w:cs="Arial" w:eastAsia="Arial" w:hAnsi="Arial"/>
          <w:sz w:val="18"/>
          <w:szCs w:val="18"/>
          <w:i w:val="1"/>
          <w:iCs w:val="1"/>
          <w:color w:val="auto"/>
        </w:rPr>
        <w:t xml:space="preserve">Product Sales. </w:t>
      </w:r>
      <w:r>
        <w:rPr>
          <w:rFonts w:ascii="Arial" w:cs="Arial" w:eastAsia="Arial" w:hAnsi="Arial"/>
          <w:sz w:val="18"/>
          <w:szCs w:val="18"/>
          <w:color w:val="auto"/>
        </w:rPr>
        <w:t>Product sales are generated by the sale of photo enforcement equipment to certain Government Solutions customers. There are a</w:t>
      </w:r>
      <w:r>
        <w:rPr>
          <w:rFonts w:ascii="Arial" w:cs="Arial" w:eastAsia="Arial" w:hAnsi="Arial"/>
          <w:sz w:val="18"/>
          <w:szCs w:val="18"/>
          <w:i w:val="1"/>
          <w:iCs w:val="1"/>
          <w:color w:val="auto"/>
        </w:rPr>
        <w:t xml:space="preserve"> </w:t>
      </w:r>
      <w:r>
        <w:rPr>
          <w:rFonts w:ascii="Arial" w:cs="Arial" w:eastAsia="Arial" w:hAnsi="Arial"/>
          <w:sz w:val="18"/>
          <w:szCs w:val="18"/>
          <w:color w:val="auto"/>
        </w:rPr>
        <w:t>small number of customers who purchase this equipment, and their buying patterns vary greatly from period to period. Product sales revenue is recognized when the equipment is accepted or installed.</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and Expenses</w:t>
      </w:r>
    </w:p>
    <w:p>
      <w:pPr>
        <w:spacing w:after="0" w:line="198" w:lineRule="exact"/>
        <w:rPr>
          <w:sz w:val="20"/>
          <w:szCs w:val="20"/>
          <w:color w:val="auto"/>
        </w:rPr>
      </w:pPr>
    </w:p>
    <w:p>
      <w:pPr>
        <w:jc w:val="both"/>
        <w:ind w:firstLine="815"/>
        <w:spacing w:after="0" w:line="277" w:lineRule="auto"/>
        <w:rPr>
          <w:sz w:val="20"/>
          <w:szCs w:val="20"/>
          <w:color w:val="auto"/>
        </w:rPr>
      </w:pPr>
      <w:r>
        <w:rPr>
          <w:rFonts w:ascii="Arial" w:cs="Arial" w:eastAsia="Arial" w:hAnsi="Arial"/>
          <w:sz w:val="18"/>
          <w:szCs w:val="18"/>
          <w:i w:val="1"/>
          <w:iCs w:val="1"/>
          <w:color w:val="auto"/>
        </w:rPr>
        <w:t xml:space="preserve">Cost of Service Revenue. </w:t>
      </w:r>
      <w:r>
        <w:rPr>
          <w:rFonts w:ascii="Arial" w:cs="Arial" w:eastAsia="Arial" w:hAnsi="Arial"/>
          <w:sz w:val="18"/>
          <w:szCs w:val="18"/>
          <w:color w:val="auto"/>
        </w:rPr>
        <w:t>Cost of service revenue consists of collection and other professional services contracted with third parties and associated</w:t>
      </w:r>
      <w:r>
        <w:rPr>
          <w:rFonts w:ascii="Arial" w:cs="Arial" w:eastAsia="Arial" w:hAnsi="Arial"/>
          <w:sz w:val="18"/>
          <w:szCs w:val="18"/>
          <w:i w:val="1"/>
          <w:iCs w:val="1"/>
          <w:color w:val="auto"/>
        </w:rPr>
        <w:t xml:space="preserve"> </w:t>
      </w:r>
      <w:r>
        <w:rPr>
          <w:rFonts w:ascii="Arial" w:cs="Arial" w:eastAsia="Arial" w:hAnsi="Arial"/>
          <w:sz w:val="18"/>
          <w:szCs w:val="18"/>
          <w:color w:val="auto"/>
        </w:rPr>
        <w:t>with the delivery of certain ancillary services performed by both the Government Solutions and Commercial Services segments.</w:t>
      </w:r>
    </w:p>
    <w:p>
      <w:pPr>
        <w:spacing w:after="0" w:line="130" w:lineRule="exact"/>
        <w:rPr>
          <w:sz w:val="20"/>
          <w:szCs w:val="20"/>
          <w:color w:val="auto"/>
        </w:rPr>
      </w:pPr>
    </w:p>
    <w:p>
      <w:pPr>
        <w:jc w:val="both"/>
        <w:ind w:firstLine="815"/>
        <w:spacing w:after="0" w:line="277" w:lineRule="auto"/>
        <w:rPr>
          <w:sz w:val="20"/>
          <w:szCs w:val="20"/>
          <w:color w:val="auto"/>
        </w:rPr>
      </w:pPr>
      <w:r>
        <w:rPr>
          <w:rFonts w:ascii="Arial" w:cs="Arial" w:eastAsia="Arial" w:hAnsi="Arial"/>
          <w:sz w:val="18"/>
          <w:szCs w:val="18"/>
          <w:i w:val="1"/>
          <w:iCs w:val="1"/>
          <w:color w:val="auto"/>
        </w:rPr>
        <w:t xml:space="preserve">Cost of Product Sales. </w:t>
      </w:r>
      <w:r>
        <w:rPr>
          <w:rFonts w:ascii="Arial" w:cs="Arial" w:eastAsia="Arial" w:hAnsi="Arial"/>
          <w:sz w:val="18"/>
          <w:szCs w:val="18"/>
          <w:color w:val="auto"/>
        </w:rPr>
        <w:t>Costs of product sales consist of the costs to acquire and install photo enforcement equipment that is purchased by</w:t>
      </w:r>
      <w:r>
        <w:rPr>
          <w:rFonts w:ascii="Arial" w:cs="Arial" w:eastAsia="Arial" w:hAnsi="Arial"/>
          <w:sz w:val="18"/>
          <w:szCs w:val="18"/>
          <w:i w:val="1"/>
          <w:iCs w:val="1"/>
          <w:color w:val="auto"/>
        </w:rPr>
        <w:t xml:space="preserve"> </w:t>
      </w:r>
      <w:r>
        <w:rPr>
          <w:rFonts w:ascii="Arial" w:cs="Arial" w:eastAsia="Arial" w:hAnsi="Arial"/>
          <w:sz w:val="18"/>
          <w:szCs w:val="18"/>
          <w:color w:val="auto"/>
        </w:rPr>
        <w:t>Government Solutions customers.</w:t>
      </w:r>
    </w:p>
    <w:p>
      <w:pPr>
        <w:spacing w:after="0" w:line="130" w:lineRule="exact"/>
        <w:rPr>
          <w:sz w:val="20"/>
          <w:szCs w:val="20"/>
          <w:color w:val="auto"/>
        </w:rPr>
      </w:pPr>
    </w:p>
    <w:p>
      <w:pPr>
        <w:jc w:val="both"/>
        <w:ind w:right="20" w:firstLine="815"/>
        <w:spacing w:after="0" w:line="308" w:lineRule="auto"/>
        <w:rPr>
          <w:sz w:val="20"/>
          <w:szCs w:val="20"/>
          <w:color w:val="auto"/>
        </w:rPr>
      </w:pPr>
      <w:r>
        <w:rPr>
          <w:rFonts w:ascii="Arial" w:cs="Arial" w:eastAsia="Arial" w:hAnsi="Arial"/>
          <w:sz w:val="17"/>
          <w:szCs w:val="17"/>
          <w:i w:val="1"/>
          <w:iCs w:val="1"/>
          <w:color w:val="auto"/>
        </w:rPr>
        <w:t xml:space="preserve">Operating Expenses. </w:t>
      </w:r>
      <w:r>
        <w:rPr>
          <w:rFonts w:ascii="Arial" w:cs="Arial" w:eastAsia="Arial" w:hAnsi="Arial"/>
          <w:sz w:val="17"/>
          <w:szCs w:val="17"/>
          <w:color w:val="auto"/>
        </w:rPr>
        <w:t>Operating expenses include payroll and payroll-related costs (including stock-based compensation), costs related to the</w:t>
      </w:r>
      <w:r>
        <w:rPr>
          <w:rFonts w:ascii="Arial" w:cs="Arial" w:eastAsia="Arial" w:hAnsi="Arial"/>
          <w:sz w:val="17"/>
          <w:szCs w:val="17"/>
          <w:i w:val="1"/>
          <w:iCs w:val="1"/>
          <w:color w:val="auto"/>
        </w:rPr>
        <w:t xml:space="preserve"> </w:t>
      </w:r>
      <w:r>
        <w:rPr>
          <w:rFonts w:ascii="Arial" w:cs="Arial" w:eastAsia="Arial" w:hAnsi="Arial"/>
          <w:sz w:val="17"/>
          <w:szCs w:val="17"/>
          <w:color w:val="auto"/>
        </w:rPr>
        <w:t>operation of our call centers and other operational costs, including transaction processing, print, postage and communication costs.</w:t>
      </w:r>
    </w:p>
    <w:p>
      <w:pPr>
        <w:spacing w:after="0" w:line="120" w:lineRule="exact"/>
        <w:rPr>
          <w:sz w:val="20"/>
          <w:szCs w:val="20"/>
          <w:color w:val="auto"/>
        </w:rPr>
      </w:pPr>
    </w:p>
    <w:p>
      <w:pPr>
        <w:jc w:val="both"/>
        <w:ind w:firstLine="815"/>
        <w:spacing w:after="0" w:line="277" w:lineRule="auto"/>
        <w:rPr>
          <w:sz w:val="20"/>
          <w:szCs w:val="20"/>
          <w:color w:val="auto"/>
        </w:rPr>
      </w:pPr>
      <w:r>
        <w:rPr>
          <w:rFonts w:ascii="Arial" w:cs="Arial" w:eastAsia="Arial" w:hAnsi="Arial"/>
          <w:sz w:val="18"/>
          <w:szCs w:val="18"/>
          <w:i w:val="1"/>
          <w:iCs w:val="1"/>
          <w:color w:val="auto"/>
        </w:rPr>
        <w:t xml:space="preserve">Selling, General and Administrative Expenses. </w:t>
      </w:r>
      <w:r>
        <w:rPr>
          <w:rFonts w:ascii="Arial" w:cs="Arial" w:eastAsia="Arial" w:hAnsi="Arial"/>
          <w:sz w:val="18"/>
          <w:szCs w:val="18"/>
          <w:color w:val="auto"/>
        </w:rPr>
        <w:t>Selling, general and administrative expenses includes payroll and payroll-related costs (including</w:t>
      </w:r>
      <w:r>
        <w:rPr>
          <w:rFonts w:ascii="Arial" w:cs="Arial" w:eastAsia="Arial" w:hAnsi="Arial"/>
          <w:sz w:val="18"/>
          <w:szCs w:val="18"/>
          <w:i w:val="1"/>
          <w:iCs w:val="1"/>
          <w:color w:val="auto"/>
        </w:rPr>
        <w:t xml:space="preserve"> </w:t>
      </w:r>
      <w:r>
        <w:rPr>
          <w:rFonts w:ascii="Arial" w:cs="Arial" w:eastAsia="Arial" w:hAnsi="Arial"/>
          <w:sz w:val="18"/>
          <w:szCs w:val="18"/>
          <w:color w:val="auto"/>
        </w:rPr>
        <w:t>stock-based compensation), real estate lease expense, insurance costs, legal fees and general corporate expenses.</w:t>
      </w:r>
    </w:p>
    <w:p>
      <w:pPr>
        <w:spacing w:after="0" w:line="130" w:lineRule="exact"/>
        <w:rPr>
          <w:sz w:val="20"/>
          <w:szCs w:val="20"/>
          <w:color w:val="auto"/>
        </w:rPr>
      </w:pPr>
    </w:p>
    <w:p>
      <w:pPr>
        <w:jc w:val="both"/>
        <w:ind w:firstLine="815"/>
        <w:spacing w:after="0" w:line="264" w:lineRule="auto"/>
        <w:rPr>
          <w:sz w:val="20"/>
          <w:szCs w:val="20"/>
          <w:color w:val="auto"/>
        </w:rPr>
      </w:pPr>
      <w:r>
        <w:rPr>
          <w:rFonts w:ascii="Arial" w:cs="Arial" w:eastAsia="Arial" w:hAnsi="Arial"/>
          <w:sz w:val="18"/>
          <w:szCs w:val="18"/>
          <w:i w:val="1"/>
          <w:iCs w:val="1"/>
          <w:color w:val="auto"/>
        </w:rPr>
        <w:t xml:space="preserve">Depreciation, Amortization and (Gain) Loss on Disposal of Assets, Net. </w:t>
      </w:r>
      <w:r>
        <w:rPr>
          <w:rFonts w:ascii="Arial" w:cs="Arial" w:eastAsia="Arial" w:hAnsi="Arial"/>
          <w:sz w:val="18"/>
          <w:szCs w:val="18"/>
          <w:color w:val="auto"/>
        </w:rPr>
        <w:t>Depreciation, amortization (gain) loss on disposal of assets, net includes</w:t>
      </w:r>
      <w:r>
        <w:rPr>
          <w:rFonts w:ascii="Arial" w:cs="Arial" w:eastAsia="Arial" w:hAnsi="Arial"/>
          <w:sz w:val="18"/>
          <w:szCs w:val="18"/>
          <w:i w:val="1"/>
          <w:iCs w:val="1"/>
          <w:color w:val="auto"/>
        </w:rPr>
        <w:t xml:space="preserve"> </w:t>
      </w:r>
      <w:r>
        <w:rPr>
          <w:rFonts w:ascii="Arial" w:cs="Arial" w:eastAsia="Arial" w:hAnsi="Arial"/>
          <w:sz w:val="18"/>
          <w:szCs w:val="18"/>
          <w:color w:val="auto"/>
        </w:rPr>
        <w:t>depreciation on property, plant and equipment, and amortization of definite-lived intangible assets. This line item also includes any one-time gains or losses incurred in connection with the disposal of certain assets.</w:t>
      </w:r>
    </w:p>
    <w:p>
      <w:pPr>
        <w:spacing w:after="0" w:line="141" w:lineRule="exact"/>
        <w:rPr>
          <w:sz w:val="20"/>
          <w:szCs w:val="20"/>
          <w:color w:val="auto"/>
        </w:rPr>
      </w:pPr>
    </w:p>
    <w:p>
      <w:pPr>
        <w:ind w:left="820"/>
        <w:spacing w:after="0"/>
        <w:rPr>
          <w:sz w:val="20"/>
          <w:szCs w:val="20"/>
          <w:color w:val="auto"/>
        </w:rPr>
      </w:pPr>
      <w:r>
        <w:rPr>
          <w:rFonts w:ascii="Arial" w:cs="Arial" w:eastAsia="Arial" w:hAnsi="Arial"/>
          <w:sz w:val="17"/>
          <w:szCs w:val="17"/>
          <w:i w:val="1"/>
          <w:iCs w:val="1"/>
          <w:color w:val="auto"/>
        </w:rPr>
        <w:t xml:space="preserve">Impairment of Property and Equipment. </w:t>
      </w:r>
      <w:r>
        <w:rPr>
          <w:rFonts w:ascii="Arial" w:cs="Arial" w:eastAsia="Arial" w:hAnsi="Arial"/>
          <w:sz w:val="17"/>
          <w:szCs w:val="17"/>
          <w:color w:val="auto"/>
        </w:rPr>
        <w:t>Impairment of property and equipment includes impairment charges for fixed assets used and held.</w:t>
      </w:r>
    </w:p>
    <w:p>
      <w:pPr>
        <w:spacing w:after="0" w:line="210" w:lineRule="exact"/>
        <w:rPr>
          <w:sz w:val="20"/>
          <w:szCs w:val="20"/>
          <w:color w:val="auto"/>
        </w:rPr>
      </w:pPr>
    </w:p>
    <w:p>
      <w:pPr>
        <w:jc w:val="both"/>
        <w:ind w:right="20" w:firstLine="815"/>
        <w:spacing w:after="0" w:line="277" w:lineRule="auto"/>
        <w:rPr>
          <w:sz w:val="20"/>
          <w:szCs w:val="20"/>
          <w:color w:val="auto"/>
        </w:rPr>
      </w:pPr>
      <w:r>
        <w:rPr>
          <w:rFonts w:ascii="Arial" w:cs="Arial" w:eastAsia="Arial" w:hAnsi="Arial"/>
          <w:sz w:val="18"/>
          <w:szCs w:val="18"/>
          <w:i w:val="1"/>
          <w:iCs w:val="1"/>
          <w:color w:val="auto"/>
        </w:rPr>
        <w:t xml:space="preserve">Loss on Extinguishment of Debt. </w:t>
      </w:r>
      <w:r>
        <w:rPr>
          <w:rFonts w:ascii="Arial" w:cs="Arial" w:eastAsia="Arial" w:hAnsi="Arial"/>
          <w:sz w:val="18"/>
          <w:szCs w:val="18"/>
          <w:color w:val="auto"/>
        </w:rPr>
        <w:t>Loss on extinguishment of debt generally consists of early payment penalties, the write-off of original issue</w:t>
      </w:r>
      <w:r>
        <w:rPr>
          <w:rFonts w:ascii="Arial" w:cs="Arial" w:eastAsia="Arial" w:hAnsi="Arial"/>
          <w:sz w:val="18"/>
          <w:szCs w:val="18"/>
          <w:i w:val="1"/>
          <w:iCs w:val="1"/>
          <w:color w:val="auto"/>
        </w:rPr>
        <w:t xml:space="preserve"> </w:t>
      </w:r>
      <w:r>
        <w:rPr>
          <w:rFonts w:ascii="Arial" w:cs="Arial" w:eastAsia="Arial" w:hAnsi="Arial"/>
          <w:sz w:val="18"/>
          <w:szCs w:val="18"/>
          <w:color w:val="auto"/>
        </w:rPr>
        <w:t>discounts and deferred financing costs associated with debt extinguishment.</w:t>
      </w:r>
    </w:p>
    <w:p>
      <w:pPr>
        <w:spacing w:after="0" w:line="130" w:lineRule="exact"/>
        <w:rPr>
          <w:sz w:val="20"/>
          <w:szCs w:val="20"/>
          <w:color w:val="auto"/>
        </w:rPr>
      </w:pPr>
    </w:p>
    <w:p>
      <w:pPr>
        <w:jc w:val="both"/>
        <w:ind w:firstLine="815"/>
        <w:spacing w:after="0" w:line="277" w:lineRule="auto"/>
        <w:rPr>
          <w:sz w:val="20"/>
          <w:szCs w:val="20"/>
          <w:color w:val="auto"/>
        </w:rPr>
      </w:pPr>
      <w:r>
        <w:rPr>
          <w:rFonts w:ascii="Arial" w:cs="Arial" w:eastAsia="Arial" w:hAnsi="Arial"/>
          <w:sz w:val="18"/>
          <w:szCs w:val="18"/>
          <w:i w:val="1"/>
          <w:iCs w:val="1"/>
          <w:color w:val="auto"/>
        </w:rPr>
        <w:t xml:space="preserve">Other Income, Net. </w:t>
      </w:r>
      <w:r>
        <w:rPr>
          <w:rFonts w:ascii="Arial" w:cs="Arial" w:eastAsia="Arial" w:hAnsi="Arial"/>
          <w:sz w:val="18"/>
          <w:szCs w:val="18"/>
          <w:color w:val="auto"/>
        </w:rPr>
        <w:t>Other income, net primarily consists of volume rebates from total spend on purchasing cards and gain or loss on foreign</w:t>
      </w:r>
      <w:r>
        <w:rPr>
          <w:rFonts w:ascii="Arial" w:cs="Arial" w:eastAsia="Arial" w:hAnsi="Arial"/>
          <w:sz w:val="18"/>
          <w:szCs w:val="18"/>
          <w:i w:val="1"/>
          <w:iCs w:val="1"/>
          <w:color w:val="auto"/>
        </w:rPr>
        <w:t xml:space="preserve"> </w:t>
      </w:r>
      <w:r>
        <w:rPr>
          <w:rFonts w:ascii="Arial" w:cs="Arial" w:eastAsia="Arial" w:hAnsi="Arial"/>
          <w:sz w:val="18"/>
          <w:szCs w:val="18"/>
          <w:color w:val="auto"/>
        </w:rPr>
        <w:t>currency translation.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33" w:name="page34"/>
    <w:bookmarkEnd w:id="3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June 30, 2019 Compared to Three Months Ended June 30, 2018</w:t>
      </w:r>
    </w:p>
    <w:p>
      <w:pPr>
        <w:spacing w:after="0" w:line="185" w:lineRule="exact"/>
        <w:rPr>
          <w:sz w:val="20"/>
          <w:szCs w:val="20"/>
          <w:color w:val="auto"/>
        </w:rPr>
      </w:pPr>
    </w:p>
    <w:p>
      <w:pPr>
        <w:jc w:val="both"/>
        <w:ind w:right="20" w:firstLine="815"/>
        <w:spacing w:after="0" w:line="264" w:lineRule="auto"/>
        <w:rPr>
          <w:sz w:val="20"/>
          <w:szCs w:val="20"/>
          <w:color w:val="auto"/>
        </w:rPr>
      </w:pPr>
      <w:r>
        <w:rPr>
          <w:rFonts w:ascii="Arial" w:cs="Arial" w:eastAsia="Arial" w:hAnsi="Arial"/>
          <w:sz w:val="18"/>
          <w:szCs w:val="18"/>
          <w:color w:val="auto"/>
        </w:rPr>
        <w:t>The following table sets forth for each of the periods indicated our statements of operations data and other information and expresses each item as a percentage of total revenues for the periods presented as well as the changes between periods. The tables and information provided were derived from exact numbers and may have immaterial rounding differences.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0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720" w:type="dxa"/>
            <w:vAlign w:val="bottom"/>
            <w:tcBorders>
              <w:bottom w:val="single" w:sz="8" w:color="auto"/>
            </w:tcBorders>
            <w:gridSpan w:val="5"/>
          </w:tcPr>
          <w:p>
            <w:pPr>
              <w:jc w:val="right"/>
              <w:ind w:right="620"/>
              <w:spacing w:after="0"/>
              <w:rPr>
                <w:sz w:val="20"/>
                <w:szCs w:val="20"/>
                <w:color w:val="auto"/>
              </w:rPr>
            </w:pPr>
            <w:r>
              <w:rPr>
                <w:rFonts w:ascii="Arial" w:cs="Arial" w:eastAsia="Arial" w:hAnsi="Arial"/>
                <w:sz w:val="14"/>
                <w:szCs w:val="14"/>
                <w:b w:val="1"/>
                <w:bCs w:val="1"/>
                <w:color w:val="auto"/>
              </w:rPr>
              <w:t>Three Months Ended June 30,</w:t>
            </w:r>
          </w:p>
        </w:tc>
        <w:tc>
          <w:tcPr>
            <w:tcW w:w="2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00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720" w:type="dxa"/>
            <w:vAlign w:val="bottom"/>
            <w:gridSpan w:val="5"/>
            <w:vMerge w:val="restart"/>
          </w:tcPr>
          <w:p>
            <w:pPr>
              <w:jc w:val="right"/>
              <w:ind w:right="900"/>
              <w:spacing w:after="0"/>
              <w:rPr>
                <w:sz w:val="20"/>
                <w:szCs w:val="20"/>
                <w:color w:val="auto"/>
              </w:rPr>
            </w:pPr>
            <w:r>
              <w:rPr>
                <w:rFonts w:ascii="Arial" w:cs="Arial" w:eastAsia="Arial" w:hAnsi="Arial"/>
                <w:sz w:val="14"/>
                <w:szCs w:val="14"/>
                <w:b w:val="1"/>
                <w:bCs w:val="1"/>
                <w:color w:val="auto"/>
              </w:rPr>
              <w:t>Percentage of Revenue</w:t>
            </w:r>
          </w:p>
        </w:tc>
        <w:tc>
          <w:tcPr>
            <w:tcW w:w="280" w:type="dxa"/>
            <w:vAlign w:val="bottom"/>
          </w:tcPr>
          <w:p>
            <w:pPr>
              <w:spacing w:after="0"/>
              <w:rPr>
                <w:sz w:val="11"/>
                <w:szCs w:val="11"/>
                <w:color w:val="auto"/>
              </w:rPr>
            </w:pPr>
          </w:p>
        </w:tc>
        <w:tc>
          <w:tcPr>
            <w:tcW w:w="2060" w:type="dxa"/>
            <w:vAlign w:val="bottom"/>
            <w:gridSpan w:val="5"/>
          </w:tcPr>
          <w:p>
            <w:pPr>
              <w:jc w:val="center"/>
              <w:ind w:right="256"/>
              <w:spacing w:after="0" w:line="133" w:lineRule="exact"/>
              <w:rPr>
                <w:sz w:val="20"/>
                <w:szCs w:val="20"/>
                <w:color w:val="auto"/>
              </w:rPr>
            </w:pPr>
            <w:r>
              <w:rPr>
                <w:rFonts w:ascii="Arial" w:cs="Arial" w:eastAsia="Arial" w:hAnsi="Arial"/>
                <w:sz w:val="14"/>
                <w:szCs w:val="14"/>
                <w:b w:val="1"/>
                <w:bCs w:val="1"/>
                <w:color w:val="auto"/>
                <w:w w:val="90"/>
              </w:rPr>
              <w:t>Increase (Decrease)</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1000" w:type="dxa"/>
            <w:vAlign w:val="bottom"/>
            <w:vMerge w:val="restart"/>
          </w:tcPr>
          <w:p>
            <w:pPr>
              <w:spacing w:after="0"/>
              <w:rPr>
                <w:sz w:val="20"/>
                <w:szCs w:val="20"/>
                <w:color w:val="auto"/>
              </w:rPr>
            </w:pPr>
            <w:r>
              <w:rPr>
                <w:rFonts w:ascii="Arial" w:cs="Arial" w:eastAsia="Arial" w:hAnsi="Arial"/>
                <w:sz w:val="14"/>
                <w:szCs w:val="14"/>
                <w:b w:val="1"/>
                <w:bCs w:val="1"/>
                <w:u w:val="single" w:color="auto"/>
                <w:color w:val="auto"/>
                <w:w w:val="90"/>
              </w:rPr>
              <w:t>(</w:t>
            </w:r>
            <w:r>
              <w:rPr>
                <w:rFonts w:ascii="Arial" w:cs="Arial" w:eastAsia="Arial" w:hAnsi="Arial"/>
                <w:sz w:val="14"/>
                <w:szCs w:val="14"/>
                <w:b w:val="1"/>
                <w:bCs w:val="1"/>
                <w:color w:val="auto"/>
                <w:w w:val="90"/>
              </w:rPr>
              <w:t>$ in thousands)</w:t>
            </w:r>
          </w:p>
        </w:tc>
        <w:tc>
          <w:tcPr>
            <w:tcW w:w="2320" w:type="dxa"/>
            <w:vAlign w:val="bottom"/>
            <w:vMerge w:val="restart"/>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vMerge w:val="restart"/>
          </w:tcPr>
          <w:p>
            <w:pPr>
              <w:jc w:val="right"/>
              <w:ind w:right="296"/>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vMerge w:val="restart"/>
          </w:tcPr>
          <w:p>
            <w:pPr>
              <w:jc w:val="right"/>
              <w:ind w:right="276"/>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720" w:type="dxa"/>
            <w:vAlign w:val="bottom"/>
            <w:gridSpan w:val="5"/>
            <w:vMerge w:val="continue"/>
          </w:tcPr>
          <w:p>
            <w:pPr>
              <w:spacing w:after="0"/>
              <w:rPr>
                <w:sz w:val="14"/>
                <w:szCs w:val="14"/>
                <w:color w:val="auto"/>
              </w:rPr>
            </w:pPr>
          </w:p>
        </w:tc>
        <w:tc>
          <w:tcPr>
            <w:tcW w:w="280" w:type="dxa"/>
            <w:vAlign w:val="bottom"/>
          </w:tcPr>
          <w:p>
            <w:pPr>
              <w:spacing w:after="0"/>
              <w:rPr>
                <w:sz w:val="14"/>
                <w:szCs w:val="14"/>
                <w:color w:val="auto"/>
              </w:rPr>
            </w:pPr>
          </w:p>
        </w:tc>
        <w:tc>
          <w:tcPr>
            <w:tcW w:w="1360" w:type="dxa"/>
            <w:vAlign w:val="bottom"/>
            <w:gridSpan w:val="4"/>
          </w:tcPr>
          <w:p>
            <w:pPr>
              <w:jc w:val="center"/>
              <w:ind w:left="258"/>
              <w:spacing w:after="0"/>
              <w:rPr>
                <w:sz w:val="20"/>
                <w:szCs w:val="20"/>
                <w:color w:val="auto"/>
              </w:rPr>
            </w:pPr>
            <w:r>
              <w:rPr>
                <w:rFonts w:ascii="Arial" w:cs="Arial" w:eastAsia="Arial" w:hAnsi="Arial"/>
                <w:sz w:val="14"/>
                <w:szCs w:val="14"/>
                <w:b w:val="1"/>
                <w:bCs w:val="1"/>
                <w:color w:val="auto"/>
                <w:w w:val="91"/>
              </w:rPr>
              <w:t>2019 vs 2018</w:t>
            </w: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1000" w:type="dxa"/>
            <w:vAlign w:val="bottom"/>
            <w:tcBorders>
              <w:bottom w:val="single" w:sz="8" w:color="auto"/>
            </w:tcBorders>
            <w:vMerge w:val="continue"/>
          </w:tcPr>
          <w:p>
            <w:pPr>
              <w:spacing w:after="0"/>
              <w:rPr>
                <w:sz w:val="12"/>
                <w:szCs w:val="12"/>
                <w:color w:val="auto"/>
              </w:rPr>
            </w:pPr>
          </w:p>
        </w:tc>
        <w:tc>
          <w:tcPr>
            <w:tcW w:w="23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Borders>
              <w:top w:val="single" w:sz="8" w:color="auto"/>
            </w:tcBorders>
            <w:gridSpan w:val="2"/>
          </w:tcPr>
          <w:p>
            <w:pPr>
              <w:jc w:val="right"/>
              <w:ind w:right="304"/>
              <w:spacing w:after="0" w:line="142"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jc w:val="right"/>
              <w:ind w:right="296"/>
              <w:spacing w:after="0" w:line="142" w:lineRule="exact"/>
              <w:rPr>
                <w:sz w:val="20"/>
                <w:szCs w:val="20"/>
                <w:color w:val="auto"/>
              </w:rPr>
            </w:pPr>
            <w:r>
              <w:rPr>
                <w:rFonts w:ascii="Arial" w:cs="Arial" w:eastAsia="Arial" w:hAnsi="Arial"/>
                <w:sz w:val="14"/>
                <w:szCs w:val="14"/>
                <w:b w:val="1"/>
                <w:bCs w:val="1"/>
                <w:color w:val="auto"/>
              </w:rPr>
              <w:t>2018</w:t>
            </w:r>
          </w:p>
        </w:tc>
        <w:tc>
          <w:tcPr>
            <w:tcW w:w="38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ind w:right="398"/>
              <w:spacing w:after="0" w:line="142" w:lineRule="exact"/>
              <w:rPr>
                <w:sz w:val="20"/>
                <w:szCs w:val="20"/>
                <w:color w:val="auto"/>
              </w:rPr>
            </w:pPr>
            <w:r>
              <w:rPr>
                <w:rFonts w:ascii="Arial" w:cs="Arial" w:eastAsia="Arial" w:hAnsi="Arial"/>
                <w:sz w:val="14"/>
                <w:szCs w:val="14"/>
                <w:b w:val="1"/>
                <w:bCs w:val="1"/>
                <w:color w:val="auto"/>
              </w:rPr>
              <w:t>$</w:t>
            </w:r>
          </w:p>
        </w:tc>
        <w:tc>
          <w:tcPr>
            <w:tcW w:w="2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396"/>
              <w:spacing w:after="0" w:line="142"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320" w:type="dxa"/>
            <w:vAlign w:val="bottom"/>
            <w:gridSpan w:val="2"/>
            <w:vMerge w:val="restart"/>
            <w:shd w:val="clear" w:color="auto" w:fill="CFF0FC"/>
          </w:tcPr>
          <w:p>
            <w:pPr>
              <w:spacing w:after="0"/>
              <w:rPr>
                <w:sz w:val="20"/>
                <w:szCs w:val="20"/>
                <w:color w:val="auto"/>
              </w:rPr>
            </w:pPr>
            <w:r>
              <w:rPr>
                <w:rFonts w:ascii="Arial" w:cs="Arial" w:eastAsia="Arial" w:hAnsi="Arial"/>
                <w:sz w:val="17"/>
                <w:szCs w:val="17"/>
                <w:color w:val="auto"/>
              </w:rPr>
              <w:t>Service revenue</w:t>
            </w:r>
          </w:p>
        </w:tc>
        <w:tc>
          <w:tcPr>
            <w:tcW w:w="200" w:type="dxa"/>
            <w:vAlign w:val="bottom"/>
            <w:vMerge w:val="restart"/>
            <w:shd w:val="clear" w:color="auto" w:fill="CFF0FC"/>
          </w:tcPr>
          <w:p>
            <w:pPr>
              <w:spacing w:after="0" w:line="20" w:lineRule="exact"/>
              <w:rPr>
                <w:sz w:val="1"/>
                <w:szCs w:val="1"/>
                <w:color w:val="auto"/>
              </w:rPr>
            </w:pPr>
          </w:p>
        </w:tc>
        <w:tc>
          <w:tcPr>
            <w:tcW w:w="260" w:type="dxa"/>
            <w:vAlign w:val="bottom"/>
            <w:tcBorders>
              <w:left w:val="single" w:sz="8" w:color="auto"/>
            </w:tcBorders>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20" w:type="dxa"/>
            <w:vAlign w:val="bottom"/>
            <w:tcBorders>
              <w:right w:val="single" w:sz="8" w:color="auto"/>
            </w:tcBorders>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80" w:type="dxa"/>
            <w:vAlign w:val="bottom"/>
            <w:tcBorders>
              <w:left w:val="single" w:sz="8" w:color="CFF0FC"/>
              <w:right w:val="single" w:sz="8" w:color="auto"/>
            </w:tcBorders>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 w:type="dxa"/>
            <w:vAlign w:val="bottom"/>
            <w:shd w:val="clear" w:color="auto" w:fill="CFF0FC"/>
          </w:tcPr>
          <w:p>
            <w:pPr>
              <w:spacing w:after="0" w:line="20" w:lineRule="exact"/>
              <w:rPr>
                <w:sz w:val="1"/>
                <w:szCs w:val="1"/>
                <w:color w:val="auto"/>
              </w:rPr>
            </w:pPr>
          </w:p>
        </w:tc>
        <w:tc>
          <w:tcPr>
            <w:tcW w:w="260" w:type="dxa"/>
            <w:vAlign w:val="bottom"/>
            <w:tcBorders>
              <w:right w:val="single" w:sz="8" w:color="auto"/>
            </w:tcBorders>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00" w:type="dxa"/>
            <w:vAlign w:val="bottom"/>
            <w:tcBorders>
              <w:right w:val="single" w:sz="8" w:color="CFF0FC"/>
            </w:tcBorders>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320" w:type="dxa"/>
            <w:vAlign w:val="bottom"/>
            <w:gridSpan w:val="2"/>
            <w:vMerge w:val="continue"/>
            <w:shd w:val="clear" w:color="auto" w:fill="CFF0FC"/>
          </w:tcPr>
          <w:p>
            <w:pPr>
              <w:spacing w:after="0"/>
              <w:rPr>
                <w:sz w:val="17"/>
                <w:szCs w:val="17"/>
                <w:color w:val="auto"/>
              </w:rPr>
            </w:pPr>
          </w:p>
        </w:tc>
        <w:tc>
          <w:tcPr>
            <w:tcW w:w="200" w:type="dxa"/>
            <w:vAlign w:val="bottom"/>
            <w:vMerge w:val="continue"/>
            <w:shd w:val="clear" w:color="auto" w:fill="CFF0FC"/>
          </w:tcPr>
          <w:p>
            <w:pPr>
              <w:spacing w:after="0"/>
              <w:rPr>
                <w:sz w:val="17"/>
                <w:szCs w:val="17"/>
                <w:color w:val="auto"/>
              </w:rPr>
            </w:pPr>
          </w:p>
        </w:tc>
        <w:tc>
          <w:tcPr>
            <w:tcW w:w="260" w:type="dxa"/>
            <w:vAlign w:val="bottom"/>
            <w:tcBorders>
              <w:left w:val="single" w:sz="8" w:color="CFF0FC"/>
            </w:tcBorders>
            <w:shd w:val="clear" w:color="auto" w:fill="CFF0FC"/>
          </w:tcPr>
          <w:p>
            <w:pPr>
              <w:jc w:val="right"/>
              <w:ind w:right="100"/>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103,057</w:t>
            </w: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60" w:type="dxa"/>
            <w:vAlign w:val="bottom"/>
            <w:gridSpan w:val="2"/>
            <w:shd w:val="clear" w:color="auto" w:fill="CFF0FC"/>
          </w:tcPr>
          <w:p>
            <w:pPr>
              <w:jc w:val="right"/>
              <w:ind w:right="90"/>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97,044</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60" w:type="dxa"/>
            <w:vAlign w:val="bottom"/>
            <w:tcBorders>
              <w:right w:val="single" w:sz="8" w:color="CFF0FC"/>
            </w:tcBorders>
            <w:gridSpan w:val="4"/>
            <w:shd w:val="clear" w:color="auto" w:fill="CFF0FC"/>
          </w:tcPr>
          <w:p>
            <w:pPr>
              <w:jc w:val="right"/>
              <w:ind w:right="280"/>
              <w:spacing w:after="0"/>
              <w:rPr>
                <w:sz w:val="20"/>
                <w:szCs w:val="20"/>
                <w:color w:val="auto"/>
              </w:rPr>
            </w:pPr>
            <w:r>
              <w:rPr>
                <w:rFonts w:ascii="Arial" w:cs="Arial" w:eastAsia="Arial" w:hAnsi="Arial"/>
                <w:sz w:val="17"/>
                <w:szCs w:val="17"/>
                <w:color w:val="auto"/>
              </w:rPr>
              <w:t>94.1%</w:t>
            </w:r>
          </w:p>
        </w:tc>
        <w:tc>
          <w:tcPr>
            <w:tcW w:w="1360" w:type="dxa"/>
            <w:vAlign w:val="bottom"/>
            <w:tcBorders>
              <w:right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98.8%</w:t>
            </w:r>
          </w:p>
        </w:tc>
        <w:tc>
          <w:tcPr>
            <w:tcW w:w="280" w:type="dxa"/>
            <w:vAlign w:val="bottom"/>
            <w:shd w:val="clear" w:color="auto" w:fill="CFF0FC"/>
          </w:tcPr>
          <w:p>
            <w:pPr>
              <w:jc w:val="right"/>
              <w:ind w:right="158"/>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6,013</w:t>
            </w:r>
          </w:p>
        </w:tc>
        <w:tc>
          <w:tcPr>
            <w:tcW w:w="20" w:type="dxa"/>
            <w:vAlign w:val="bottom"/>
            <w:shd w:val="clear" w:color="auto" w:fill="CFF0FC"/>
          </w:tcPr>
          <w:p>
            <w:pPr>
              <w:spacing w:after="0"/>
              <w:rPr>
                <w:sz w:val="17"/>
                <w:szCs w:val="17"/>
                <w:color w:val="auto"/>
              </w:rPr>
            </w:pPr>
          </w:p>
        </w:tc>
        <w:tc>
          <w:tcPr>
            <w:tcW w:w="260" w:type="dxa"/>
            <w:vAlign w:val="bottom"/>
            <w:tcBorders>
              <w:right w:val="single" w:sz="8" w:color="CFF0FC"/>
            </w:tcBorders>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6.2%</w:t>
            </w:r>
          </w:p>
        </w:tc>
        <w:tc>
          <w:tcPr>
            <w:tcW w:w="0" w:type="dxa"/>
            <w:vAlign w:val="bottom"/>
          </w:tcPr>
          <w:p>
            <w:pPr>
              <w:spacing w:after="0"/>
              <w:rPr>
                <w:sz w:val="1"/>
                <w:szCs w:val="1"/>
                <w:color w:val="auto"/>
              </w:rPr>
            </w:pPr>
          </w:p>
        </w:tc>
      </w:tr>
      <w:tr>
        <w:trPr>
          <w:trHeight w:val="216"/>
        </w:trPr>
        <w:tc>
          <w:tcPr>
            <w:tcW w:w="3320" w:type="dxa"/>
            <w:vAlign w:val="bottom"/>
            <w:gridSpan w:val="2"/>
          </w:tcPr>
          <w:p>
            <w:pPr>
              <w:spacing w:after="0"/>
              <w:rPr>
                <w:sz w:val="20"/>
                <w:szCs w:val="20"/>
                <w:color w:val="auto"/>
              </w:rPr>
            </w:pPr>
            <w:r>
              <w:rPr>
                <w:rFonts w:ascii="Arial" w:cs="Arial" w:eastAsia="Arial" w:hAnsi="Arial"/>
                <w:sz w:val="17"/>
                <w:szCs w:val="17"/>
                <w:color w:val="auto"/>
              </w:rPr>
              <w:t>Product sales</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6,518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1,153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4"/>
          </w:tcPr>
          <w:p>
            <w:pPr>
              <w:jc w:val="right"/>
              <w:ind w:right="280"/>
              <w:spacing w:after="0"/>
              <w:rPr>
                <w:sz w:val="20"/>
                <w:szCs w:val="20"/>
                <w:color w:val="auto"/>
              </w:rPr>
            </w:pPr>
            <w:r>
              <w:rPr>
                <w:rFonts w:ascii="Arial" w:cs="Arial" w:eastAsia="Arial" w:hAnsi="Arial"/>
                <w:sz w:val="17"/>
                <w:szCs w:val="17"/>
                <w:color w:val="auto"/>
              </w:rPr>
              <w:t>5.9%</w:t>
            </w:r>
          </w:p>
        </w:tc>
        <w:tc>
          <w:tcPr>
            <w:tcW w:w="1360" w:type="dxa"/>
            <w:vAlign w:val="bottom"/>
            <w:gridSpan w:val="2"/>
          </w:tcPr>
          <w:p>
            <w:pPr>
              <w:jc w:val="right"/>
              <w:ind w:right="240"/>
              <w:spacing w:after="0"/>
              <w:rPr>
                <w:sz w:val="20"/>
                <w:szCs w:val="20"/>
                <w:color w:val="auto"/>
              </w:rPr>
            </w:pPr>
            <w:r>
              <w:rPr>
                <w:rFonts w:ascii="Arial" w:cs="Arial" w:eastAsia="Arial" w:hAnsi="Arial"/>
                <w:sz w:val="17"/>
                <w:szCs w:val="17"/>
                <w:color w:val="auto"/>
              </w:rPr>
              <w:t>1.2%</w:t>
            </w:r>
          </w:p>
        </w:tc>
        <w:tc>
          <w:tcPr>
            <w:tcW w:w="2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5,365</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7"/>
                <w:szCs w:val="17"/>
                <w:color w:val="auto"/>
              </w:rPr>
              <w:t>465.3%</w:t>
            </w:r>
          </w:p>
        </w:tc>
        <w:tc>
          <w:tcPr>
            <w:tcW w:w="0" w:type="dxa"/>
            <w:vAlign w:val="bottom"/>
          </w:tcPr>
          <w:p>
            <w:pPr>
              <w:spacing w:after="0"/>
              <w:rPr>
                <w:sz w:val="1"/>
                <w:szCs w:val="1"/>
                <w:color w:val="auto"/>
              </w:rPr>
            </w:pPr>
          </w:p>
        </w:tc>
      </w:tr>
      <w:tr>
        <w:trPr>
          <w:trHeight w:val="20"/>
        </w:trPr>
        <w:tc>
          <w:tcPr>
            <w:tcW w:w="3320" w:type="dxa"/>
            <w:vAlign w:val="bottom"/>
            <w:gridSpan w:val="2"/>
            <w:vMerge w:val="restart"/>
            <w:shd w:val="clear" w:color="auto" w:fill="CFF0FC"/>
          </w:tcPr>
          <w:p>
            <w:pPr>
              <w:ind w:left="260"/>
              <w:spacing w:after="0"/>
              <w:rPr>
                <w:sz w:val="20"/>
                <w:szCs w:val="20"/>
                <w:color w:val="auto"/>
              </w:rPr>
            </w:pPr>
            <w:r>
              <w:rPr>
                <w:rFonts w:ascii="Arial" w:cs="Arial" w:eastAsia="Arial" w:hAnsi="Arial"/>
                <w:sz w:val="17"/>
                <w:szCs w:val="17"/>
                <w:color w:val="auto"/>
              </w:rPr>
              <w:t>Total revenue</w:t>
            </w:r>
          </w:p>
        </w:tc>
        <w:tc>
          <w:tcPr>
            <w:tcW w:w="200" w:type="dxa"/>
            <w:vAlign w:val="bottom"/>
            <w:shd w:val="clear" w:color="auto" w:fill="CFF0FC"/>
          </w:tcPr>
          <w:p>
            <w:pPr>
              <w:spacing w:after="0" w:line="20" w:lineRule="exact"/>
              <w:rPr>
                <w:sz w:val="1"/>
                <w:szCs w:val="1"/>
                <w:color w:val="auto"/>
              </w:rPr>
            </w:pPr>
          </w:p>
        </w:tc>
        <w:tc>
          <w:tcPr>
            <w:tcW w:w="260" w:type="dxa"/>
            <w:vAlign w:val="bottom"/>
            <w:tcBorders>
              <w:left w:val="single" w:sz="8" w:color="auto"/>
            </w:tcBorders>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20" w:type="dxa"/>
            <w:vAlign w:val="bottom"/>
            <w:tcBorders>
              <w:right w:val="single" w:sz="8" w:color="auto"/>
            </w:tcBorders>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80" w:type="dxa"/>
            <w:vAlign w:val="bottom"/>
            <w:tcBorders>
              <w:left w:val="single" w:sz="8" w:color="CFF0FC"/>
              <w:right w:val="single" w:sz="8" w:color="auto"/>
            </w:tcBorders>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 w:type="dxa"/>
            <w:vAlign w:val="bottom"/>
            <w:shd w:val="clear" w:color="auto" w:fill="CFF0FC"/>
          </w:tcPr>
          <w:p>
            <w:pPr>
              <w:spacing w:after="0" w:line="20" w:lineRule="exact"/>
              <w:rPr>
                <w:sz w:val="1"/>
                <w:szCs w:val="1"/>
                <w:color w:val="auto"/>
              </w:rPr>
            </w:pPr>
          </w:p>
        </w:tc>
        <w:tc>
          <w:tcPr>
            <w:tcW w:w="260" w:type="dxa"/>
            <w:vAlign w:val="bottom"/>
            <w:tcBorders>
              <w:right w:val="single" w:sz="8" w:color="CFF0FC"/>
            </w:tcBorders>
            <w:shd w:val="clear" w:color="auto" w:fill="CFF0FC"/>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880" w:type="dxa"/>
            <w:vAlign w:val="bottom"/>
            <w:gridSpan w:val="2"/>
            <w:vMerge w:val="restart"/>
            <w:shd w:val="clear" w:color="auto" w:fill="CFF0FC"/>
          </w:tcPr>
          <w:p>
            <w:pPr>
              <w:jc w:val="right"/>
              <w:ind w:right="80"/>
              <w:spacing w:after="0"/>
              <w:rPr>
                <w:sz w:val="20"/>
                <w:szCs w:val="20"/>
                <w:color w:val="auto"/>
              </w:rPr>
            </w:pPr>
            <w:r>
              <w:rPr>
                <w:rFonts w:ascii="Arial" w:cs="Arial" w:eastAsia="Arial" w:hAnsi="Arial"/>
                <w:sz w:val="17"/>
                <w:szCs w:val="17"/>
                <w:color w:val="auto"/>
              </w:rPr>
              <w:t>11.6%</w:t>
            </w:r>
          </w:p>
        </w:tc>
        <w:tc>
          <w:tcPr>
            <w:tcW w:w="0" w:type="dxa"/>
            <w:vAlign w:val="bottom"/>
          </w:tcPr>
          <w:p>
            <w:pPr>
              <w:spacing w:after="0" w:line="20" w:lineRule="exact"/>
              <w:rPr>
                <w:sz w:val="1"/>
                <w:szCs w:val="1"/>
                <w:color w:val="auto"/>
              </w:rPr>
            </w:pPr>
          </w:p>
        </w:tc>
      </w:tr>
      <w:tr>
        <w:trPr>
          <w:trHeight w:val="210"/>
        </w:trPr>
        <w:tc>
          <w:tcPr>
            <w:tcW w:w="3320" w:type="dxa"/>
            <w:vAlign w:val="bottom"/>
            <w:gridSpan w:val="2"/>
            <w:vMerge w:val="continue"/>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60" w:type="dxa"/>
            <w:vAlign w:val="bottom"/>
            <w:tcBorders>
              <w:left w:val="single" w:sz="8" w:color="CFF0FC"/>
            </w:tcBorders>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109,575</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98,197</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60" w:type="dxa"/>
            <w:vAlign w:val="bottom"/>
            <w:tcBorders>
              <w:right w:val="single" w:sz="8" w:color="CFF0FC"/>
            </w:tcBorders>
            <w:gridSpan w:val="4"/>
            <w:shd w:val="clear" w:color="auto" w:fill="CFF0FC"/>
          </w:tcPr>
          <w:p>
            <w:pPr>
              <w:jc w:val="right"/>
              <w:ind w:right="280"/>
              <w:spacing w:after="0"/>
              <w:rPr>
                <w:sz w:val="20"/>
                <w:szCs w:val="20"/>
                <w:color w:val="auto"/>
              </w:rPr>
            </w:pPr>
            <w:r>
              <w:rPr>
                <w:rFonts w:ascii="Arial" w:cs="Arial" w:eastAsia="Arial" w:hAnsi="Arial"/>
                <w:sz w:val="17"/>
                <w:szCs w:val="17"/>
                <w:color w:val="auto"/>
              </w:rPr>
              <w:t>100.0%</w:t>
            </w:r>
          </w:p>
        </w:tc>
        <w:tc>
          <w:tcPr>
            <w:tcW w:w="1360" w:type="dxa"/>
            <w:vAlign w:val="bottom"/>
            <w:tcBorders>
              <w:right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100.0%</w:t>
            </w:r>
          </w:p>
        </w:tc>
        <w:tc>
          <w:tcPr>
            <w:tcW w:w="28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11,378</w:t>
            </w:r>
          </w:p>
        </w:tc>
        <w:tc>
          <w:tcPr>
            <w:tcW w:w="20" w:type="dxa"/>
            <w:vAlign w:val="bottom"/>
            <w:shd w:val="clear" w:color="auto" w:fill="CFF0FC"/>
          </w:tcPr>
          <w:p>
            <w:pPr>
              <w:spacing w:after="0"/>
              <w:rPr>
                <w:sz w:val="18"/>
                <w:szCs w:val="18"/>
                <w:color w:val="auto"/>
              </w:rPr>
            </w:pPr>
          </w:p>
        </w:tc>
        <w:tc>
          <w:tcPr>
            <w:tcW w:w="260" w:type="dxa"/>
            <w:vAlign w:val="bottom"/>
            <w:tcBorders>
              <w:right w:val="single" w:sz="8" w:color="CFF0FC"/>
            </w:tcBorders>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80" w:type="dxa"/>
            <w:vAlign w:val="bottom"/>
            <w:gridSpan w:val="2"/>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20" w:type="dxa"/>
            <w:vAlign w:val="bottom"/>
            <w:gridSpan w:val="2"/>
          </w:tcPr>
          <w:p>
            <w:pPr>
              <w:spacing w:after="0"/>
              <w:rPr>
                <w:sz w:val="20"/>
                <w:szCs w:val="20"/>
                <w:color w:val="auto"/>
              </w:rPr>
            </w:pPr>
            <w:r>
              <w:rPr>
                <w:rFonts w:ascii="Arial" w:cs="Arial" w:eastAsia="Arial" w:hAnsi="Arial"/>
                <w:sz w:val="17"/>
                <w:szCs w:val="17"/>
                <w:color w:val="auto"/>
              </w:rPr>
              <w:t>Cost of service revenue</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1,613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1,651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4"/>
          </w:tcPr>
          <w:p>
            <w:pPr>
              <w:jc w:val="right"/>
              <w:ind w:right="280"/>
              <w:spacing w:after="0"/>
              <w:rPr>
                <w:sz w:val="20"/>
                <w:szCs w:val="20"/>
                <w:color w:val="auto"/>
              </w:rPr>
            </w:pPr>
            <w:r>
              <w:rPr>
                <w:rFonts w:ascii="Arial" w:cs="Arial" w:eastAsia="Arial" w:hAnsi="Arial"/>
                <w:sz w:val="17"/>
                <w:szCs w:val="17"/>
                <w:color w:val="auto"/>
              </w:rPr>
              <w:t>1.5%</w:t>
            </w:r>
          </w:p>
        </w:tc>
        <w:tc>
          <w:tcPr>
            <w:tcW w:w="1360" w:type="dxa"/>
            <w:vAlign w:val="bottom"/>
            <w:gridSpan w:val="2"/>
          </w:tcPr>
          <w:p>
            <w:pPr>
              <w:jc w:val="right"/>
              <w:ind w:right="240"/>
              <w:spacing w:after="0"/>
              <w:rPr>
                <w:sz w:val="20"/>
                <w:szCs w:val="20"/>
                <w:color w:val="auto"/>
              </w:rPr>
            </w:pPr>
            <w:r>
              <w:rPr>
                <w:rFonts w:ascii="Arial" w:cs="Arial" w:eastAsia="Arial" w:hAnsi="Arial"/>
                <w:sz w:val="17"/>
                <w:szCs w:val="17"/>
                <w:color w:val="auto"/>
              </w:rPr>
              <w:t>1.7%</w:t>
            </w:r>
          </w:p>
        </w:tc>
        <w:tc>
          <w:tcPr>
            <w:tcW w:w="280" w:type="dxa"/>
            <w:vAlign w:val="bottom"/>
          </w:tcPr>
          <w:p>
            <w:pPr>
              <w:spacing w:after="0"/>
              <w:rPr>
                <w:sz w:val="18"/>
                <w:szCs w:val="18"/>
                <w:color w:val="auto"/>
              </w:rPr>
            </w:pPr>
          </w:p>
        </w:tc>
        <w:tc>
          <w:tcPr>
            <w:tcW w:w="1020" w:type="dxa"/>
            <w:vAlign w:val="bottom"/>
            <w:gridSpan w:val="3"/>
          </w:tcPr>
          <w:p>
            <w:pPr>
              <w:jc w:val="right"/>
              <w:ind w:right="220"/>
              <w:spacing w:after="0"/>
              <w:rPr>
                <w:sz w:val="20"/>
                <w:szCs w:val="20"/>
                <w:color w:val="auto"/>
              </w:rPr>
            </w:pPr>
            <w:r>
              <w:rPr>
                <w:rFonts w:ascii="Arial" w:cs="Arial" w:eastAsia="Arial" w:hAnsi="Arial"/>
                <w:sz w:val="17"/>
                <w:szCs w:val="17"/>
                <w:color w:val="auto"/>
              </w:rPr>
              <w:t>(38)</w:t>
            </w:r>
          </w:p>
        </w:tc>
        <w:tc>
          <w:tcPr>
            <w:tcW w:w="34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7"/>
                <w:szCs w:val="17"/>
                <w:color w:val="auto"/>
              </w:rPr>
              <w:t>(2.3)%</w:t>
            </w:r>
          </w:p>
        </w:tc>
        <w:tc>
          <w:tcPr>
            <w:tcW w:w="0" w:type="dxa"/>
            <w:vAlign w:val="bottom"/>
          </w:tcPr>
          <w:p>
            <w:pPr>
              <w:spacing w:after="0"/>
              <w:rPr>
                <w:sz w:val="1"/>
                <w:szCs w:val="1"/>
                <w:color w:val="auto"/>
              </w:rPr>
            </w:pPr>
          </w:p>
        </w:tc>
      </w:tr>
      <w:tr>
        <w:trPr>
          <w:trHeight w:val="216"/>
        </w:trPr>
        <w:tc>
          <w:tcPr>
            <w:tcW w:w="332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Cost of product sales</w:t>
            </w:r>
          </w:p>
        </w:tc>
        <w:tc>
          <w:tcPr>
            <w:tcW w:w="200" w:type="dxa"/>
            <w:vAlign w:val="bottom"/>
            <w:shd w:val="clear" w:color="auto" w:fill="CFF0FC"/>
          </w:tcPr>
          <w:p>
            <w:pPr>
              <w:spacing w:after="0"/>
              <w:rPr>
                <w:sz w:val="18"/>
                <w:szCs w:val="18"/>
                <w:color w:val="auto"/>
              </w:rPr>
            </w:pPr>
          </w:p>
        </w:tc>
        <w:tc>
          <w:tcPr>
            <w:tcW w:w="260" w:type="dxa"/>
            <w:vAlign w:val="bottom"/>
            <w:tcBorders>
              <w:left w:val="single" w:sz="8" w:color="CFF0FC"/>
            </w:tcBorders>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2,918</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878</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60" w:type="dxa"/>
            <w:vAlign w:val="bottom"/>
            <w:tcBorders>
              <w:right w:val="single" w:sz="8" w:color="CFF0FC"/>
            </w:tcBorders>
            <w:gridSpan w:val="4"/>
            <w:shd w:val="clear" w:color="auto" w:fill="CFF0FC"/>
          </w:tcPr>
          <w:p>
            <w:pPr>
              <w:jc w:val="right"/>
              <w:ind w:right="280"/>
              <w:spacing w:after="0"/>
              <w:rPr>
                <w:sz w:val="20"/>
                <w:szCs w:val="20"/>
                <w:color w:val="auto"/>
              </w:rPr>
            </w:pPr>
            <w:r>
              <w:rPr>
                <w:rFonts w:ascii="Arial" w:cs="Arial" w:eastAsia="Arial" w:hAnsi="Arial"/>
                <w:sz w:val="17"/>
                <w:szCs w:val="17"/>
                <w:color w:val="auto"/>
              </w:rPr>
              <w:t>2.7%</w:t>
            </w:r>
          </w:p>
        </w:tc>
        <w:tc>
          <w:tcPr>
            <w:tcW w:w="1360" w:type="dxa"/>
            <w:vAlign w:val="bottom"/>
            <w:tcBorders>
              <w:right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0.9%</w:t>
            </w:r>
          </w:p>
        </w:tc>
        <w:tc>
          <w:tcPr>
            <w:tcW w:w="28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2,040</w:t>
            </w:r>
          </w:p>
        </w:tc>
        <w:tc>
          <w:tcPr>
            <w:tcW w:w="20" w:type="dxa"/>
            <w:vAlign w:val="bottom"/>
            <w:shd w:val="clear" w:color="auto" w:fill="CFF0FC"/>
          </w:tcPr>
          <w:p>
            <w:pPr>
              <w:spacing w:after="0"/>
              <w:rPr>
                <w:sz w:val="18"/>
                <w:szCs w:val="18"/>
                <w:color w:val="auto"/>
              </w:rPr>
            </w:pPr>
          </w:p>
        </w:tc>
        <w:tc>
          <w:tcPr>
            <w:tcW w:w="260" w:type="dxa"/>
            <w:vAlign w:val="bottom"/>
            <w:tcBorders>
              <w:right w:val="single" w:sz="8" w:color="CFF0FC"/>
            </w:tcBorders>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232.3%</w:t>
            </w:r>
          </w:p>
        </w:tc>
        <w:tc>
          <w:tcPr>
            <w:tcW w:w="0" w:type="dxa"/>
            <w:vAlign w:val="bottom"/>
          </w:tcPr>
          <w:p>
            <w:pPr>
              <w:spacing w:after="0"/>
              <w:rPr>
                <w:sz w:val="1"/>
                <w:szCs w:val="1"/>
                <w:color w:val="auto"/>
              </w:rPr>
            </w:pPr>
          </w:p>
        </w:tc>
      </w:tr>
      <w:tr>
        <w:trPr>
          <w:trHeight w:val="216"/>
        </w:trPr>
        <w:tc>
          <w:tcPr>
            <w:tcW w:w="3320" w:type="dxa"/>
            <w:vAlign w:val="bottom"/>
            <w:gridSpan w:val="2"/>
          </w:tcPr>
          <w:p>
            <w:pPr>
              <w:spacing w:after="0"/>
              <w:rPr>
                <w:sz w:val="20"/>
                <w:szCs w:val="20"/>
                <w:color w:val="auto"/>
              </w:rPr>
            </w:pPr>
            <w:r>
              <w:rPr>
                <w:rFonts w:ascii="Arial" w:cs="Arial" w:eastAsia="Arial" w:hAnsi="Arial"/>
                <w:sz w:val="17"/>
                <w:szCs w:val="17"/>
                <w:color w:val="auto"/>
              </w:rPr>
              <w:t>Operating expenses</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31,795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28,800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4"/>
          </w:tcPr>
          <w:p>
            <w:pPr>
              <w:jc w:val="right"/>
              <w:ind w:right="280"/>
              <w:spacing w:after="0"/>
              <w:rPr>
                <w:sz w:val="20"/>
                <w:szCs w:val="20"/>
                <w:color w:val="auto"/>
              </w:rPr>
            </w:pPr>
            <w:r>
              <w:rPr>
                <w:rFonts w:ascii="Arial" w:cs="Arial" w:eastAsia="Arial" w:hAnsi="Arial"/>
                <w:sz w:val="17"/>
                <w:szCs w:val="17"/>
                <w:color w:val="auto"/>
              </w:rPr>
              <w:t>29.0%</w:t>
            </w:r>
          </w:p>
        </w:tc>
        <w:tc>
          <w:tcPr>
            <w:tcW w:w="1360" w:type="dxa"/>
            <w:vAlign w:val="bottom"/>
            <w:gridSpan w:val="2"/>
          </w:tcPr>
          <w:p>
            <w:pPr>
              <w:jc w:val="right"/>
              <w:ind w:right="240"/>
              <w:spacing w:after="0"/>
              <w:rPr>
                <w:sz w:val="20"/>
                <w:szCs w:val="20"/>
                <w:color w:val="auto"/>
              </w:rPr>
            </w:pPr>
            <w:r>
              <w:rPr>
                <w:rFonts w:ascii="Arial" w:cs="Arial" w:eastAsia="Arial" w:hAnsi="Arial"/>
                <w:sz w:val="17"/>
                <w:szCs w:val="17"/>
                <w:color w:val="auto"/>
              </w:rPr>
              <w:t>29.3%</w:t>
            </w:r>
          </w:p>
        </w:tc>
        <w:tc>
          <w:tcPr>
            <w:tcW w:w="2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2,995</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7"/>
                <w:szCs w:val="17"/>
                <w:color w:val="auto"/>
              </w:rPr>
              <w:t>10.4%</w:t>
            </w:r>
          </w:p>
        </w:tc>
        <w:tc>
          <w:tcPr>
            <w:tcW w:w="0" w:type="dxa"/>
            <w:vAlign w:val="bottom"/>
          </w:tcPr>
          <w:p>
            <w:pPr>
              <w:spacing w:after="0"/>
              <w:rPr>
                <w:sz w:val="1"/>
                <w:szCs w:val="1"/>
                <w:color w:val="auto"/>
              </w:rPr>
            </w:pPr>
          </w:p>
        </w:tc>
      </w:tr>
      <w:tr>
        <w:trPr>
          <w:trHeight w:val="216"/>
        </w:trPr>
        <w:tc>
          <w:tcPr>
            <w:tcW w:w="3320" w:type="dxa"/>
            <w:vAlign w:val="bottom"/>
            <w:gridSpan w:val="2"/>
            <w:shd w:val="clear" w:color="auto" w:fill="CFF0FC"/>
          </w:tcPr>
          <w:p>
            <w:pPr>
              <w:spacing w:after="0"/>
              <w:rPr>
                <w:sz w:val="20"/>
                <w:szCs w:val="20"/>
                <w:color w:val="auto"/>
              </w:rPr>
            </w:pPr>
            <w:r>
              <w:rPr>
                <w:rFonts w:ascii="Arial" w:cs="Arial" w:eastAsia="Arial" w:hAnsi="Arial"/>
                <w:sz w:val="17"/>
                <w:szCs w:val="17"/>
                <w:color w:val="auto"/>
                <w:w w:val="97"/>
              </w:rPr>
              <w:t>Selling, general and administrative expenses</w:t>
            </w:r>
          </w:p>
        </w:tc>
        <w:tc>
          <w:tcPr>
            <w:tcW w:w="200" w:type="dxa"/>
            <w:vAlign w:val="bottom"/>
            <w:shd w:val="clear" w:color="auto" w:fill="CFF0FC"/>
          </w:tcPr>
          <w:p>
            <w:pPr>
              <w:spacing w:after="0"/>
              <w:rPr>
                <w:sz w:val="18"/>
                <w:szCs w:val="18"/>
                <w:color w:val="auto"/>
              </w:rPr>
            </w:pPr>
          </w:p>
        </w:tc>
        <w:tc>
          <w:tcPr>
            <w:tcW w:w="260" w:type="dxa"/>
            <w:vAlign w:val="bottom"/>
            <w:tcBorders>
              <w:left w:val="single" w:sz="8" w:color="CFF0FC"/>
            </w:tcBorders>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20,865</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27,588</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60" w:type="dxa"/>
            <w:vAlign w:val="bottom"/>
            <w:tcBorders>
              <w:right w:val="single" w:sz="8" w:color="CFF0FC"/>
            </w:tcBorders>
            <w:gridSpan w:val="4"/>
            <w:shd w:val="clear" w:color="auto" w:fill="CFF0FC"/>
          </w:tcPr>
          <w:p>
            <w:pPr>
              <w:jc w:val="right"/>
              <w:ind w:right="280"/>
              <w:spacing w:after="0"/>
              <w:rPr>
                <w:sz w:val="20"/>
                <w:szCs w:val="20"/>
                <w:color w:val="auto"/>
              </w:rPr>
            </w:pPr>
            <w:r>
              <w:rPr>
                <w:rFonts w:ascii="Arial" w:cs="Arial" w:eastAsia="Arial" w:hAnsi="Arial"/>
                <w:sz w:val="17"/>
                <w:szCs w:val="17"/>
                <w:color w:val="auto"/>
              </w:rPr>
              <w:t>19.0%</w:t>
            </w:r>
          </w:p>
        </w:tc>
        <w:tc>
          <w:tcPr>
            <w:tcW w:w="1360" w:type="dxa"/>
            <w:vAlign w:val="bottom"/>
            <w:tcBorders>
              <w:right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28.1%</w:t>
            </w:r>
          </w:p>
        </w:tc>
        <w:tc>
          <w:tcPr>
            <w:tcW w:w="280" w:type="dxa"/>
            <w:vAlign w:val="bottom"/>
            <w:shd w:val="clear" w:color="auto" w:fill="CFF0FC"/>
          </w:tcPr>
          <w:p>
            <w:pPr>
              <w:spacing w:after="0"/>
              <w:rPr>
                <w:sz w:val="18"/>
                <w:szCs w:val="18"/>
                <w:color w:val="auto"/>
              </w:rPr>
            </w:pPr>
          </w:p>
        </w:tc>
        <w:tc>
          <w:tcPr>
            <w:tcW w:w="1020" w:type="dxa"/>
            <w:vAlign w:val="bottom"/>
            <w:tcBorders>
              <w:right w:val="single" w:sz="8" w:color="CFF0FC"/>
            </w:tcBorders>
            <w:gridSpan w:val="3"/>
            <w:shd w:val="clear" w:color="auto" w:fill="CFF0FC"/>
          </w:tcPr>
          <w:p>
            <w:pPr>
              <w:jc w:val="right"/>
              <w:ind w:right="220"/>
              <w:spacing w:after="0"/>
              <w:rPr>
                <w:sz w:val="20"/>
                <w:szCs w:val="20"/>
                <w:color w:val="auto"/>
              </w:rPr>
            </w:pPr>
            <w:r>
              <w:rPr>
                <w:rFonts w:ascii="Arial" w:cs="Arial" w:eastAsia="Arial" w:hAnsi="Arial"/>
                <w:sz w:val="17"/>
                <w:szCs w:val="17"/>
                <w:color w:val="auto"/>
              </w:rPr>
              <w:t>(6,723)</w:t>
            </w:r>
          </w:p>
        </w:tc>
        <w:tc>
          <w:tcPr>
            <w:tcW w:w="34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(24.4)%</w:t>
            </w:r>
          </w:p>
        </w:tc>
        <w:tc>
          <w:tcPr>
            <w:tcW w:w="0" w:type="dxa"/>
            <w:vAlign w:val="bottom"/>
          </w:tcPr>
          <w:p>
            <w:pPr>
              <w:spacing w:after="0"/>
              <w:rPr>
                <w:sz w:val="1"/>
                <w:szCs w:val="1"/>
                <w:color w:val="auto"/>
              </w:rPr>
            </w:pPr>
          </w:p>
        </w:tc>
      </w:tr>
      <w:tr>
        <w:trPr>
          <w:trHeight w:val="198"/>
        </w:trPr>
        <w:tc>
          <w:tcPr>
            <w:tcW w:w="3320" w:type="dxa"/>
            <w:vAlign w:val="bottom"/>
            <w:gridSpan w:val="2"/>
          </w:tcPr>
          <w:p>
            <w:pPr>
              <w:spacing w:after="0"/>
              <w:rPr>
                <w:sz w:val="20"/>
                <w:szCs w:val="20"/>
                <w:color w:val="auto"/>
              </w:rPr>
            </w:pPr>
            <w:r>
              <w:rPr>
                <w:rFonts w:ascii="Arial" w:cs="Arial" w:eastAsia="Arial" w:hAnsi="Arial"/>
                <w:sz w:val="17"/>
                <w:szCs w:val="17"/>
                <w:color w:val="auto"/>
                <w:w w:val="97"/>
              </w:rPr>
              <w:t>Depreciation, amortization and (gain) loss on</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320" w:type="dxa"/>
            <w:vAlign w:val="bottom"/>
            <w:gridSpan w:val="2"/>
          </w:tcPr>
          <w:p>
            <w:pPr>
              <w:spacing w:after="0"/>
              <w:rPr>
                <w:sz w:val="20"/>
                <w:szCs w:val="20"/>
                <w:color w:val="auto"/>
              </w:rPr>
            </w:pPr>
            <w:r>
              <w:rPr>
                <w:rFonts w:ascii="Arial" w:cs="Arial" w:eastAsia="Arial" w:hAnsi="Arial"/>
                <w:sz w:val="17"/>
                <w:szCs w:val="17"/>
                <w:color w:val="auto"/>
              </w:rPr>
              <w:t>disposal of assets, net</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28,850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27,496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4"/>
          </w:tcPr>
          <w:p>
            <w:pPr>
              <w:jc w:val="right"/>
              <w:ind w:right="280"/>
              <w:spacing w:after="0"/>
              <w:rPr>
                <w:sz w:val="20"/>
                <w:szCs w:val="20"/>
                <w:color w:val="auto"/>
              </w:rPr>
            </w:pPr>
            <w:r>
              <w:rPr>
                <w:rFonts w:ascii="Arial" w:cs="Arial" w:eastAsia="Arial" w:hAnsi="Arial"/>
                <w:sz w:val="17"/>
                <w:szCs w:val="17"/>
                <w:color w:val="auto"/>
              </w:rPr>
              <w:t>26.3%</w:t>
            </w:r>
          </w:p>
        </w:tc>
        <w:tc>
          <w:tcPr>
            <w:tcW w:w="1360" w:type="dxa"/>
            <w:vAlign w:val="bottom"/>
            <w:gridSpan w:val="2"/>
          </w:tcPr>
          <w:p>
            <w:pPr>
              <w:jc w:val="right"/>
              <w:ind w:right="240"/>
              <w:spacing w:after="0"/>
              <w:rPr>
                <w:sz w:val="20"/>
                <w:szCs w:val="20"/>
                <w:color w:val="auto"/>
              </w:rPr>
            </w:pPr>
            <w:r>
              <w:rPr>
                <w:rFonts w:ascii="Arial" w:cs="Arial" w:eastAsia="Arial" w:hAnsi="Arial"/>
                <w:sz w:val="17"/>
                <w:szCs w:val="17"/>
                <w:color w:val="auto"/>
              </w:rPr>
              <w:t>28.0%</w:t>
            </w:r>
          </w:p>
        </w:tc>
        <w:tc>
          <w:tcPr>
            <w:tcW w:w="2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1,354</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7"/>
                <w:szCs w:val="17"/>
                <w:color w:val="auto"/>
              </w:rPr>
              <w:t>4.9%</w:t>
            </w:r>
          </w:p>
        </w:tc>
        <w:tc>
          <w:tcPr>
            <w:tcW w:w="0" w:type="dxa"/>
            <w:vAlign w:val="bottom"/>
          </w:tcPr>
          <w:p>
            <w:pPr>
              <w:spacing w:after="0"/>
              <w:rPr>
                <w:sz w:val="1"/>
                <w:szCs w:val="1"/>
                <w:color w:val="auto"/>
              </w:rPr>
            </w:pPr>
          </w:p>
        </w:tc>
      </w:tr>
      <w:tr>
        <w:trPr>
          <w:trHeight w:val="220"/>
        </w:trPr>
        <w:tc>
          <w:tcPr>
            <w:tcW w:w="332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Impairment of property and equipment</w:t>
            </w:r>
          </w:p>
        </w:tc>
        <w:tc>
          <w:tcPr>
            <w:tcW w:w="200" w:type="dxa"/>
            <w:vAlign w:val="bottom"/>
            <w:shd w:val="clear" w:color="auto" w:fill="CFF0FC"/>
          </w:tcPr>
          <w:p>
            <w:pPr>
              <w:spacing w:after="0"/>
              <w:rPr>
                <w:sz w:val="19"/>
                <w:szCs w:val="19"/>
                <w:color w:val="auto"/>
              </w:rPr>
            </w:pPr>
          </w:p>
        </w:tc>
        <w:tc>
          <w:tcPr>
            <w:tcW w:w="260" w:type="dxa"/>
            <w:vAlign w:val="bottom"/>
            <w:tcBorders>
              <w:left w:val="single" w:sz="8" w:color="CFF0FC"/>
            </w:tcBorders>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5,898</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60" w:type="dxa"/>
            <w:vAlign w:val="bottom"/>
            <w:gridSpan w:val="2"/>
            <w:shd w:val="clear" w:color="auto" w:fill="CFF0FC"/>
          </w:tcPr>
          <w:p>
            <w:pPr>
              <w:spacing w:after="0"/>
              <w:rPr>
                <w:sz w:val="19"/>
                <w:szCs w:val="19"/>
                <w:color w:val="auto"/>
              </w:rPr>
            </w:pPr>
          </w:p>
        </w:tc>
        <w:tc>
          <w:tcPr>
            <w:tcW w:w="1460" w:type="dxa"/>
            <w:vAlign w:val="bottom"/>
            <w:tcBorders>
              <w:right w:val="single" w:sz="8" w:color="CFF0FC"/>
            </w:tcBorders>
            <w:gridSpan w:val="4"/>
            <w:shd w:val="clear" w:color="auto" w:fill="CFF0FC"/>
          </w:tcPr>
          <w:p>
            <w:pPr>
              <w:jc w:val="right"/>
              <w:ind w:right="280"/>
              <w:spacing w:after="0"/>
              <w:rPr>
                <w:sz w:val="20"/>
                <w:szCs w:val="20"/>
                <w:color w:val="auto"/>
              </w:rPr>
            </w:pPr>
            <w:r>
              <w:rPr>
                <w:rFonts w:ascii="Arial" w:cs="Arial" w:eastAsia="Arial" w:hAnsi="Arial"/>
                <w:sz w:val="17"/>
                <w:szCs w:val="17"/>
                <w:color w:val="auto"/>
              </w:rPr>
              <w:t>5.4%</w:t>
            </w:r>
          </w:p>
        </w:tc>
        <w:tc>
          <w:tcPr>
            <w:tcW w:w="1360" w:type="dxa"/>
            <w:vAlign w:val="bottom"/>
            <w:tcBorders>
              <w:right w:val="single" w:sz="8" w:color="CFF0FC"/>
            </w:tcBorders>
            <w:gridSpan w:val="2"/>
            <w:shd w:val="clear" w:color="auto" w:fill="CFF0FC"/>
          </w:tcPr>
          <w:p>
            <w:pPr>
              <w:jc w:val="right"/>
              <w:ind w:right="400"/>
              <w:spacing w:after="0"/>
              <w:rPr>
                <w:sz w:val="20"/>
                <w:szCs w:val="20"/>
                <w:color w:val="auto"/>
              </w:rPr>
            </w:pPr>
            <w:r>
              <w:rPr>
                <w:rFonts w:ascii="Arial" w:cs="Arial" w:eastAsia="Arial" w:hAnsi="Arial"/>
                <w:sz w:val="17"/>
                <w:szCs w:val="17"/>
                <w:color w:val="auto"/>
              </w:rPr>
              <w:t>—</w:t>
            </w:r>
          </w:p>
        </w:tc>
        <w:tc>
          <w:tcPr>
            <w:tcW w:w="2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5,898</w:t>
            </w:r>
          </w:p>
        </w:tc>
        <w:tc>
          <w:tcPr>
            <w:tcW w:w="20" w:type="dxa"/>
            <w:vAlign w:val="bottom"/>
            <w:shd w:val="clear" w:color="auto" w:fill="CFF0FC"/>
          </w:tcPr>
          <w:p>
            <w:pPr>
              <w:spacing w:after="0"/>
              <w:rPr>
                <w:sz w:val="19"/>
                <w:szCs w:val="19"/>
                <w:color w:val="auto"/>
              </w:rPr>
            </w:pPr>
          </w:p>
        </w:tc>
        <w:tc>
          <w:tcPr>
            <w:tcW w:w="260" w:type="dxa"/>
            <w:vAlign w:val="bottom"/>
            <w:tcBorders>
              <w:right w:val="single" w:sz="8" w:color="CFF0FC"/>
            </w:tcBorders>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n/a</w:t>
            </w:r>
          </w:p>
        </w:tc>
        <w:tc>
          <w:tcPr>
            <w:tcW w:w="0" w:type="dxa"/>
            <w:vAlign w:val="bottom"/>
          </w:tcPr>
          <w:p>
            <w:pPr>
              <w:spacing w:after="0"/>
              <w:rPr>
                <w:sz w:val="1"/>
                <w:szCs w:val="1"/>
                <w:color w:val="auto"/>
              </w:rPr>
            </w:pPr>
          </w:p>
        </w:tc>
      </w:tr>
      <w:tr>
        <w:trPr>
          <w:trHeight w:val="20"/>
        </w:trPr>
        <w:tc>
          <w:tcPr>
            <w:tcW w:w="3320" w:type="dxa"/>
            <w:vAlign w:val="bottom"/>
            <w:gridSpan w:val="2"/>
            <w:vMerge w:val="restart"/>
          </w:tcPr>
          <w:p>
            <w:pPr>
              <w:ind w:left="260"/>
              <w:spacing w:after="0"/>
              <w:rPr>
                <w:sz w:val="20"/>
                <w:szCs w:val="20"/>
                <w:color w:val="auto"/>
              </w:rPr>
            </w:pPr>
            <w:r>
              <w:rPr>
                <w:rFonts w:ascii="Arial" w:cs="Arial" w:eastAsia="Arial" w:hAnsi="Arial"/>
                <w:sz w:val="17"/>
                <w:szCs w:val="17"/>
                <w:color w:val="auto"/>
              </w:rPr>
              <w:t>Total costs and expenses</w:t>
            </w:r>
          </w:p>
        </w:tc>
        <w:tc>
          <w:tcPr>
            <w:tcW w:w="200" w:type="dxa"/>
            <w:vAlign w:val="bottom"/>
          </w:tcPr>
          <w:p>
            <w:pPr>
              <w:spacing w:after="0" w:line="20" w:lineRule="exact"/>
              <w:rPr>
                <w:sz w:val="1"/>
                <w:szCs w:val="1"/>
                <w:color w:val="auto"/>
              </w:rPr>
            </w:pPr>
          </w:p>
        </w:tc>
        <w:tc>
          <w:tcPr>
            <w:tcW w:w="260" w:type="dxa"/>
            <w:vAlign w:val="bottom"/>
            <w:tcBorders>
              <w:left w:val="single" w:sz="8" w:color="auto"/>
            </w:tcBorders>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right w:val="single" w:sz="8" w:color="auto"/>
            </w:tcBorders>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80" w:type="dxa"/>
            <w:vAlign w:val="bottom"/>
            <w:tcBorders>
              <w:right w:val="single" w:sz="8" w:color="auto"/>
            </w:tcBorders>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80" w:type="dxa"/>
            <w:vAlign w:val="bottom"/>
            <w:gridSpan w:val="2"/>
            <w:vMerge w:val="restart"/>
          </w:tcPr>
          <w:p>
            <w:pPr>
              <w:jc w:val="right"/>
              <w:ind w:right="80"/>
              <w:spacing w:after="0"/>
              <w:rPr>
                <w:sz w:val="20"/>
                <w:szCs w:val="20"/>
                <w:color w:val="auto"/>
              </w:rPr>
            </w:pPr>
            <w:r>
              <w:rPr>
                <w:rFonts w:ascii="Arial" w:cs="Arial" w:eastAsia="Arial" w:hAnsi="Arial"/>
                <w:sz w:val="17"/>
                <w:szCs w:val="17"/>
                <w:color w:val="auto"/>
              </w:rPr>
              <w:t>6.4%</w:t>
            </w:r>
          </w:p>
        </w:tc>
        <w:tc>
          <w:tcPr>
            <w:tcW w:w="0" w:type="dxa"/>
            <w:vAlign w:val="bottom"/>
          </w:tcPr>
          <w:p>
            <w:pPr>
              <w:spacing w:after="0" w:line="20" w:lineRule="exact"/>
              <w:rPr>
                <w:sz w:val="1"/>
                <w:szCs w:val="1"/>
                <w:color w:val="auto"/>
              </w:rPr>
            </w:pPr>
          </w:p>
        </w:tc>
      </w:tr>
      <w:tr>
        <w:trPr>
          <w:trHeight w:val="210"/>
        </w:trPr>
        <w:tc>
          <w:tcPr>
            <w:tcW w:w="332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91,939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86,413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4"/>
          </w:tcPr>
          <w:p>
            <w:pPr>
              <w:jc w:val="right"/>
              <w:ind w:right="280"/>
              <w:spacing w:after="0"/>
              <w:rPr>
                <w:sz w:val="20"/>
                <w:szCs w:val="20"/>
                <w:color w:val="auto"/>
              </w:rPr>
            </w:pPr>
            <w:r>
              <w:rPr>
                <w:rFonts w:ascii="Arial" w:cs="Arial" w:eastAsia="Arial" w:hAnsi="Arial"/>
                <w:sz w:val="17"/>
                <w:szCs w:val="17"/>
                <w:color w:val="auto"/>
              </w:rPr>
              <w:t>83.9%</w:t>
            </w:r>
          </w:p>
        </w:tc>
        <w:tc>
          <w:tcPr>
            <w:tcW w:w="1360" w:type="dxa"/>
            <w:vAlign w:val="bottom"/>
            <w:gridSpan w:val="2"/>
          </w:tcPr>
          <w:p>
            <w:pPr>
              <w:jc w:val="right"/>
              <w:ind w:right="240"/>
              <w:spacing w:after="0"/>
              <w:rPr>
                <w:sz w:val="20"/>
                <w:szCs w:val="20"/>
                <w:color w:val="auto"/>
              </w:rPr>
            </w:pPr>
            <w:r>
              <w:rPr>
                <w:rFonts w:ascii="Arial" w:cs="Arial" w:eastAsia="Arial" w:hAnsi="Arial"/>
                <w:sz w:val="17"/>
                <w:szCs w:val="17"/>
                <w:color w:val="auto"/>
              </w:rPr>
              <w:t>88.0%</w:t>
            </w:r>
          </w:p>
        </w:tc>
        <w:tc>
          <w:tcPr>
            <w:tcW w:w="2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5,526</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20" w:type="dxa"/>
            <w:vAlign w:val="bottom"/>
            <w:gridSpan w:val="2"/>
            <w:vMerge w:val="restart"/>
            <w:shd w:val="clear" w:color="auto" w:fill="CFF0FC"/>
          </w:tcPr>
          <w:p>
            <w:pPr>
              <w:spacing w:after="0"/>
              <w:rPr>
                <w:sz w:val="20"/>
                <w:szCs w:val="20"/>
                <w:color w:val="auto"/>
              </w:rPr>
            </w:pPr>
            <w:r>
              <w:rPr>
                <w:rFonts w:ascii="Arial" w:cs="Arial" w:eastAsia="Arial" w:hAnsi="Arial"/>
                <w:sz w:val="17"/>
                <w:szCs w:val="17"/>
                <w:color w:val="auto"/>
              </w:rPr>
              <w:t>Income from operations</w:t>
            </w:r>
          </w:p>
        </w:tc>
        <w:tc>
          <w:tcPr>
            <w:tcW w:w="200" w:type="dxa"/>
            <w:vAlign w:val="bottom"/>
            <w:shd w:val="clear" w:color="auto" w:fill="CFF0FC"/>
          </w:tcPr>
          <w:p>
            <w:pPr>
              <w:spacing w:after="0" w:line="20" w:lineRule="exact"/>
              <w:rPr>
                <w:sz w:val="1"/>
                <w:szCs w:val="1"/>
                <w:color w:val="auto"/>
              </w:rPr>
            </w:pPr>
          </w:p>
        </w:tc>
        <w:tc>
          <w:tcPr>
            <w:tcW w:w="260" w:type="dxa"/>
            <w:vAlign w:val="bottom"/>
            <w:tcBorders>
              <w:left w:val="single" w:sz="8" w:color="auto"/>
            </w:tcBorders>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20" w:type="dxa"/>
            <w:vAlign w:val="bottom"/>
            <w:tcBorders>
              <w:right w:val="single" w:sz="8" w:color="auto"/>
            </w:tcBorders>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80" w:type="dxa"/>
            <w:vAlign w:val="bottom"/>
            <w:tcBorders>
              <w:left w:val="single" w:sz="8" w:color="CFF0FC"/>
              <w:right w:val="single" w:sz="8" w:color="auto"/>
            </w:tcBorders>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 w:type="dxa"/>
            <w:vAlign w:val="bottom"/>
            <w:shd w:val="clear" w:color="auto" w:fill="CFF0FC"/>
          </w:tcPr>
          <w:p>
            <w:pPr>
              <w:spacing w:after="0" w:line="20" w:lineRule="exact"/>
              <w:rPr>
                <w:sz w:val="1"/>
                <w:szCs w:val="1"/>
                <w:color w:val="auto"/>
              </w:rPr>
            </w:pPr>
          </w:p>
        </w:tc>
        <w:tc>
          <w:tcPr>
            <w:tcW w:w="260" w:type="dxa"/>
            <w:vAlign w:val="bottom"/>
            <w:tcBorders>
              <w:right w:val="single" w:sz="8" w:color="CFF0FC"/>
            </w:tcBorders>
            <w:shd w:val="clear" w:color="auto" w:fill="CFF0FC"/>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880" w:type="dxa"/>
            <w:vAlign w:val="bottom"/>
            <w:gridSpan w:val="2"/>
            <w:vMerge w:val="restart"/>
            <w:shd w:val="clear" w:color="auto" w:fill="CFF0FC"/>
          </w:tcPr>
          <w:p>
            <w:pPr>
              <w:jc w:val="right"/>
              <w:ind w:right="80"/>
              <w:spacing w:after="0"/>
              <w:rPr>
                <w:sz w:val="20"/>
                <w:szCs w:val="20"/>
                <w:color w:val="auto"/>
              </w:rPr>
            </w:pPr>
            <w:r>
              <w:rPr>
                <w:rFonts w:ascii="Arial" w:cs="Arial" w:eastAsia="Arial" w:hAnsi="Arial"/>
                <w:sz w:val="17"/>
                <w:szCs w:val="17"/>
                <w:color w:val="auto"/>
              </w:rPr>
              <w:t>49.7%</w:t>
            </w:r>
          </w:p>
        </w:tc>
        <w:tc>
          <w:tcPr>
            <w:tcW w:w="0" w:type="dxa"/>
            <w:vAlign w:val="bottom"/>
          </w:tcPr>
          <w:p>
            <w:pPr>
              <w:spacing w:after="0" w:line="20" w:lineRule="exact"/>
              <w:rPr>
                <w:sz w:val="1"/>
                <w:szCs w:val="1"/>
                <w:color w:val="auto"/>
              </w:rPr>
            </w:pPr>
          </w:p>
        </w:tc>
      </w:tr>
      <w:tr>
        <w:trPr>
          <w:trHeight w:val="210"/>
        </w:trPr>
        <w:tc>
          <w:tcPr>
            <w:tcW w:w="3320" w:type="dxa"/>
            <w:vAlign w:val="bottom"/>
            <w:gridSpan w:val="2"/>
            <w:vMerge w:val="continue"/>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60" w:type="dxa"/>
            <w:vAlign w:val="bottom"/>
            <w:tcBorders>
              <w:left w:val="single" w:sz="8" w:color="CFF0FC"/>
            </w:tcBorders>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17,636</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11,784</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60" w:type="dxa"/>
            <w:vAlign w:val="bottom"/>
            <w:tcBorders>
              <w:right w:val="single" w:sz="8" w:color="CFF0FC"/>
            </w:tcBorders>
            <w:gridSpan w:val="4"/>
            <w:shd w:val="clear" w:color="auto" w:fill="CFF0FC"/>
          </w:tcPr>
          <w:p>
            <w:pPr>
              <w:jc w:val="right"/>
              <w:ind w:right="280"/>
              <w:spacing w:after="0"/>
              <w:rPr>
                <w:sz w:val="20"/>
                <w:szCs w:val="20"/>
                <w:color w:val="auto"/>
              </w:rPr>
            </w:pPr>
            <w:r>
              <w:rPr>
                <w:rFonts w:ascii="Arial" w:cs="Arial" w:eastAsia="Arial" w:hAnsi="Arial"/>
                <w:sz w:val="17"/>
                <w:szCs w:val="17"/>
                <w:color w:val="auto"/>
              </w:rPr>
              <w:t>16.1%</w:t>
            </w:r>
          </w:p>
        </w:tc>
        <w:tc>
          <w:tcPr>
            <w:tcW w:w="1360" w:type="dxa"/>
            <w:vAlign w:val="bottom"/>
            <w:tcBorders>
              <w:right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12.0%</w:t>
            </w:r>
          </w:p>
        </w:tc>
        <w:tc>
          <w:tcPr>
            <w:tcW w:w="28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5,852</w:t>
            </w:r>
          </w:p>
        </w:tc>
        <w:tc>
          <w:tcPr>
            <w:tcW w:w="20" w:type="dxa"/>
            <w:vAlign w:val="bottom"/>
            <w:shd w:val="clear" w:color="auto" w:fill="CFF0FC"/>
          </w:tcPr>
          <w:p>
            <w:pPr>
              <w:spacing w:after="0"/>
              <w:rPr>
                <w:sz w:val="18"/>
                <w:szCs w:val="18"/>
                <w:color w:val="auto"/>
              </w:rPr>
            </w:pPr>
          </w:p>
        </w:tc>
        <w:tc>
          <w:tcPr>
            <w:tcW w:w="260" w:type="dxa"/>
            <w:vAlign w:val="bottom"/>
            <w:tcBorders>
              <w:right w:val="single" w:sz="8" w:color="CFF0FC"/>
            </w:tcBorders>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80" w:type="dxa"/>
            <w:vAlign w:val="bottom"/>
            <w:gridSpan w:val="2"/>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20" w:type="dxa"/>
            <w:vAlign w:val="bottom"/>
            <w:gridSpan w:val="2"/>
          </w:tcPr>
          <w:p>
            <w:pPr>
              <w:spacing w:after="0"/>
              <w:rPr>
                <w:sz w:val="20"/>
                <w:szCs w:val="20"/>
                <w:color w:val="auto"/>
              </w:rPr>
            </w:pPr>
            <w:r>
              <w:rPr>
                <w:rFonts w:ascii="Arial" w:cs="Arial" w:eastAsia="Arial" w:hAnsi="Arial"/>
                <w:sz w:val="17"/>
                <w:szCs w:val="17"/>
                <w:color w:val="auto"/>
              </w:rPr>
              <w:t>Interest expense, net</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15,656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19,579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4"/>
          </w:tcPr>
          <w:p>
            <w:pPr>
              <w:jc w:val="right"/>
              <w:ind w:right="280"/>
              <w:spacing w:after="0"/>
              <w:rPr>
                <w:sz w:val="20"/>
                <w:szCs w:val="20"/>
                <w:color w:val="auto"/>
              </w:rPr>
            </w:pPr>
            <w:r>
              <w:rPr>
                <w:rFonts w:ascii="Arial" w:cs="Arial" w:eastAsia="Arial" w:hAnsi="Arial"/>
                <w:sz w:val="17"/>
                <w:szCs w:val="17"/>
                <w:color w:val="auto"/>
              </w:rPr>
              <w:t>14.3%</w:t>
            </w:r>
          </w:p>
        </w:tc>
        <w:tc>
          <w:tcPr>
            <w:tcW w:w="1360" w:type="dxa"/>
            <w:vAlign w:val="bottom"/>
            <w:gridSpan w:val="2"/>
          </w:tcPr>
          <w:p>
            <w:pPr>
              <w:jc w:val="right"/>
              <w:ind w:right="240"/>
              <w:spacing w:after="0"/>
              <w:rPr>
                <w:sz w:val="20"/>
                <w:szCs w:val="20"/>
                <w:color w:val="auto"/>
              </w:rPr>
            </w:pPr>
            <w:r>
              <w:rPr>
                <w:rFonts w:ascii="Arial" w:cs="Arial" w:eastAsia="Arial" w:hAnsi="Arial"/>
                <w:sz w:val="17"/>
                <w:szCs w:val="17"/>
                <w:color w:val="auto"/>
              </w:rPr>
              <w:t>19.9%</w:t>
            </w:r>
          </w:p>
        </w:tc>
        <w:tc>
          <w:tcPr>
            <w:tcW w:w="280" w:type="dxa"/>
            <w:vAlign w:val="bottom"/>
          </w:tcPr>
          <w:p>
            <w:pPr>
              <w:spacing w:after="0"/>
              <w:rPr>
                <w:sz w:val="18"/>
                <w:szCs w:val="18"/>
                <w:color w:val="auto"/>
              </w:rPr>
            </w:pPr>
          </w:p>
        </w:tc>
        <w:tc>
          <w:tcPr>
            <w:tcW w:w="1020" w:type="dxa"/>
            <w:vAlign w:val="bottom"/>
            <w:gridSpan w:val="3"/>
          </w:tcPr>
          <w:p>
            <w:pPr>
              <w:jc w:val="right"/>
              <w:ind w:right="220"/>
              <w:spacing w:after="0"/>
              <w:rPr>
                <w:sz w:val="20"/>
                <w:szCs w:val="20"/>
                <w:color w:val="auto"/>
              </w:rPr>
            </w:pPr>
            <w:r>
              <w:rPr>
                <w:rFonts w:ascii="Arial" w:cs="Arial" w:eastAsia="Arial" w:hAnsi="Arial"/>
                <w:sz w:val="17"/>
                <w:szCs w:val="17"/>
                <w:color w:val="auto"/>
              </w:rPr>
              <w:t>(3,923)</w:t>
            </w:r>
          </w:p>
        </w:tc>
        <w:tc>
          <w:tcPr>
            <w:tcW w:w="34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7"/>
                <w:szCs w:val="17"/>
                <w:color w:val="auto"/>
              </w:rPr>
              <w:t>(20.0)%</w:t>
            </w:r>
          </w:p>
        </w:tc>
        <w:tc>
          <w:tcPr>
            <w:tcW w:w="0" w:type="dxa"/>
            <w:vAlign w:val="bottom"/>
          </w:tcPr>
          <w:p>
            <w:pPr>
              <w:spacing w:after="0"/>
              <w:rPr>
                <w:sz w:val="1"/>
                <w:szCs w:val="1"/>
                <w:color w:val="auto"/>
              </w:rPr>
            </w:pPr>
          </w:p>
        </w:tc>
      </w:tr>
      <w:tr>
        <w:trPr>
          <w:trHeight w:val="216"/>
        </w:trPr>
        <w:tc>
          <w:tcPr>
            <w:tcW w:w="332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Loss on extinguishment of debt</w:t>
            </w:r>
          </w:p>
        </w:tc>
        <w:tc>
          <w:tcPr>
            <w:tcW w:w="200" w:type="dxa"/>
            <w:vAlign w:val="bottom"/>
            <w:shd w:val="clear" w:color="auto" w:fill="CFF0FC"/>
          </w:tcPr>
          <w:p>
            <w:pPr>
              <w:spacing w:after="0"/>
              <w:rPr>
                <w:sz w:val="18"/>
                <w:szCs w:val="18"/>
                <w:color w:val="auto"/>
              </w:rPr>
            </w:pPr>
          </w:p>
        </w:tc>
        <w:tc>
          <w:tcPr>
            <w:tcW w:w="260" w:type="dxa"/>
            <w:vAlign w:val="bottom"/>
            <w:tcBorders>
              <w:left w:val="single" w:sz="8" w:color="CFF0FC"/>
            </w:tcBorders>
            <w:shd w:val="clear" w:color="auto" w:fill="CFF0FC"/>
          </w:tcPr>
          <w:p>
            <w:pPr>
              <w:spacing w:after="0"/>
              <w:rPr>
                <w:sz w:val="18"/>
                <w:szCs w:val="18"/>
                <w:color w:val="auto"/>
              </w:rPr>
            </w:pPr>
          </w:p>
        </w:tc>
        <w:tc>
          <w:tcPr>
            <w:tcW w:w="1020" w:type="dxa"/>
            <w:vAlign w:val="bottom"/>
            <w:gridSpan w:val="3"/>
            <w:shd w:val="clear" w:color="auto" w:fill="CFF0FC"/>
          </w:tcPr>
          <w:p>
            <w:pPr>
              <w:jc w:val="right"/>
              <w:ind w:right="260"/>
              <w:spacing w:after="0"/>
              <w:rPr>
                <w:sz w:val="20"/>
                <w:szCs w:val="20"/>
                <w:color w:val="auto"/>
              </w:rPr>
            </w:pPr>
            <w:r>
              <w:rPr>
                <w:rFonts w:ascii="Arial" w:cs="Arial" w:eastAsia="Arial" w:hAnsi="Arial"/>
                <w:sz w:val="17"/>
                <w:szCs w:val="17"/>
                <w:color w:val="auto"/>
              </w:rPr>
              <w:t>—</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20" w:type="dxa"/>
            <w:vAlign w:val="bottom"/>
            <w:gridSpan w:val="3"/>
            <w:shd w:val="clear" w:color="auto" w:fill="CFF0FC"/>
          </w:tcPr>
          <w:p>
            <w:pPr>
              <w:jc w:val="right"/>
              <w:ind w:right="2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18"/>
                <w:szCs w:val="18"/>
                <w:color w:val="auto"/>
              </w:rPr>
            </w:pPr>
          </w:p>
        </w:tc>
        <w:tc>
          <w:tcPr>
            <w:tcW w:w="1360" w:type="dxa"/>
            <w:vAlign w:val="bottom"/>
            <w:tcBorders>
              <w:right w:val="single" w:sz="8" w:color="CFF0FC"/>
            </w:tcBorders>
            <w:gridSpan w:val="3"/>
            <w:shd w:val="clear" w:color="auto" w:fill="CFF0FC"/>
          </w:tcPr>
          <w:p>
            <w:pPr>
              <w:jc w:val="right"/>
              <w:ind w:right="440"/>
              <w:spacing w:after="0"/>
              <w:rPr>
                <w:sz w:val="20"/>
                <w:szCs w:val="20"/>
                <w:color w:val="auto"/>
              </w:rPr>
            </w:pPr>
            <w:r>
              <w:rPr>
                <w:rFonts w:ascii="Arial" w:cs="Arial" w:eastAsia="Arial" w:hAnsi="Arial"/>
                <w:sz w:val="17"/>
                <w:szCs w:val="17"/>
                <w:color w:val="auto"/>
              </w:rPr>
              <w:t>—</w:t>
            </w:r>
          </w:p>
        </w:tc>
        <w:tc>
          <w:tcPr>
            <w:tcW w:w="1360" w:type="dxa"/>
            <w:vAlign w:val="bottom"/>
            <w:tcBorders>
              <w:right w:val="single" w:sz="8" w:color="CFF0FC"/>
            </w:tcBorders>
            <w:gridSpan w:val="2"/>
            <w:shd w:val="clear" w:color="auto" w:fill="CFF0FC"/>
          </w:tcPr>
          <w:p>
            <w:pPr>
              <w:jc w:val="right"/>
              <w:ind w:right="400"/>
              <w:spacing w:after="0"/>
              <w:rPr>
                <w:sz w:val="20"/>
                <w:szCs w:val="20"/>
                <w:color w:val="auto"/>
              </w:rPr>
            </w:pPr>
            <w:r>
              <w:rPr>
                <w:rFonts w:ascii="Arial" w:cs="Arial" w:eastAsia="Arial" w:hAnsi="Arial"/>
                <w:sz w:val="17"/>
                <w:szCs w:val="17"/>
                <w:color w:val="auto"/>
              </w:rPr>
              <w:t>—</w:t>
            </w:r>
          </w:p>
        </w:tc>
        <w:tc>
          <w:tcPr>
            <w:tcW w:w="280" w:type="dxa"/>
            <w:vAlign w:val="bottom"/>
            <w:shd w:val="clear" w:color="auto" w:fill="CFF0FC"/>
          </w:tcPr>
          <w:p>
            <w:pPr>
              <w:spacing w:after="0"/>
              <w:rPr>
                <w:sz w:val="18"/>
                <w:szCs w:val="18"/>
                <w:color w:val="auto"/>
              </w:rPr>
            </w:pPr>
          </w:p>
        </w:tc>
        <w:tc>
          <w:tcPr>
            <w:tcW w:w="1360" w:type="dxa"/>
            <w:vAlign w:val="bottom"/>
            <w:gridSpan w:val="4"/>
            <w:shd w:val="clear" w:color="auto" w:fill="CFF0FC"/>
          </w:tcPr>
          <w:p>
            <w:pPr>
              <w:jc w:val="right"/>
              <w:ind w:right="640"/>
              <w:spacing w:after="0"/>
              <w:rPr>
                <w:sz w:val="20"/>
                <w:szCs w:val="20"/>
                <w:color w:val="auto"/>
              </w:rPr>
            </w:pPr>
            <w:r>
              <w:rPr>
                <w:rFonts w:ascii="Arial" w:cs="Arial" w:eastAsia="Arial" w:hAnsi="Arial"/>
                <w:sz w:val="17"/>
                <w:szCs w:val="17"/>
                <w:color w:val="auto"/>
              </w:rPr>
              <w:t>—</w:t>
            </w: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n/a</w:t>
            </w:r>
          </w:p>
        </w:tc>
        <w:tc>
          <w:tcPr>
            <w:tcW w:w="0" w:type="dxa"/>
            <w:vAlign w:val="bottom"/>
          </w:tcPr>
          <w:p>
            <w:pPr>
              <w:spacing w:after="0"/>
              <w:rPr>
                <w:sz w:val="1"/>
                <w:szCs w:val="1"/>
                <w:color w:val="auto"/>
              </w:rPr>
            </w:pPr>
          </w:p>
        </w:tc>
      </w:tr>
      <w:tr>
        <w:trPr>
          <w:trHeight w:val="216"/>
        </w:trPr>
        <w:tc>
          <w:tcPr>
            <w:tcW w:w="3320" w:type="dxa"/>
            <w:vAlign w:val="bottom"/>
            <w:gridSpan w:val="2"/>
          </w:tcPr>
          <w:p>
            <w:pPr>
              <w:spacing w:after="0"/>
              <w:rPr>
                <w:sz w:val="20"/>
                <w:szCs w:val="20"/>
                <w:color w:val="auto"/>
              </w:rPr>
            </w:pPr>
            <w:r>
              <w:rPr>
                <w:rFonts w:ascii="Arial" w:cs="Arial" w:eastAsia="Arial" w:hAnsi="Arial"/>
                <w:sz w:val="17"/>
                <w:szCs w:val="17"/>
                <w:color w:val="auto"/>
              </w:rPr>
              <w:t>Other income, net</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7"/>
                <w:szCs w:val="17"/>
                <w:color w:val="auto"/>
              </w:rPr>
              <w:t>(3,345)</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7"/>
                <w:szCs w:val="17"/>
                <w:color w:val="auto"/>
              </w:rPr>
              <w:t>(2,766)</w:t>
            </w:r>
          </w:p>
        </w:tc>
        <w:tc>
          <w:tcPr>
            <w:tcW w:w="160" w:type="dxa"/>
            <w:vAlign w:val="bottom"/>
          </w:tcPr>
          <w:p>
            <w:pPr>
              <w:spacing w:after="0"/>
              <w:rPr>
                <w:sz w:val="18"/>
                <w:szCs w:val="18"/>
                <w:color w:val="auto"/>
              </w:rPr>
            </w:pPr>
          </w:p>
        </w:tc>
        <w:tc>
          <w:tcPr>
            <w:tcW w:w="1460" w:type="dxa"/>
            <w:vAlign w:val="bottom"/>
            <w:gridSpan w:val="4"/>
          </w:tcPr>
          <w:p>
            <w:pPr>
              <w:jc w:val="right"/>
              <w:ind w:right="220"/>
              <w:spacing w:after="0"/>
              <w:rPr>
                <w:sz w:val="20"/>
                <w:szCs w:val="20"/>
                <w:color w:val="auto"/>
              </w:rPr>
            </w:pPr>
            <w:r>
              <w:rPr>
                <w:rFonts w:ascii="Arial" w:cs="Arial" w:eastAsia="Arial" w:hAnsi="Arial"/>
                <w:sz w:val="17"/>
                <w:szCs w:val="17"/>
                <w:color w:val="auto"/>
              </w:rPr>
              <w:t>(3.1)%</w:t>
            </w:r>
          </w:p>
        </w:tc>
        <w:tc>
          <w:tcPr>
            <w:tcW w:w="1360" w:type="dxa"/>
            <w:vAlign w:val="bottom"/>
            <w:gridSpan w:val="2"/>
          </w:tcPr>
          <w:p>
            <w:pPr>
              <w:jc w:val="right"/>
              <w:ind w:right="180"/>
              <w:spacing w:after="0"/>
              <w:rPr>
                <w:sz w:val="20"/>
                <w:szCs w:val="20"/>
                <w:color w:val="auto"/>
              </w:rPr>
            </w:pPr>
            <w:r>
              <w:rPr>
                <w:rFonts w:ascii="Arial" w:cs="Arial" w:eastAsia="Arial" w:hAnsi="Arial"/>
                <w:sz w:val="17"/>
                <w:szCs w:val="17"/>
                <w:color w:val="auto"/>
              </w:rPr>
              <w:t>(2.8)%</w:t>
            </w:r>
          </w:p>
        </w:tc>
        <w:tc>
          <w:tcPr>
            <w:tcW w:w="280" w:type="dxa"/>
            <w:vAlign w:val="bottom"/>
          </w:tcPr>
          <w:p>
            <w:pPr>
              <w:spacing w:after="0"/>
              <w:rPr>
                <w:sz w:val="18"/>
                <w:szCs w:val="18"/>
                <w:color w:val="auto"/>
              </w:rPr>
            </w:pPr>
          </w:p>
        </w:tc>
        <w:tc>
          <w:tcPr>
            <w:tcW w:w="1020" w:type="dxa"/>
            <w:vAlign w:val="bottom"/>
            <w:gridSpan w:val="3"/>
          </w:tcPr>
          <w:p>
            <w:pPr>
              <w:jc w:val="right"/>
              <w:ind w:right="220"/>
              <w:spacing w:after="0"/>
              <w:rPr>
                <w:sz w:val="20"/>
                <w:szCs w:val="20"/>
                <w:color w:val="auto"/>
              </w:rPr>
            </w:pPr>
            <w:r>
              <w:rPr>
                <w:rFonts w:ascii="Arial" w:cs="Arial" w:eastAsia="Arial" w:hAnsi="Arial"/>
                <w:sz w:val="17"/>
                <w:szCs w:val="17"/>
                <w:color w:val="auto"/>
              </w:rPr>
              <w:t>(579)</w:t>
            </w:r>
          </w:p>
        </w:tc>
        <w:tc>
          <w:tcPr>
            <w:tcW w:w="34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7"/>
                <w:szCs w:val="17"/>
                <w:color w:val="auto"/>
              </w:rPr>
              <w:t>20.9%</w:t>
            </w:r>
          </w:p>
        </w:tc>
        <w:tc>
          <w:tcPr>
            <w:tcW w:w="0" w:type="dxa"/>
            <w:vAlign w:val="bottom"/>
          </w:tcPr>
          <w:p>
            <w:pPr>
              <w:spacing w:after="0"/>
              <w:rPr>
                <w:sz w:val="1"/>
                <w:szCs w:val="1"/>
                <w:color w:val="auto"/>
              </w:rPr>
            </w:pPr>
          </w:p>
        </w:tc>
      </w:tr>
      <w:tr>
        <w:trPr>
          <w:trHeight w:val="20"/>
        </w:trPr>
        <w:tc>
          <w:tcPr>
            <w:tcW w:w="3320" w:type="dxa"/>
            <w:vAlign w:val="bottom"/>
            <w:gridSpan w:val="2"/>
            <w:vMerge w:val="restart"/>
            <w:shd w:val="clear" w:color="auto" w:fill="CFF0FC"/>
          </w:tcPr>
          <w:p>
            <w:pPr>
              <w:spacing w:after="0"/>
              <w:rPr>
                <w:sz w:val="20"/>
                <w:szCs w:val="20"/>
                <w:color w:val="auto"/>
              </w:rPr>
            </w:pPr>
            <w:r>
              <w:rPr>
                <w:rFonts w:ascii="Arial" w:cs="Arial" w:eastAsia="Arial" w:hAnsi="Arial"/>
                <w:sz w:val="17"/>
                <w:szCs w:val="17"/>
                <w:color w:val="auto"/>
              </w:rPr>
              <w:t>Total other expenses</w:t>
            </w:r>
          </w:p>
        </w:tc>
        <w:tc>
          <w:tcPr>
            <w:tcW w:w="200" w:type="dxa"/>
            <w:vAlign w:val="bottom"/>
            <w:shd w:val="clear" w:color="auto" w:fill="CFF0FC"/>
          </w:tcPr>
          <w:p>
            <w:pPr>
              <w:spacing w:after="0" w:line="20" w:lineRule="exact"/>
              <w:rPr>
                <w:sz w:val="1"/>
                <w:szCs w:val="1"/>
                <w:color w:val="auto"/>
              </w:rPr>
            </w:pPr>
          </w:p>
        </w:tc>
        <w:tc>
          <w:tcPr>
            <w:tcW w:w="260" w:type="dxa"/>
            <w:vAlign w:val="bottom"/>
            <w:tcBorders>
              <w:left w:val="single" w:sz="8" w:color="auto"/>
            </w:tcBorders>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20" w:type="dxa"/>
            <w:vAlign w:val="bottom"/>
            <w:tcBorders>
              <w:right w:val="single" w:sz="8" w:color="auto"/>
            </w:tcBorders>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80" w:type="dxa"/>
            <w:vAlign w:val="bottom"/>
            <w:tcBorders>
              <w:left w:val="single" w:sz="8" w:color="CFF0FC"/>
              <w:right w:val="single" w:sz="8" w:color="auto"/>
            </w:tcBorders>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 w:type="dxa"/>
            <w:vAlign w:val="bottom"/>
            <w:vMerge w:val="restart"/>
            <w:shd w:val="clear" w:color="auto" w:fill="CFF0FC"/>
          </w:tcPr>
          <w:p>
            <w:pPr>
              <w:spacing w:after="0" w:line="20" w:lineRule="exact"/>
              <w:rPr>
                <w:sz w:val="1"/>
                <w:szCs w:val="1"/>
                <w:color w:val="auto"/>
              </w:rPr>
            </w:pPr>
          </w:p>
        </w:tc>
        <w:tc>
          <w:tcPr>
            <w:tcW w:w="260" w:type="dxa"/>
            <w:vAlign w:val="bottom"/>
            <w:tcBorders>
              <w:right w:val="single" w:sz="8" w:color="CFF0FC"/>
            </w:tcBorders>
            <w:vMerge w:val="restart"/>
            <w:shd w:val="clear" w:color="auto" w:fill="CFF0FC"/>
          </w:tcPr>
          <w:p>
            <w:pPr>
              <w:spacing w:after="0" w:line="20" w:lineRule="exact"/>
              <w:rPr>
                <w:sz w:val="1"/>
                <w:szCs w:val="1"/>
                <w:color w:val="auto"/>
              </w:rPr>
            </w:pPr>
          </w:p>
        </w:tc>
        <w:tc>
          <w:tcPr>
            <w:tcW w:w="340" w:type="dxa"/>
            <w:vAlign w:val="bottom"/>
            <w:vMerge w:val="restart"/>
            <w:shd w:val="clear" w:color="auto" w:fill="CFF0FC"/>
          </w:tcPr>
          <w:p>
            <w:pPr>
              <w:spacing w:after="0" w:line="20" w:lineRule="exact"/>
              <w:rPr>
                <w:sz w:val="1"/>
                <w:szCs w:val="1"/>
                <w:color w:val="auto"/>
              </w:rPr>
            </w:pPr>
          </w:p>
        </w:tc>
        <w:tc>
          <w:tcPr>
            <w:tcW w:w="880" w:type="dxa"/>
            <w:vAlign w:val="bottom"/>
            <w:gridSpan w:val="2"/>
            <w:vMerge w:val="restart"/>
            <w:shd w:val="clear" w:color="auto" w:fill="CFF0FC"/>
          </w:tcPr>
          <w:p>
            <w:pPr>
              <w:jc w:val="right"/>
              <w:ind w:right="20"/>
              <w:spacing w:after="0"/>
              <w:rPr>
                <w:sz w:val="20"/>
                <w:szCs w:val="20"/>
                <w:color w:val="auto"/>
              </w:rPr>
            </w:pPr>
            <w:r>
              <w:rPr>
                <w:rFonts w:ascii="Arial" w:cs="Arial" w:eastAsia="Arial" w:hAnsi="Arial"/>
                <w:sz w:val="17"/>
                <w:szCs w:val="17"/>
                <w:color w:val="auto"/>
              </w:rPr>
              <w:t>(26.8)%</w:t>
            </w:r>
          </w:p>
        </w:tc>
        <w:tc>
          <w:tcPr>
            <w:tcW w:w="0" w:type="dxa"/>
            <w:vAlign w:val="bottom"/>
          </w:tcPr>
          <w:p>
            <w:pPr>
              <w:spacing w:after="0" w:line="20" w:lineRule="exact"/>
              <w:rPr>
                <w:sz w:val="1"/>
                <w:szCs w:val="1"/>
                <w:color w:val="auto"/>
              </w:rPr>
            </w:pPr>
          </w:p>
        </w:tc>
      </w:tr>
      <w:tr>
        <w:trPr>
          <w:trHeight w:val="210"/>
        </w:trPr>
        <w:tc>
          <w:tcPr>
            <w:tcW w:w="3320" w:type="dxa"/>
            <w:vAlign w:val="bottom"/>
            <w:gridSpan w:val="2"/>
            <w:vMerge w:val="continue"/>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60" w:type="dxa"/>
            <w:vAlign w:val="bottom"/>
            <w:tcBorders>
              <w:left w:val="single" w:sz="8" w:color="CFF0FC"/>
            </w:tcBorders>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12,311</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16,813</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60" w:type="dxa"/>
            <w:vAlign w:val="bottom"/>
            <w:tcBorders>
              <w:right w:val="single" w:sz="8" w:color="CFF0FC"/>
            </w:tcBorders>
            <w:gridSpan w:val="4"/>
            <w:shd w:val="clear" w:color="auto" w:fill="CFF0FC"/>
          </w:tcPr>
          <w:p>
            <w:pPr>
              <w:jc w:val="right"/>
              <w:ind w:right="280"/>
              <w:spacing w:after="0"/>
              <w:rPr>
                <w:sz w:val="20"/>
                <w:szCs w:val="20"/>
                <w:color w:val="auto"/>
              </w:rPr>
            </w:pPr>
            <w:r>
              <w:rPr>
                <w:rFonts w:ascii="Arial" w:cs="Arial" w:eastAsia="Arial" w:hAnsi="Arial"/>
                <w:sz w:val="17"/>
                <w:szCs w:val="17"/>
                <w:color w:val="auto"/>
              </w:rPr>
              <w:t>11.2%</w:t>
            </w:r>
          </w:p>
        </w:tc>
        <w:tc>
          <w:tcPr>
            <w:tcW w:w="1360" w:type="dxa"/>
            <w:vAlign w:val="bottom"/>
            <w:tcBorders>
              <w:right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17.1%</w:t>
            </w:r>
          </w:p>
        </w:tc>
        <w:tc>
          <w:tcPr>
            <w:tcW w:w="28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(4,502)</w:t>
            </w:r>
          </w:p>
        </w:tc>
        <w:tc>
          <w:tcPr>
            <w:tcW w:w="20" w:type="dxa"/>
            <w:vAlign w:val="bottom"/>
            <w:vMerge w:val="continue"/>
            <w:shd w:val="clear" w:color="auto" w:fill="CFF0FC"/>
          </w:tcPr>
          <w:p>
            <w:pPr>
              <w:spacing w:after="0"/>
              <w:rPr>
                <w:sz w:val="18"/>
                <w:szCs w:val="18"/>
                <w:color w:val="auto"/>
              </w:rPr>
            </w:pPr>
          </w:p>
        </w:tc>
        <w:tc>
          <w:tcPr>
            <w:tcW w:w="260" w:type="dxa"/>
            <w:vAlign w:val="bottom"/>
            <w:tcBorders>
              <w:right w:val="single" w:sz="8" w:color="CFF0FC"/>
            </w:tcBorders>
            <w:vMerge w:val="continue"/>
            <w:shd w:val="clear" w:color="auto" w:fill="CFF0FC"/>
          </w:tcPr>
          <w:p>
            <w:pPr>
              <w:spacing w:after="0"/>
              <w:rPr>
                <w:sz w:val="18"/>
                <w:szCs w:val="18"/>
                <w:color w:val="auto"/>
              </w:rPr>
            </w:pPr>
          </w:p>
        </w:tc>
        <w:tc>
          <w:tcPr>
            <w:tcW w:w="340" w:type="dxa"/>
            <w:vAlign w:val="bottom"/>
            <w:vMerge w:val="continue"/>
            <w:shd w:val="clear" w:color="auto" w:fill="CFF0FC"/>
          </w:tcPr>
          <w:p>
            <w:pPr>
              <w:spacing w:after="0"/>
              <w:rPr>
                <w:sz w:val="18"/>
                <w:szCs w:val="18"/>
                <w:color w:val="auto"/>
              </w:rPr>
            </w:pPr>
          </w:p>
        </w:tc>
        <w:tc>
          <w:tcPr>
            <w:tcW w:w="880" w:type="dxa"/>
            <w:vAlign w:val="bottom"/>
            <w:gridSpan w:val="2"/>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3320" w:type="dxa"/>
            <w:vAlign w:val="bottom"/>
            <w:gridSpan w:val="2"/>
          </w:tcPr>
          <w:p>
            <w:pPr>
              <w:spacing w:after="0" w:line="192" w:lineRule="exact"/>
              <w:rPr>
                <w:sz w:val="20"/>
                <w:szCs w:val="20"/>
                <w:color w:val="auto"/>
              </w:rPr>
            </w:pPr>
            <w:r>
              <w:rPr>
                <w:rFonts w:ascii="Arial" w:cs="Arial" w:eastAsia="Arial" w:hAnsi="Arial"/>
                <w:sz w:val="17"/>
                <w:szCs w:val="17"/>
                <w:color w:val="auto"/>
              </w:rPr>
              <w:t>Income (loss) before income tax provision</w:t>
            </w:r>
          </w:p>
        </w:tc>
        <w:tc>
          <w:tcPr>
            <w:tcW w:w="2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38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320" w:type="dxa"/>
            <w:vAlign w:val="bottom"/>
            <w:gridSpan w:val="2"/>
          </w:tcPr>
          <w:p>
            <w:pPr>
              <w:spacing w:after="0"/>
              <w:rPr>
                <w:sz w:val="20"/>
                <w:szCs w:val="20"/>
                <w:color w:val="auto"/>
              </w:rPr>
            </w:pPr>
            <w:r>
              <w:rPr>
                <w:rFonts w:ascii="Arial" w:cs="Arial" w:eastAsia="Arial" w:hAnsi="Arial"/>
                <w:sz w:val="17"/>
                <w:szCs w:val="17"/>
                <w:color w:val="auto"/>
              </w:rPr>
              <w:t>(benefit)</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5,325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7"/>
                <w:szCs w:val="17"/>
                <w:color w:val="auto"/>
              </w:rPr>
              <w:t>(5,029)</w:t>
            </w:r>
          </w:p>
        </w:tc>
        <w:tc>
          <w:tcPr>
            <w:tcW w:w="160" w:type="dxa"/>
            <w:vAlign w:val="bottom"/>
          </w:tcPr>
          <w:p>
            <w:pPr>
              <w:spacing w:after="0"/>
              <w:rPr>
                <w:sz w:val="18"/>
                <w:szCs w:val="18"/>
                <w:color w:val="auto"/>
              </w:rPr>
            </w:pPr>
          </w:p>
        </w:tc>
        <w:tc>
          <w:tcPr>
            <w:tcW w:w="1460" w:type="dxa"/>
            <w:vAlign w:val="bottom"/>
            <w:gridSpan w:val="4"/>
          </w:tcPr>
          <w:p>
            <w:pPr>
              <w:jc w:val="right"/>
              <w:ind w:right="280"/>
              <w:spacing w:after="0"/>
              <w:rPr>
                <w:sz w:val="20"/>
                <w:szCs w:val="20"/>
                <w:color w:val="auto"/>
              </w:rPr>
            </w:pPr>
            <w:r>
              <w:rPr>
                <w:rFonts w:ascii="Arial" w:cs="Arial" w:eastAsia="Arial" w:hAnsi="Arial"/>
                <w:sz w:val="17"/>
                <w:szCs w:val="17"/>
                <w:color w:val="auto"/>
              </w:rPr>
              <w:t>4.9%</w:t>
            </w:r>
          </w:p>
        </w:tc>
        <w:tc>
          <w:tcPr>
            <w:tcW w:w="1360" w:type="dxa"/>
            <w:vAlign w:val="bottom"/>
            <w:gridSpan w:val="2"/>
          </w:tcPr>
          <w:p>
            <w:pPr>
              <w:jc w:val="right"/>
              <w:ind w:right="180"/>
              <w:spacing w:after="0"/>
              <w:rPr>
                <w:sz w:val="20"/>
                <w:szCs w:val="20"/>
                <w:color w:val="auto"/>
              </w:rPr>
            </w:pPr>
            <w:r>
              <w:rPr>
                <w:rFonts w:ascii="Arial" w:cs="Arial" w:eastAsia="Arial" w:hAnsi="Arial"/>
                <w:sz w:val="17"/>
                <w:szCs w:val="17"/>
                <w:color w:val="auto"/>
              </w:rPr>
              <w:t>(5.1)%</w:t>
            </w:r>
          </w:p>
        </w:tc>
        <w:tc>
          <w:tcPr>
            <w:tcW w:w="2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10,354</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7"/>
                <w:szCs w:val="17"/>
                <w:color w:val="auto"/>
              </w:rPr>
              <w:t>205.9%</w:t>
            </w:r>
          </w:p>
        </w:tc>
        <w:tc>
          <w:tcPr>
            <w:tcW w:w="0" w:type="dxa"/>
            <w:vAlign w:val="bottom"/>
          </w:tcPr>
          <w:p>
            <w:pPr>
              <w:spacing w:after="0"/>
              <w:rPr>
                <w:sz w:val="1"/>
                <w:szCs w:val="1"/>
                <w:color w:val="auto"/>
              </w:rPr>
            </w:pPr>
          </w:p>
        </w:tc>
      </w:tr>
      <w:tr>
        <w:trPr>
          <w:trHeight w:val="220"/>
        </w:trPr>
        <w:tc>
          <w:tcPr>
            <w:tcW w:w="332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Income tax provision (benefit)</w:t>
            </w:r>
          </w:p>
        </w:tc>
        <w:tc>
          <w:tcPr>
            <w:tcW w:w="200" w:type="dxa"/>
            <w:vAlign w:val="bottom"/>
            <w:shd w:val="clear" w:color="auto" w:fill="CFF0FC"/>
          </w:tcPr>
          <w:p>
            <w:pPr>
              <w:spacing w:after="0"/>
              <w:rPr>
                <w:sz w:val="19"/>
                <w:szCs w:val="19"/>
                <w:color w:val="auto"/>
              </w:rPr>
            </w:pPr>
          </w:p>
        </w:tc>
        <w:tc>
          <w:tcPr>
            <w:tcW w:w="260" w:type="dxa"/>
            <w:vAlign w:val="bottom"/>
            <w:tcBorders>
              <w:left w:val="single" w:sz="8" w:color="CFF0FC"/>
            </w:tcBorders>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1,734</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(234)</w:t>
            </w:r>
          </w:p>
        </w:tc>
        <w:tc>
          <w:tcPr>
            <w:tcW w:w="160" w:type="dxa"/>
            <w:vAlign w:val="bottom"/>
            <w:shd w:val="clear" w:color="auto" w:fill="CFF0FC"/>
          </w:tcPr>
          <w:p>
            <w:pPr>
              <w:spacing w:after="0"/>
              <w:rPr>
                <w:sz w:val="19"/>
                <w:szCs w:val="19"/>
                <w:color w:val="auto"/>
              </w:rPr>
            </w:pPr>
          </w:p>
        </w:tc>
        <w:tc>
          <w:tcPr>
            <w:tcW w:w="1460" w:type="dxa"/>
            <w:vAlign w:val="bottom"/>
            <w:tcBorders>
              <w:right w:val="single" w:sz="8" w:color="CFF0FC"/>
            </w:tcBorders>
            <w:gridSpan w:val="4"/>
            <w:shd w:val="clear" w:color="auto" w:fill="CFF0FC"/>
          </w:tcPr>
          <w:p>
            <w:pPr>
              <w:jc w:val="right"/>
              <w:ind w:right="280"/>
              <w:spacing w:after="0"/>
              <w:rPr>
                <w:sz w:val="20"/>
                <w:szCs w:val="20"/>
                <w:color w:val="auto"/>
              </w:rPr>
            </w:pPr>
            <w:r>
              <w:rPr>
                <w:rFonts w:ascii="Arial" w:cs="Arial" w:eastAsia="Arial" w:hAnsi="Arial"/>
                <w:sz w:val="17"/>
                <w:szCs w:val="17"/>
                <w:color w:val="auto"/>
              </w:rPr>
              <w:t>1.6%</w:t>
            </w:r>
          </w:p>
        </w:tc>
        <w:tc>
          <w:tcPr>
            <w:tcW w:w="1360" w:type="dxa"/>
            <w:vAlign w:val="bottom"/>
            <w:tcBorders>
              <w:right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(0.2)%</w:t>
            </w:r>
          </w:p>
        </w:tc>
        <w:tc>
          <w:tcPr>
            <w:tcW w:w="2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1,968</w:t>
            </w:r>
          </w:p>
        </w:tc>
        <w:tc>
          <w:tcPr>
            <w:tcW w:w="20" w:type="dxa"/>
            <w:vAlign w:val="bottom"/>
            <w:shd w:val="clear" w:color="auto" w:fill="CFF0FC"/>
          </w:tcPr>
          <w:p>
            <w:pPr>
              <w:spacing w:after="0"/>
              <w:rPr>
                <w:sz w:val="19"/>
                <w:szCs w:val="19"/>
                <w:color w:val="auto"/>
              </w:rPr>
            </w:pPr>
          </w:p>
        </w:tc>
        <w:tc>
          <w:tcPr>
            <w:tcW w:w="260" w:type="dxa"/>
            <w:vAlign w:val="bottom"/>
            <w:tcBorders>
              <w:right w:val="single" w:sz="8" w:color="CFF0FC"/>
            </w:tcBorders>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841.0%</w:t>
            </w:r>
          </w:p>
        </w:tc>
        <w:tc>
          <w:tcPr>
            <w:tcW w:w="0" w:type="dxa"/>
            <w:vAlign w:val="bottom"/>
          </w:tcPr>
          <w:p>
            <w:pPr>
              <w:spacing w:after="0"/>
              <w:rPr>
                <w:sz w:val="1"/>
                <w:szCs w:val="1"/>
                <w:color w:val="auto"/>
              </w:rPr>
            </w:pPr>
          </w:p>
        </w:tc>
      </w:tr>
      <w:tr>
        <w:trPr>
          <w:trHeight w:val="20"/>
        </w:trPr>
        <w:tc>
          <w:tcPr>
            <w:tcW w:w="3320" w:type="dxa"/>
            <w:vAlign w:val="bottom"/>
            <w:gridSpan w:val="2"/>
            <w:vMerge w:val="restart"/>
          </w:tcPr>
          <w:p>
            <w:pPr>
              <w:ind w:left="260"/>
              <w:spacing w:after="0"/>
              <w:rPr>
                <w:sz w:val="20"/>
                <w:szCs w:val="20"/>
                <w:color w:val="auto"/>
              </w:rPr>
            </w:pPr>
            <w:r>
              <w:rPr>
                <w:rFonts w:ascii="Arial" w:cs="Arial" w:eastAsia="Arial" w:hAnsi="Arial"/>
                <w:sz w:val="17"/>
                <w:szCs w:val="17"/>
                <w:color w:val="auto"/>
              </w:rPr>
              <w:t>Net income (loss)</w:t>
            </w:r>
          </w:p>
        </w:tc>
        <w:tc>
          <w:tcPr>
            <w:tcW w:w="200" w:type="dxa"/>
            <w:vAlign w:val="bottom"/>
            <w:vMerge w:val="restart"/>
          </w:tcPr>
          <w:p>
            <w:pPr>
              <w:spacing w:after="0" w:line="20" w:lineRule="exact"/>
              <w:rPr>
                <w:sz w:val="1"/>
                <w:szCs w:val="1"/>
                <w:color w:val="auto"/>
              </w:rPr>
            </w:pPr>
          </w:p>
        </w:tc>
        <w:tc>
          <w:tcPr>
            <w:tcW w:w="260" w:type="dxa"/>
            <w:vAlign w:val="bottom"/>
            <w:tcBorders>
              <w:left w:val="single" w:sz="8" w:color="auto"/>
            </w:tcBorders>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right w:val="single" w:sz="8" w:color="auto"/>
            </w:tcBorders>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80" w:type="dxa"/>
            <w:vAlign w:val="bottom"/>
            <w:tcBorders>
              <w:right w:val="single" w:sz="8" w:color="auto"/>
            </w:tcBorders>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80" w:type="dxa"/>
            <w:vAlign w:val="bottom"/>
            <w:gridSpan w:val="2"/>
            <w:vMerge w:val="restart"/>
          </w:tcPr>
          <w:p>
            <w:pPr>
              <w:jc w:val="right"/>
              <w:ind w:right="80"/>
              <w:spacing w:after="0"/>
              <w:rPr>
                <w:sz w:val="20"/>
                <w:szCs w:val="20"/>
                <w:color w:val="auto"/>
              </w:rPr>
            </w:pPr>
            <w:r>
              <w:rPr>
                <w:rFonts w:ascii="Arial" w:cs="Arial" w:eastAsia="Arial" w:hAnsi="Arial"/>
                <w:sz w:val="17"/>
                <w:szCs w:val="17"/>
                <w:color w:val="auto"/>
              </w:rPr>
              <w:t>174.9%</w:t>
            </w:r>
          </w:p>
        </w:tc>
        <w:tc>
          <w:tcPr>
            <w:tcW w:w="0" w:type="dxa"/>
            <w:vAlign w:val="bottom"/>
          </w:tcPr>
          <w:p>
            <w:pPr>
              <w:spacing w:after="0" w:line="20" w:lineRule="exact"/>
              <w:rPr>
                <w:sz w:val="1"/>
                <w:szCs w:val="1"/>
                <w:color w:val="auto"/>
              </w:rPr>
            </w:pPr>
          </w:p>
        </w:tc>
      </w:tr>
      <w:tr>
        <w:trPr>
          <w:trHeight w:val="210"/>
        </w:trPr>
        <w:tc>
          <w:tcPr>
            <w:tcW w:w="3320" w:type="dxa"/>
            <w:vAlign w:val="bottom"/>
            <w:gridSpan w:val="2"/>
            <w:vMerge w:val="continue"/>
          </w:tcPr>
          <w:p>
            <w:pPr>
              <w:spacing w:after="0"/>
              <w:rPr>
                <w:sz w:val="18"/>
                <w:szCs w:val="18"/>
                <w:color w:val="auto"/>
              </w:rPr>
            </w:pPr>
          </w:p>
        </w:tc>
        <w:tc>
          <w:tcPr>
            <w:tcW w:w="200" w:type="dxa"/>
            <w:vAlign w:val="bottom"/>
            <w:vMerge w:val="continue"/>
          </w:tcPr>
          <w:p>
            <w:pPr>
              <w:spacing w:after="0"/>
              <w:rPr>
                <w:sz w:val="18"/>
                <w:szCs w:val="18"/>
                <w:color w:val="auto"/>
              </w:rPr>
            </w:pPr>
          </w:p>
        </w:tc>
        <w:tc>
          <w:tcPr>
            <w:tcW w:w="260" w:type="dxa"/>
            <w:vAlign w:val="bottom"/>
          </w:tcPr>
          <w:p>
            <w:pPr>
              <w:jc w:val="right"/>
              <w:ind w:right="100"/>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3,591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gridSpan w:val="2"/>
          </w:tcPr>
          <w:p>
            <w:pPr>
              <w:jc w:val="right"/>
              <w:ind w:right="90"/>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(4,795)</w:t>
            </w:r>
          </w:p>
        </w:tc>
        <w:tc>
          <w:tcPr>
            <w:tcW w:w="100" w:type="dxa"/>
            <w:vAlign w:val="bottom"/>
            <w:vMerge w:val="continue"/>
          </w:tcPr>
          <w:p>
            <w:pPr>
              <w:spacing w:after="0"/>
              <w:rPr>
                <w:sz w:val="18"/>
                <w:szCs w:val="18"/>
                <w:color w:val="auto"/>
              </w:rPr>
            </w:pPr>
          </w:p>
        </w:tc>
        <w:tc>
          <w:tcPr>
            <w:tcW w:w="160" w:type="dxa"/>
            <w:vAlign w:val="bottom"/>
            <w:vMerge w:val="continue"/>
          </w:tcPr>
          <w:p>
            <w:pPr>
              <w:spacing w:after="0"/>
              <w:rPr>
                <w:sz w:val="18"/>
                <w:szCs w:val="18"/>
                <w:color w:val="auto"/>
              </w:rPr>
            </w:pPr>
          </w:p>
        </w:tc>
        <w:tc>
          <w:tcPr>
            <w:tcW w:w="1460" w:type="dxa"/>
            <w:vAlign w:val="bottom"/>
            <w:gridSpan w:val="4"/>
          </w:tcPr>
          <w:p>
            <w:pPr>
              <w:jc w:val="right"/>
              <w:ind w:right="280"/>
              <w:spacing w:after="0"/>
              <w:rPr>
                <w:sz w:val="20"/>
                <w:szCs w:val="20"/>
                <w:color w:val="auto"/>
              </w:rPr>
            </w:pPr>
            <w:r>
              <w:rPr>
                <w:rFonts w:ascii="Arial" w:cs="Arial" w:eastAsia="Arial" w:hAnsi="Arial"/>
                <w:sz w:val="17"/>
                <w:szCs w:val="17"/>
                <w:color w:val="auto"/>
              </w:rPr>
              <w:t>3.3%</w:t>
            </w:r>
          </w:p>
        </w:tc>
        <w:tc>
          <w:tcPr>
            <w:tcW w:w="1360" w:type="dxa"/>
            <w:vAlign w:val="bottom"/>
            <w:gridSpan w:val="2"/>
          </w:tcPr>
          <w:p>
            <w:pPr>
              <w:jc w:val="right"/>
              <w:ind w:right="180"/>
              <w:spacing w:after="0"/>
              <w:rPr>
                <w:sz w:val="20"/>
                <w:szCs w:val="20"/>
                <w:color w:val="auto"/>
              </w:rPr>
            </w:pPr>
            <w:r>
              <w:rPr>
                <w:rFonts w:ascii="Arial" w:cs="Arial" w:eastAsia="Arial" w:hAnsi="Arial"/>
                <w:sz w:val="17"/>
                <w:szCs w:val="17"/>
                <w:color w:val="auto"/>
              </w:rPr>
              <w:t>(4.9)%</w:t>
            </w:r>
          </w:p>
        </w:tc>
        <w:tc>
          <w:tcPr>
            <w:tcW w:w="280" w:type="dxa"/>
            <w:vAlign w:val="bottom"/>
          </w:tcPr>
          <w:p>
            <w:pPr>
              <w:jc w:val="right"/>
              <w:ind w:right="158"/>
              <w:spacing w:after="0"/>
              <w:rPr>
                <w:sz w:val="20"/>
                <w:szCs w:val="20"/>
                <w:color w:val="auto"/>
              </w:rPr>
            </w:pPr>
            <w:r>
              <w:rPr>
                <w:rFonts w:ascii="Arial" w:cs="Arial" w:eastAsia="Arial" w:hAnsi="Arial"/>
                <w:sz w:val="10"/>
                <w:szCs w:val="10"/>
                <w:color w:val="auto"/>
                <w:w w:val="71"/>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8,386</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100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5"/>
          </w:tcPr>
          <w:p>
            <w:pPr>
              <w:jc w:val="right"/>
              <w:ind w:right="560"/>
              <w:spacing w:after="0"/>
              <w:rPr>
                <w:sz w:val="20"/>
                <w:szCs w:val="20"/>
                <w:color w:val="auto"/>
              </w:rPr>
            </w:pPr>
            <w:r>
              <w:rPr>
                <w:rFonts w:ascii="Arial" w:cs="Arial" w:eastAsia="Arial" w:hAnsi="Arial"/>
                <w:sz w:val="14"/>
                <w:szCs w:val="14"/>
                <w:b w:val="1"/>
                <w:bCs w:val="1"/>
                <w:color w:val="auto"/>
              </w:rPr>
              <w:t>Three Months Ended June 30,</w:t>
            </w:r>
          </w:p>
        </w:tc>
        <w:tc>
          <w:tcPr>
            <w:tcW w:w="2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100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720" w:type="dxa"/>
            <w:vAlign w:val="bottom"/>
            <w:gridSpan w:val="5"/>
            <w:vMerge w:val="restart"/>
          </w:tcPr>
          <w:p>
            <w:pPr>
              <w:jc w:val="right"/>
              <w:ind w:right="820"/>
              <w:spacing w:after="0"/>
              <w:rPr>
                <w:sz w:val="20"/>
                <w:szCs w:val="20"/>
                <w:color w:val="auto"/>
              </w:rPr>
            </w:pPr>
            <w:r>
              <w:rPr>
                <w:rFonts w:ascii="Arial" w:cs="Arial" w:eastAsia="Arial" w:hAnsi="Arial"/>
                <w:sz w:val="14"/>
                <w:szCs w:val="14"/>
                <w:b w:val="1"/>
                <w:bCs w:val="1"/>
                <w:color w:val="auto"/>
              </w:rPr>
              <w:t>Percentage of Revenue</w:t>
            </w:r>
          </w:p>
        </w:tc>
        <w:tc>
          <w:tcPr>
            <w:tcW w:w="280" w:type="dxa"/>
            <w:vAlign w:val="bottom"/>
          </w:tcPr>
          <w:p>
            <w:pPr>
              <w:spacing w:after="0"/>
              <w:rPr>
                <w:sz w:val="11"/>
                <w:szCs w:val="11"/>
                <w:color w:val="auto"/>
              </w:rPr>
            </w:pPr>
          </w:p>
        </w:tc>
        <w:tc>
          <w:tcPr>
            <w:tcW w:w="2060" w:type="dxa"/>
            <w:vAlign w:val="bottom"/>
            <w:gridSpan w:val="5"/>
          </w:tcPr>
          <w:p>
            <w:pPr>
              <w:jc w:val="center"/>
              <w:ind w:right="196"/>
              <w:spacing w:after="0" w:line="133" w:lineRule="exact"/>
              <w:rPr>
                <w:sz w:val="20"/>
                <w:szCs w:val="20"/>
                <w:color w:val="auto"/>
              </w:rPr>
            </w:pPr>
            <w:r>
              <w:rPr>
                <w:rFonts w:ascii="Arial" w:cs="Arial" w:eastAsia="Arial" w:hAnsi="Arial"/>
                <w:sz w:val="14"/>
                <w:szCs w:val="14"/>
                <w:b w:val="1"/>
                <w:bCs w:val="1"/>
                <w:color w:val="auto"/>
                <w:w w:val="89"/>
              </w:rPr>
              <w:t>Increase (Decrease)</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1000" w:type="dxa"/>
            <w:vAlign w:val="bottom"/>
            <w:vMerge w:val="restart"/>
          </w:tcPr>
          <w:p>
            <w:pPr>
              <w:spacing w:after="0"/>
              <w:rPr>
                <w:sz w:val="20"/>
                <w:szCs w:val="20"/>
                <w:color w:val="auto"/>
              </w:rPr>
            </w:pPr>
            <w:r>
              <w:rPr>
                <w:rFonts w:ascii="Arial" w:cs="Arial" w:eastAsia="Arial" w:hAnsi="Arial"/>
                <w:sz w:val="14"/>
                <w:szCs w:val="14"/>
                <w:b w:val="1"/>
                <w:bCs w:val="1"/>
                <w:u w:val="single" w:color="auto"/>
                <w:color w:val="auto"/>
                <w:w w:val="90"/>
              </w:rPr>
              <w:t>(</w:t>
            </w:r>
            <w:r>
              <w:rPr>
                <w:rFonts w:ascii="Arial" w:cs="Arial" w:eastAsia="Arial" w:hAnsi="Arial"/>
                <w:sz w:val="14"/>
                <w:szCs w:val="14"/>
                <w:b w:val="1"/>
                <w:bCs w:val="1"/>
                <w:color w:val="auto"/>
                <w:w w:val="90"/>
              </w:rPr>
              <w:t>$ in thousands)</w:t>
            </w:r>
          </w:p>
        </w:tc>
        <w:tc>
          <w:tcPr>
            <w:tcW w:w="2320" w:type="dxa"/>
            <w:vAlign w:val="bottom"/>
            <w:vMerge w:val="restart"/>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vMerge w:val="restart"/>
          </w:tcPr>
          <w:p>
            <w:pPr>
              <w:jc w:val="right"/>
              <w:ind w:right="216"/>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vMerge w:val="restart"/>
          </w:tcPr>
          <w:p>
            <w:pPr>
              <w:jc w:val="right"/>
              <w:ind w:right="196"/>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720" w:type="dxa"/>
            <w:vAlign w:val="bottom"/>
            <w:gridSpan w:val="5"/>
            <w:vMerge w:val="continue"/>
          </w:tcPr>
          <w:p>
            <w:pPr>
              <w:spacing w:after="0"/>
              <w:rPr>
                <w:sz w:val="14"/>
                <w:szCs w:val="14"/>
                <w:color w:val="auto"/>
              </w:rPr>
            </w:pPr>
          </w:p>
        </w:tc>
        <w:tc>
          <w:tcPr>
            <w:tcW w:w="280" w:type="dxa"/>
            <w:vAlign w:val="bottom"/>
          </w:tcPr>
          <w:p>
            <w:pPr>
              <w:spacing w:after="0"/>
              <w:rPr>
                <w:sz w:val="14"/>
                <w:szCs w:val="14"/>
                <w:color w:val="auto"/>
              </w:rPr>
            </w:pPr>
          </w:p>
        </w:tc>
        <w:tc>
          <w:tcPr>
            <w:tcW w:w="1360" w:type="dxa"/>
            <w:vAlign w:val="bottom"/>
            <w:gridSpan w:val="4"/>
          </w:tcPr>
          <w:p>
            <w:pPr>
              <w:jc w:val="center"/>
              <w:ind w:left="338"/>
              <w:spacing w:after="0"/>
              <w:rPr>
                <w:sz w:val="20"/>
                <w:szCs w:val="20"/>
                <w:color w:val="auto"/>
              </w:rPr>
            </w:pPr>
            <w:r>
              <w:rPr>
                <w:rFonts w:ascii="Arial" w:cs="Arial" w:eastAsia="Arial" w:hAnsi="Arial"/>
                <w:sz w:val="14"/>
                <w:szCs w:val="14"/>
                <w:b w:val="1"/>
                <w:bCs w:val="1"/>
                <w:color w:val="auto"/>
                <w:w w:val="91"/>
              </w:rPr>
              <w:t>2019 vs 2018</w:t>
            </w: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1000" w:type="dxa"/>
            <w:vAlign w:val="bottom"/>
            <w:tcBorders>
              <w:bottom w:val="single" w:sz="8" w:color="auto"/>
            </w:tcBorders>
            <w:vMerge w:val="continue"/>
          </w:tcPr>
          <w:p>
            <w:pPr>
              <w:spacing w:after="0"/>
              <w:rPr>
                <w:sz w:val="12"/>
                <w:szCs w:val="12"/>
                <w:color w:val="auto"/>
              </w:rPr>
            </w:pPr>
          </w:p>
        </w:tc>
        <w:tc>
          <w:tcPr>
            <w:tcW w:w="23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Borders>
              <w:top w:val="single" w:sz="8" w:color="auto"/>
            </w:tcBorders>
          </w:tcPr>
          <w:p>
            <w:pPr>
              <w:jc w:val="right"/>
              <w:ind w:right="204"/>
              <w:spacing w:after="0" w:line="142"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jc w:val="right"/>
              <w:ind w:right="236"/>
              <w:spacing w:after="0" w:line="142" w:lineRule="exact"/>
              <w:rPr>
                <w:sz w:val="20"/>
                <w:szCs w:val="20"/>
                <w:color w:val="auto"/>
              </w:rPr>
            </w:pPr>
            <w:r>
              <w:rPr>
                <w:rFonts w:ascii="Arial" w:cs="Arial" w:eastAsia="Arial" w:hAnsi="Arial"/>
                <w:sz w:val="14"/>
                <w:szCs w:val="14"/>
                <w:b w:val="1"/>
                <w:bCs w:val="1"/>
                <w:color w:val="auto"/>
              </w:rPr>
              <w:t>2018</w:t>
            </w:r>
          </w:p>
        </w:tc>
        <w:tc>
          <w:tcPr>
            <w:tcW w:w="38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ind w:right="378"/>
              <w:spacing w:after="0" w:line="142" w:lineRule="exact"/>
              <w:rPr>
                <w:sz w:val="20"/>
                <w:szCs w:val="20"/>
                <w:color w:val="auto"/>
              </w:rPr>
            </w:pPr>
            <w:r>
              <w:rPr>
                <w:rFonts w:ascii="Arial" w:cs="Arial" w:eastAsia="Arial" w:hAnsi="Arial"/>
                <w:sz w:val="14"/>
                <w:szCs w:val="14"/>
                <w:b w:val="1"/>
                <w:bCs w:val="1"/>
                <w:color w:val="auto"/>
              </w:rPr>
              <w:t>$</w:t>
            </w:r>
          </w:p>
        </w:tc>
        <w:tc>
          <w:tcPr>
            <w:tcW w:w="2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376"/>
              <w:spacing w:after="0" w:line="142"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320" w:type="dxa"/>
            <w:vAlign w:val="bottom"/>
            <w:gridSpan w:val="2"/>
            <w:vMerge w:val="restart"/>
            <w:shd w:val="clear" w:color="auto" w:fill="CFF0FC"/>
          </w:tcPr>
          <w:p>
            <w:pPr>
              <w:spacing w:after="0"/>
              <w:rPr>
                <w:sz w:val="20"/>
                <w:szCs w:val="20"/>
                <w:color w:val="auto"/>
              </w:rPr>
            </w:pPr>
            <w:r>
              <w:rPr>
                <w:rFonts w:ascii="Arial" w:cs="Arial" w:eastAsia="Arial" w:hAnsi="Arial"/>
                <w:sz w:val="18"/>
                <w:szCs w:val="18"/>
                <w:color w:val="auto"/>
              </w:rPr>
              <w:t>Adjusted EBITDA</w:t>
            </w:r>
            <w:r>
              <w:rPr>
                <w:rFonts w:ascii="Arial" w:cs="Arial" w:eastAsia="Arial" w:hAnsi="Arial"/>
                <w:sz w:val="15"/>
                <w:szCs w:val="15"/>
                <w:color w:val="auto"/>
              </w:rPr>
              <w:t>(1)</w:t>
            </w:r>
          </w:p>
        </w:tc>
        <w:tc>
          <w:tcPr>
            <w:tcW w:w="200" w:type="dxa"/>
            <w:vAlign w:val="bottom"/>
            <w:vMerge w:val="restart"/>
            <w:shd w:val="clear" w:color="auto" w:fill="CFF0FC"/>
          </w:tcPr>
          <w:p>
            <w:pPr>
              <w:spacing w:after="0" w:line="20" w:lineRule="exact"/>
              <w:rPr>
                <w:sz w:val="1"/>
                <w:szCs w:val="1"/>
                <w:color w:val="auto"/>
              </w:rPr>
            </w:pPr>
          </w:p>
        </w:tc>
        <w:tc>
          <w:tcPr>
            <w:tcW w:w="260" w:type="dxa"/>
            <w:vAlign w:val="bottom"/>
            <w:tcBorders>
              <w:left w:val="single" w:sz="8" w:color="CFF0FC"/>
            </w:tcBorders>
            <w:shd w:val="clear" w:color="auto" w:fill="000000"/>
          </w:tcPr>
          <w:p>
            <w:pPr>
              <w:spacing w:after="0" w:line="20" w:lineRule="exact"/>
              <w:rPr>
                <w:sz w:val="1"/>
                <w:szCs w:val="1"/>
                <w:color w:val="auto"/>
              </w:rPr>
            </w:pPr>
          </w:p>
        </w:tc>
        <w:tc>
          <w:tcPr>
            <w:tcW w:w="840" w:type="dxa"/>
            <w:vAlign w:val="bottom"/>
            <w:gridSpan w:val="2"/>
            <w:shd w:val="clear" w:color="auto" w:fill="000000"/>
          </w:tcPr>
          <w:p>
            <w:pPr>
              <w:spacing w:after="0" w:line="20" w:lineRule="exact"/>
              <w:rPr>
                <w:sz w:val="1"/>
                <w:szCs w:val="1"/>
                <w:color w:val="auto"/>
              </w:rPr>
            </w:pPr>
          </w:p>
        </w:tc>
        <w:tc>
          <w:tcPr>
            <w:tcW w:w="180" w:type="dxa"/>
            <w:vAlign w:val="bottom"/>
            <w:vMerge w:val="restart"/>
            <w:shd w:val="clear" w:color="auto" w:fill="CFF0FC"/>
          </w:tcPr>
          <w:p>
            <w:pPr>
              <w:spacing w:after="0" w:line="20" w:lineRule="exact"/>
              <w:rPr>
                <w:sz w:val="1"/>
                <w:szCs w:val="1"/>
                <w:color w:val="auto"/>
              </w:rPr>
            </w:pPr>
          </w:p>
        </w:tc>
        <w:tc>
          <w:tcPr>
            <w:tcW w:w="80" w:type="dxa"/>
            <w:vAlign w:val="bottom"/>
            <w:vMerge w:val="restart"/>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60" w:type="dxa"/>
            <w:vAlign w:val="bottom"/>
            <w:gridSpan w:val="2"/>
            <w:shd w:val="clear" w:color="auto" w:fill="000000"/>
          </w:tcPr>
          <w:p>
            <w:pPr>
              <w:spacing w:after="0" w:line="20" w:lineRule="exact"/>
              <w:rPr>
                <w:sz w:val="1"/>
                <w:szCs w:val="1"/>
                <w:color w:val="auto"/>
              </w:rPr>
            </w:pPr>
          </w:p>
        </w:tc>
        <w:tc>
          <w:tcPr>
            <w:tcW w:w="160" w:type="dxa"/>
            <w:vAlign w:val="bottom"/>
            <w:vMerge w:val="restart"/>
            <w:shd w:val="clear" w:color="auto" w:fill="CFF0FC"/>
          </w:tcPr>
          <w:p>
            <w:pPr>
              <w:spacing w:after="0" w:line="20" w:lineRule="exact"/>
              <w:rPr>
                <w:sz w:val="1"/>
                <w:szCs w:val="1"/>
                <w:color w:val="auto"/>
              </w:rPr>
            </w:pPr>
          </w:p>
        </w:tc>
        <w:tc>
          <w:tcPr>
            <w:tcW w:w="100" w:type="dxa"/>
            <w:vAlign w:val="bottom"/>
            <w:vMerge w:val="restart"/>
            <w:shd w:val="clear" w:color="auto" w:fill="CFF0FC"/>
          </w:tcPr>
          <w:p>
            <w:pPr>
              <w:spacing w:after="0" w:line="20" w:lineRule="exact"/>
              <w:rPr>
                <w:sz w:val="1"/>
                <w:szCs w:val="1"/>
                <w:color w:val="auto"/>
              </w:rPr>
            </w:pPr>
          </w:p>
        </w:tc>
        <w:tc>
          <w:tcPr>
            <w:tcW w:w="1040" w:type="dxa"/>
            <w:vAlign w:val="bottom"/>
            <w:gridSpan w:val="2"/>
            <w:shd w:val="clear" w:color="auto" w:fill="000000"/>
          </w:tcPr>
          <w:p>
            <w:pPr>
              <w:spacing w:after="0" w:line="20" w:lineRule="exact"/>
              <w:rPr>
                <w:sz w:val="1"/>
                <w:szCs w:val="1"/>
                <w:color w:val="auto"/>
              </w:rPr>
            </w:pPr>
          </w:p>
        </w:tc>
        <w:tc>
          <w:tcPr>
            <w:tcW w:w="320" w:type="dxa"/>
            <w:vAlign w:val="bottom"/>
            <w:tcBorders>
              <w:right w:val="single" w:sz="8" w:color="CFF0FC"/>
            </w:tcBorders>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80" w:type="dxa"/>
            <w:vAlign w:val="bottom"/>
            <w:tcBorders>
              <w:left w:val="single" w:sz="8" w:color="auto"/>
              <w:right w:val="single" w:sz="8" w:color="CFF0FC"/>
            </w:tcBorders>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60" w:type="dxa"/>
            <w:vAlign w:val="bottom"/>
            <w:gridSpan w:val="2"/>
            <w:shd w:val="clear" w:color="auto" w:fill="000000"/>
          </w:tcPr>
          <w:p>
            <w:pPr>
              <w:spacing w:after="0" w:line="20" w:lineRule="exact"/>
              <w:rPr>
                <w:sz w:val="1"/>
                <w:szCs w:val="1"/>
                <w:color w:val="auto"/>
              </w:rPr>
            </w:pPr>
          </w:p>
        </w:tc>
        <w:tc>
          <w:tcPr>
            <w:tcW w:w="260" w:type="dxa"/>
            <w:vAlign w:val="bottom"/>
            <w:tcBorders>
              <w:right w:val="single" w:sz="8" w:color="CFF0FC"/>
            </w:tcBorders>
            <w:vMerge w:val="restart"/>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0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320" w:type="dxa"/>
            <w:vAlign w:val="bottom"/>
            <w:gridSpan w:val="2"/>
            <w:vMerge w:val="continue"/>
            <w:shd w:val="clear" w:color="auto" w:fill="CFF0FC"/>
          </w:tcPr>
          <w:p>
            <w:pPr>
              <w:spacing w:after="0"/>
              <w:rPr>
                <w:sz w:val="18"/>
                <w:szCs w:val="18"/>
                <w:color w:val="auto"/>
              </w:rPr>
            </w:pPr>
          </w:p>
        </w:tc>
        <w:tc>
          <w:tcPr>
            <w:tcW w:w="200" w:type="dxa"/>
            <w:vAlign w:val="bottom"/>
            <w:vMerge w:val="continue"/>
            <w:shd w:val="clear" w:color="auto" w:fill="CFF0FC"/>
          </w:tcPr>
          <w:p>
            <w:pPr>
              <w:spacing w:after="0"/>
              <w:rPr>
                <w:sz w:val="18"/>
                <w:szCs w:val="18"/>
                <w:color w:val="auto"/>
              </w:rPr>
            </w:pPr>
          </w:p>
        </w:tc>
        <w:tc>
          <w:tcPr>
            <w:tcW w:w="260" w:type="dxa"/>
            <w:vAlign w:val="bottom"/>
            <w:tcBorders>
              <w:left w:val="single" w:sz="8" w:color="CFF0FC"/>
            </w:tcBorders>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59,691</w:t>
            </w:r>
          </w:p>
        </w:tc>
        <w:tc>
          <w:tcPr>
            <w:tcW w:w="180" w:type="dxa"/>
            <w:vAlign w:val="bottom"/>
            <w:vMerge w:val="continue"/>
            <w:shd w:val="clear" w:color="auto" w:fill="CFF0FC"/>
          </w:tcPr>
          <w:p>
            <w:pPr>
              <w:spacing w:after="0"/>
              <w:rPr>
                <w:sz w:val="18"/>
                <w:szCs w:val="18"/>
                <w:color w:val="auto"/>
              </w:rPr>
            </w:pPr>
          </w:p>
        </w:tc>
        <w:tc>
          <w:tcPr>
            <w:tcW w:w="80" w:type="dxa"/>
            <w:vAlign w:val="bottom"/>
            <w:vMerge w:val="continue"/>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54,598</w:t>
            </w:r>
          </w:p>
        </w:tc>
        <w:tc>
          <w:tcPr>
            <w:tcW w:w="160" w:type="dxa"/>
            <w:vAlign w:val="bottom"/>
            <w:vMerge w:val="continue"/>
            <w:shd w:val="clear" w:color="auto" w:fill="CFF0FC"/>
          </w:tcPr>
          <w:p>
            <w:pPr>
              <w:spacing w:after="0"/>
              <w:rPr>
                <w:sz w:val="18"/>
                <w:szCs w:val="18"/>
                <w:color w:val="auto"/>
              </w:rPr>
            </w:pPr>
          </w:p>
        </w:tc>
        <w:tc>
          <w:tcPr>
            <w:tcW w:w="100" w:type="dxa"/>
            <w:vAlign w:val="bottom"/>
            <w:vMerge w:val="continue"/>
            <w:shd w:val="clear" w:color="auto" w:fill="CFF0FC"/>
          </w:tcPr>
          <w:p>
            <w:pPr>
              <w:spacing w:after="0"/>
              <w:rPr>
                <w:sz w:val="18"/>
                <w:szCs w:val="18"/>
                <w:color w:val="auto"/>
              </w:rPr>
            </w:pPr>
          </w:p>
        </w:tc>
        <w:tc>
          <w:tcPr>
            <w:tcW w:w="1360" w:type="dxa"/>
            <w:vAlign w:val="bottom"/>
            <w:tcBorders>
              <w:right w:val="single" w:sz="8" w:color="CFF0FC"/>
            </w:tcBorders>
            <w:gridSpan w:val="3"/>
            <w:shd w:val="clear" w:color="auto" w:fill="CFF0FC"/>
          </w:tcPr>
          <w:p>
            <w:pPr>
              <w:jc w:val="right"/>
              <w:ind w:right="180"/>
              <w:spacing w:after="0"/>
              <w:rPr>
                <w:sz w:val="20"/>
                <w:szCs w:val="20"/>
                <w:color w:val="auto"/>
              </w:rPr>
            </w:pPr>
            <w:r>
              <w:rPr>
                <w:rFonts w:ascii="Arial" w:cs="Arial" w:eastAsia="Arial" w:hAnsi="Arial"/>
                <w:sz w:val="18"/>
                <w:szCs w:val="18"/>
                <w:color w:val="auto"/>
              </w:rPr>
              <w:t>54.5%</w:t>
            </w:r>
          </w:p>
        </w:tc>
        <w:tc>
          <w:tcPr>
            <w:tcW w:w="1360" w:type="dxa"/>
            <w:vAlign w:val="bottom"/>
            <w:tcBorders>
              <w:right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55.6%</w:t>
            </w:r>
          </w:p>
        </w:tc>
        <w:tc>
          <w:tcPr>
            <w:tcW w:w="280" w:type="dxa"/>
            <w:vAlign w:val="bottom"/>
            <w:shd w:val="clear" w:color="auto" w:fill="CFF0FC"/>
          </w:tcPr>
          <w:p>
            <w:pPr>
              <w:jc w:val="right"/>
              <w:ind w:right="118"/>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5,093</w:t>
            </w:r>
          </w:p>
        </w:tc>
        <w:tc>
          <w:tcPr>
            <w:tcW w:w="260" w:type="dxa"/>
            <w:vAlign w:val="bottom"/>
            <w:tcBorders>
              <w:right w:val="single" w:sz="8" w:color="CFF0FC"/>
            </w:tcBorders>
            <w:vMerge w:val="continue"/>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bl>
    <w:p>
      <w:pPr>
        <w:spacing w:after="0" w:line="224" w:lineRule="exact"/>
        <w:rPr>
          <w:sz w:val="20"/>
          <w:szCs w:val="20"/>
          <w:color w:val="auto"/>
        </w:rPr>
      </w:pPr>
    </w:p>
    <w:p>
      <w:pPr>
        <w:ind w:left="960" w:right="20" w:hanging="547"/>
        <w:spacing w:after="0" w:line="253" w:lineRule="auto"/>
        <w:tabs>
          <w:tab w:leader="none" w:pos="960" w:val="left"/>
        </w:tabs>
        <w:numPr>
          <w:ilvl w:val="0"/>
          <w:numId w:val="23"/>
        </w:numPr>
        <w:rPr>
          <w:rFonts w:ascii="Arial" w:cs="Arial" w:eastAsia="Arial" w:hAnsi="Arial"/>
          <w:sz w:val="14"/>
          <w:szCs w:val="14"/>
          <w:color w:val="auto"/>
        </w:rPr>
      </w:pPr>
      <w:r>
        <w:rPr>
          <w:rFonts w:ascii="Arial" w:cs="Arial" w:eastAsia="Arial" w:hAnsi="Arial"/>
          <w:sz w:val="14"/>
          <w:szCs w:val="14"/>
          <w:color w:val="auto"/>
        </w:rPr>
        <w:t>Adjusted EBITDA is a non-GAAP measure. Refer to the section entitled Non-GAAP Financial Data for a reconciliation of Adjusted EBITDA to net income (loss), the most directly comparable GAAP measure, as well as a discussion of why management believes this information is useful to investors and its limitations.</w:t>
      </w:r>
    </w:p>
    <w:p>
      <w:pPr>
        <w:spacing w:after="0" w:line="138" w:lineRule="exact"/>
        <w:rPr>
          <w:sz w:val="20"/>
          <w:szCs w:val="20"/>
          <w:color w:val="auto"/>
        </w:rPr>
      </w:pPr>
    </w:p>
    <w:p>
      <w:pPr>
        <w:jc w:val="both"/>
        <w:ind w:right="20" w:firstLine="815"/>
        <w:spacing w:after="0" w:line="264" w:lineRule="auto"/>
        <w:rPr>
          <w:sz w:val="20"/>
          <w:szCs w:val="20"/>
          <w:color w:val="auto"/>
        </w:rPr>
      </w:pPr>
      <w:r>
        <w:rPr>
          <w:rFonts w:ascii="Arial" w:cs="Arial" w:eastAsia="Arial" w:hAnsi="Arial"/>
          <w:sz w:val="18"/>
          <w:szCs w:val="18"/>
          <w:i w:val="1"/>
          <w:iCs w:val="1"/>
          <w:color w:val="auto"/>
        </w:rPr>
        <w:t xml:space="preserve">Service Revenue. </w:t>
      </w:r>
      <w:r>
        <w:rPr>
          <w:rFonts w:ascii="Arial" w:cs="Arial" w:eastAsia="Arial" w:hAnsi="Arial"/>
          <w:sz w:val="18"/>
          <w:szCs w:val="18"/>
          <w:color w:val="auto"/>
        </w:rPr>
        <w:t>Service revenue increased by $6.0 million, or 6.2%, to $103.1 million for the three months ended June 30, 2019 from</w:t>
      </w:r>
      <w:r>
        <w:rPr>
          <w:rFonts w:ascii="Arial" w:cs="Arial" w:eastAsia="Arial" w:hAnsi="Arial"/>
          <w:sz w:val="18"/>
          <w:szCs w:val="18"/>
          <w:i w:val="1"/>
          <w:iCs w:val="1"/>
          <w:color w:val="auto"/>
        </w:rPr>
        <w:t xml:space="preserve"> </w:t>
      </w:r>
      <w:r>
        <w:rPr>
          <w:rFonts w:ascii="Arial" w:cs="Arial" w:eastAsia="Arial" w:hAnsi="Arial"/>
          <w:sz w:val="18"/>
          <w:szCs w:val="18"/>
          <w:color w:val="auto"/>
        </w:rPr>
        <w:t>$97.0 million for the three months ended June 30, 2018, representing 94.1% and 98.8% of total revenue, respectively. The following table depicts service revenue by segment:</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0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740" w:type="dxa"/>
            <w:vAlign w:val="bottom"/>
            <w:tcBorders>
              <w:bottom w:val="single" w:sz="8" w:color="auto"/>
            </w:tcBorders>
            <w:gridSpan w:val="4"/>
          </w:tcPr>
          <w:p>
            <w:pPr>
              <w:jc w:val="right"/>
              <w:ind w:right="580"/>
              <w:spacing w:after="0"/>
              <w:rPr>
                <w:sz w:val="20"/>
                <w:szCs w:val="20"/>
                <w:color w:val="auto"/>
              </w:rPr>
            </w:pPr>
            <w:r>
              <w:rPr>
                <w:rFonts w:ascii="Arial" w:cs="Arial" w:eastAsia="Arial" w:hAnsi="Arial"/>
                <w:sz w:val="14"/>
                <w:szCs w:val="14"/>
                <w:b w:val="1"/>
                <w:bCs w:val="1"/>
                <w:color w:val="auto"/>
              </w:rPr>
              <w:t>Three Months Ended June 30,</w:t>
            </w:r>
          </w:p>
        </w:tc>
        <w:tc>
          <w:tcPr>
            <w:tcW w:w="2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00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740" w:type="dxa"/>
            <w:vAlign w:val="bottom"/>
            <w:gridSpan w:val="4"/>
            <w:vMerge w:val="restart"/>
          </w:tcPr>
          <w:p>
            <w:pPr>
              <w:jc w:val="right"/>
              <w:ind w:right="840"/>
              <w:spacing w:after="0"/>
              <w:rPr>
                <w:sz w:val="20"/>
                <w:szCs w:val="20"/>
                <w:color w:val="auto"/>
              </w:rPr>
            </w:pPr>
            <w:r>
              <w:rPr>
                <w:rFonts w:ascii="Arial" w:cs="Arial" w:eastAsia="Arial" w:hAnsi="Arial"/>
                <w:sz w:val="14"/>
                <w:szCs w:val="14"/>
                <w:b w:val="1"/>
                <w:bCs w:val="1"/>
                <w:color w:val="auto"/>
              </w:rPr>
              <w:t>Percentage of Revenue</w:t>
            </w:r>
          </w:p>
        </w:tc>
        <w:tc>
          <w:tcPr>
            <w:tcW w:w="280" w:type="dxa"/>
            <w:vAlign w:val="bottom"/>
          </w:tcPr>
          <w:p>
            <w:pPr>
              <w:spacing w:after="0"/>
              <w:rPr>
                <w:sz w:val="11"/>
                <w:szCs w:val="11"/>
                <w:color w:val="auto"/>
              </w:rPr>
            </w:pPr>
          </w:p>
        </w:tc>
        <w:tc>
          <w:tcPr>
            <w:tcW w:w="2060" w:type="dxa"/>
            <w:vAlign w:val="bottom"/>
            <w:gridSpan w:val="4"/>
          </w:tcPr>
          <w:p>
            <w:pPr>
              <w:jc w:val="center"/>
              <w:ind w:right="214"/>
              <w:spacing w:after="0" w:line="133" w:lineRule="exact"/>
              <w:rPr>
                <w:sz w:val="20"/>
                <w:szCs w:val="20"/>
                <w:color w:val="auto"/>
              </w:rPr>
            </w:pPr>
            <w:r>
              <w:rPr>
                <w:rFonts w:ascii="Arial" w:cs="Arial" w:eastAsia="Arial" w:hAnsi="Arial"/>
                <w:sz w:val="14"/>
                <w:szCs w:val="14"/>
                <w:b w:val="1"/>
                <w:bCs w:val="1"/>
                <w:color w:val="auto"/>
                <w:w w:val="90"/>
              </w:rPr>
              <w:t>Increase (Decrease)</w:t>
            </w: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1000" w:type="dxa"/>
            <w:vAlign w:val="bottom"/>
            <w:vMerge w:val="restart"/>
          </w:tcPr>
          <w:p>
            <w:pPr>
              <w:spacing w:after="0"/>
              <w:rPr>
                <w:sz w:val="20"/>
                <w:szCs w:val="20"/>
                <w:color w:val="auto"/>
              </w:rPr>
            </w:pPr>
            <w:r>
              <w:rPr>
                <w:rFonts w:ascii="Arial" w:cs="Arial" w:eastAsia="Arial" w:hAnsi="Arial"/>
                <w:sz w:val="14"/>
                <w:szCs w:val="14"/>
                <w:b w:val="1"/>
                <w:bCs w:val="1"/>
                <w:u w:val="single" w:color="auto"/>
                <w:color w:val="auto"/>
                <w:w w:val="90"/>
              </w:rPr>
              <w:t>(</w:t>
            </w:r>
            <w:r>
              <w:rPr>
                <w:rFonts w:ascii="Arial" w:cs="Arial" w:eastAsia="Arial" w:hAnsi="Arial"/>
                <w:sz w:val="14"/>
                <w:szCs w:val="14"/>
                <w:b w:val="1"/>
                <w:bCs w:val="1"/>
                <w:color w:val="auto"/>
                <w:w w:val="90"/>
              </w:rPr>
              <w:t>$ in thousands)</w:t>
            </w:r>
          </w:p>
        </w:tc>
        <w:tc>
          <w:tcPr>
            <w:tcW w:w="2540" w:type="dxa"/>
            <w:vAlign w:val="bottom"/>
            <w:vMerge w:val="restart"/>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vMerge w:val="restart"/>
          </w:tcPr>
          <w:p>
            <w:pPr>
              <w:jc w:val="right"/>
              <w:ind w:right="294"/>
              <w:spacing w:after="0"/>
              <w:rPr>
                <w:sz w:val="20"/>
                <w:szCs w:val="20"/>
                <w:color w:val="auto"/>
              </w:rPr>
            </w:pPr>
            <w:r>
              <w:rPr>
                <w:rFonts w:ascii="Arial" w:cs="Arial" w:eastAsia="Arial" w:hAnsi="Arial"/>
                <w:sz w:val="14"/>
                <w:szCs w:val="14"/>
                <w:b w:val="1"/>
                <w:bCs w:val="1"/>
                <w:color w:val="auto"/>
              </w:rPr>
              <w:t>2019</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vMerge w:val="restart"/>
          </w:tcPr>
          <w:p>
            <w:pPr>
              <w:jc w:val="right"/>
              <w:ind w:right="294"/>
              <w:spacing w:after="0"/>
              <w:rPr>
                <w:sz w:val="20"/>
                <w:szCs w:val="20"/>
                <w:color w:val="auto"/>
              </w:rPr>
            </w:pPr>
            <w:r>
              <w:rPr>
                <w:rFonts w:ascii="Arial" w:cs="Arial" w:eastAsia="Arial" w:hAnsi="Arial"/>
                <w:sz w:val="14"/>
                <w:szCs w:val="14"/>
                <w:b w:val="1"/>
                <w:bCs w:val="1"/>
                <w:color w:val="auto"/>
              </w:rPr>
              <w:t>2018</w:t>
            </w:r>
          </w:p>
        </w:tc>
        <w:tc>
          <w:tcPr>
            <w:tcW w:w="260" w:type="dxa"/>
            <w:vAlign w:val="bottom"/>
          </w:tcPr>
          <w:p>
            <w:pPr>
              <w:spacing w:after="0"/>
              <w:rPr>
                <w:sz w:val="14"/>
                <w:szCs w:val="14"/>
                <w:color w:val="auto"/>
              </w:rPr>
            </w:pPr>
          </w:p>
        </w:tc>
        <w:tc>
          <w:tcPr>
            <w:tcW w:w="2740" w:type="dxa"/>
            <w:vAlign w:val="bottom"/>
            <w:gridSpan w:val="4"/>
            <w:vMerge w:val="continue"/>
          </w:tcPr>
          <w:p>
            <w:pPr>
              <w:spacing w:after="0"/>
              <w:rPr>
                <w:sz w:val="14"/>
                <w:szCs w:val="14"/>
                <w:color w:val="auto"/>
              </w:rPr>
            </w:pPr>
          </w:p>
        </w:tc>
        <w:tc>
          <w:tcPr>
            <w:tcW w:w="280" w:type="dxa"/>
            <w:vAlign w:val="bottom"/>
          </w:tcPr>
          <w:p>
            <w:pPr>
              <w:spacing w:after="0"/>
              <w:rPr>
                <w:sz w:val="14"/>
                <w:szCs w:val="14"/>
                <w:color w:val="auto"/>
              </w:rPr>
            </w:pPr>
          </w:p>
        </w:tc>
        <w:tc>
          <w:tcPr>
            <w:tcW w:w="1360" w:type="dxa"/>
            <w:vAlign w:val="bottom"/>
            <w:gridSpan w:val="3"/>
          </w:tcPr>
          <w:p>
            <w:pPr>
              <w:jc w:val="center"/>
              <w:ind w:left="299"/>
              <w:spacing w:after="0"/>
              <w:rPr>
                <w:sz w:val="20"/>
                <w:szCs w:val="20"/>
                <w:color w:val="auto"/>
              </w:rPr>
            </w:pPr>
            <w:r>
              <w:rPr>
                <w:rFonts w:ascii="Arial" w:cs="Arial" w:eastAsia="Arial" w:hAnsi="Arial"/>
                <w:sz w:val="14"/>
                <w:szCs w:val="14"/>
                <w:b w:val="1"/>
                <w:bCs w:val="1"/>
                <w:color w:val="auto"/>
                <w:w w:val="91"/>
              </w:rPr>
              <w:t>2019 vs 2018</w:t>
            </w: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000" w:type="dxa"/>
            <w:vAlign w:val="bottom"/>
            <w:tcBorders>
              <w:bottom w:val="single" w:sz="8" w:color="auto"/>
            </w:tcBorders>
            <w:vMerge w:val="continue"/>
          </w:tcPr>
          <w:p>
            <w:pPr>
              <w:spacing w:after="0"/>
              <w:rPr>
                <w:sz w:val="14"/>
                <w:szCs w:val="14"/>
                <w:color w:val="auto"/>
              </w:rPr>
            </w:pPr>
          </w:p>
        </w:tc>
        <w:tc>
          <w:tcPr>
            <w:tcW w:w="25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Borders>
              <w:top w:val="single" w:sz="8" w:color="auto"/>
            </w:tcBorders>
          </w:tcPr>
          <w:p>
            <w:pPr>
              <w:jc w:val="right"/>
              <w:ind w:right="299"/>
              <w:spacing w:after="0" w:line="142" w:lineRule="exact"/>
              <w:rPr>
                <w:sz w:val="20"/>
                <w:szCs w:val="20"/>
                <w:color w:val="auto"/>
              </w:rPr>
            </w:pPr>
            <w:r>
              <w:rPr>
                <w:rFonts w:ascii="Arial" w:cs="Arial" w:eastAsia="Arial" w:hAnsi="Arial"/>
                <w:sz w:val="14"/>
                <w:szCs w:val="14"/>
                <w:b w:val="1"/>
                <w:bCs w:val="1"/>
                <w:color w:val="auto"/>
              </w:rPr>
              <w:t>2019</w:t>
            </w:r>
          </w:p>
        </w:tc>
        <w:tc>
          <w:tcPr>
            <w:tcW w:w="32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jc w:val="right"/>
              <w:ind w:right="294"/>
              <w:spacing w:after="0" w:line="142" w:lineRule="exact"/>
              <w:rPr>
                <w:sz w:val="20"/>
                <w:szCs w:val="20"/>
                <w:color w:val="auto"/>
              </w:rPr>
            </w:pPr>
            <w:r>
              <w:rPr>
                <w:rFonts w:ascii="Arial" w:cs="Arial" w:eastAsia="Arial" w:hAnsi="Arial"/>
                <w:sz w:val="14"/>
                <w:szCs w:val="14"/>
                <w:b w:val="1"/>
                <w:bCs w:val="1"/>
                <w:color w:val="auto"/>
              </w:rPr>
              <w:t>2018</w:t>
            </w:r>
          </w:p>
        </w:tc>
        <w:tc>
          <w:tcPr>
            <w:tcW w:w="34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jc w:val="right"/>
              <w:ind w:right="419"/>
              <w:spacing w:after="0" w:line="142" w:lineRule="exact"/>
              <w:rPr>
                <w:sz w:val="20"/>
                <w:szCs w:val="20"/>
                <w:color w:val="auto"/>
              </w:rPr>
            </w:pPr>
            <w:r>
              <w:rPr>
                <w:rFonts w:ascii="Arial" w:cs="Arial" w:eastAsia="Arial" w:hAnsi="Arial"/>
                <w:sz w:val="14"/>
                <w:szCs w:val="14"/>
                <w:b w:val="1"/>
                <w:bCs w:val="1"/>
                <w:color w:val="auto"/>
              </w:rPr>
              <w:t>$</w:t>
            </w:r>
          </w:p>
        </w:tc>
        <w:tc>
          <w:tcPr>
            <w:tcW w:w="26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jc w:val="right"/>
              <w:ind w:right="374"/>
              <w:spacing w:after="0" w:line="142"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354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b w:val="1"/>
                <w:bCs w:val="1"/>
                <w:color w:val="auto"/>
              </w:rPr>
              <w:t>Service Revenue</w:t>
            </w:r>
          </w:p>
        </w:tc>
        <w:tc>
          <w:tcPr>
            <w:tcW w:w="22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320" w:type="dxa"/>
            <w:vAlign w:val="bottom"/>
            <w:tcBorders>
              <w:top w:val="single" w:sz="8" w:color="CFF0FC"/>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34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40" w:type="dxa"/>
            <w:vAlign w:val="bottom"/>
            <w:gridSpan w:val="2"/>
          </w:tcPr>
          <w:p>
            <w:pPr>
              <w:ind w:left="260"/>
              <w:spacing w:after="0"/>
              <w:rPr>
                <w:sz w:val="20"/>
                <w:szCs w:val="20"/>
                <w:color w:val="auto"/>
              </w:rPr>
            </w:pPr>
            <w:r>
              <w:rPr>
                <w:rFonts w:ascii="Arial" w:cs="Arial" w:eastAsia="Arial" w:hAnsi="Arial"/>
                <w:sz w:val="18"/>
                <w:szCs w:val="18"/>
                <w:color w:val="auto"/>
              </w:rPr>
              <w:t>Commercial Services</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68,091</w:t>
            </w:r>
          </w:p>
        </w:tc>
        <w:tc>
          <w:tcPr>
            <w:tcW w:w="4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59,771</w:t>
            </w:r>
          </w:p>
        </w:tc>
        <w:tc>
          <w:tcPr>
            <w:tcW w:w="26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62.2%</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60.8%</w:t>
            </w: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8,320</w:t>
            </w: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13.9%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Government Solutions</w:t>
            </w: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34,966</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37,273</w:t>
            </w:r>
          </w:p>
        </w:tc>
        <w:tc>
          <w:tcPr>
            <w:tcW w:w="26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31.9%</w:t>
            </w:r>
          </w:p>
        </w:tc>
        <w:tc>
          <w:tcPr>
            <w:tcW w:w="13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38.0%</w:t>
            </w:r>
          </w:p>
        </w:tc>
        <w:tc>
          <w:tcPr>
            <w:tcW w:w="28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(2,307)</w:t>
            </w:r>
          </w:p>
        </w:tc>
        <w:tc>
          <w:tcPr>
            <w:tcW w:w="3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40" w:type="dxa"/>
            <w:vAlign w:val="bottom"/>
            <w:gridSpan w:val="2"/>
            <w:vMerge w:val="restart"/>
          </w:tcPr>
          <w:p>
            <w:pPr>
              <w:spacing w:after="0"/>
              <w:rPr>
                <w:sz w:val="20"/>
                <w:szCs w:val="20"/>
                <w:color w:val="auto"/>
              </w:rPr>
            </w:pPr>
            <w:r>
              <w:rPr>
                <w:rFonts w:ascii="Arial" w:cs="Arial" w:eastAsia="Arial" w:hAnsi="Arial"/>
                <w:sz w:val="18"/>
                <w:szCs w:val="18"/>
                <w:color w:val="auto"/>
              </w:rPr>
              <w:t>Total Service Revenue</w:t>
            </w: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6.2%</w:t>
            </w: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540" w:type="dxa"/>
            <w:vAlign w:val="bottom"/>
            <w:gridSpan w:val="2"/>
            <w:vMerge w:val="continue"/>
          </w:tcPr>
          <w:p>
            <w:pPr>
              <w:spacing w:after="0"/>
              <w:rPr>
                <w:sz w:val="19"/>
                <w:szCs w:val="19"/>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103,057</w:t>
            </w:r>
          </w:p>
        </w:tc>
        <w:tc>
          <w:tcPr>
            <w:tcW w:w="240" w:type="dxa"/>
            <w:vAlign w:val="bottom"/>
            <w:vMerge w:val="continue"/>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97,044</w:t>
            </w:r>
          </w:p>
        </w:tc>
        <w:tc>
          <w:tcPr>
            <w:tcW w:w="26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94.1%</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98.8%</w:t>
            </w: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6,013</w:t>
            </w: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gridSpan w:val="2"/>
            <w:vMerge w:val="continue"/>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100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34</w:t>
            </w: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000" w:type="dxa"/>
            <w:vAlign w:val="bottom"/>
            <w:tcBorders>
              <w:bottom w:val="single" w:sz="8" w:color="9A9A9A"/>
            </w:tcBorders>
          </w:tcPr>
          <w:p>
            <w:pPr>
              <w:spacing w:after="0"/>
              <w:rPr>
                <w:sz w:val="10"/>
                <w:szCs w:val="10"/>
                <w:color w:val="auto"/>
              </w:rPr>
            </w:pPr>
          </w:p>
        </w:tc>
        <w:tc>
          <w:tcPr>
            <w:tcW w:w="25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30" w:right="219" w:bottom="1440" w:gutter="0" w:footer="0" w:header="0"/>
        </w:sectPr>
      </w:pPr>
    </w:p>
    <w:bookmarkStart w:id="34" w:name="page35"/>
    <w:bookmarkEnd w:id="3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2" w:lineRule="exact"/>
        <w:rPr>
          <w:sz w:val="20"/>
          <w:szCs w:val="20"/>
          <w:color w:val="auto"/>
        </w:rPr>
      </w:pPr>
    </w:p>
    <w:p>
      <w:pPr>
        <w:jc w:val="both"/>
        <w:ind w:right="20" w:firstLine="815"/>
        <w:spacing w:after="0" w:line="273" w:lineRule="auto"/>
        <w:rPr>
          <w:sz w:val="20"/>
          <w:szCs w:val="20"/>
          <w:color w:val="auto"/>
        </w:rPr>
      </w:pPr>
      <w:r>
        <w:rPr>
          <w:rFonts w:ascii="Arial" w:cs="Arial" w:eastAsia="Arial" w:hAnsi="Arial"/>
          <w:sz w:val="17"/>
          <w:szCs w:val="17"/>
          <w:color w:val="auto"/>
        </w:rPr>
        <w:t>Commercial Services service revenue includes toll and violation management revenues from commercial fleet and rental car companies. Service revenue increased by $8.3 million, or 13.9%, from $59.8 million for the three months ended June 30, 2018 to $68.1 million for the three months ended June 30, 2019. The increase is primarily due to a $8.9 million increase resulting from improved volumes in both billable days and tolls processed across our tolling products. The increase was partially offset by $0.8 million decrease in title and registration service revenue, representing a 22.5% decrease quarter over quarter. Title and registration volumes fluctuate with activity and can create volatility between quarters.</w:t>
      </w:r>
    </w:p>
    <w:p>
      <w:pPr>
        <w:spacing w:after="0" w:line="136" w:lineRule="exact"/>
        <w:rPr>
          <w:sz w:val="20"/>
          <w:szCs w:val="20"/>
          <w:color w:val="auto"/>
        </w:rPr>
      </w:pPr>
    </w:p>
    <w:p>
      <w:pPr>
        <w:jc w:val="both"/>
        <w:ind w:right="20" w:firstLine="815"/>
        <w:spacing w:after="0" w:line="269" w:lineRule="auto"/>
        <w:rPr>
          <w:sz w:val="20"/>
          <w:szCs w:val="20"/>
          <w:color w:val="auto"/>
        </w:rPr>
      </w:pPr>
      <w:r>
        <w:rPr>
          <w:rFonts w:ascii="Arial" w:cs="Arial" w:eastAsia="Arial" w:hAnsi="Arial"/>
          <w:sz w:val="17"/>
          <w:szCs w:val="17"/>
          <w:color w:val="auto"/>
        </w:rPr>
        <w:t>Government Solutions service revenue includes revenue from red-light, speed, school bus arm and bus lane photo enforcement systems. Service revenue decreased by $2.3 million, or 6.2%, to $35.0 million for the three months ended June 30, 2019 from $37.3 million for the three months ended June 30, 2018. Revenue from operation of our red-light photo enforcement programs represents 51% of segment service revenue and declined $2.2 million quarter over quarter. This decline was primarily due to the Miami program loss and from Texas programs loss on June 1, 2019 due to a legislative change that banned most red-light photo enforcement programs in the state. The remaining decline results from lower price per system in variable contracts. Pricing of red-light photo enforcement programs can be impacted by timing of transaction volume in our variable contracts as well as the pricing of contract renewals. The loss of most of our red-light photo enforcement programs in Texas will negatively impact service revenue for the next four quarters. The Company exited its street light maintenance offering at the end of first quarter in 2019, resulting in a $1.1 million decrease quarter over quarter. This street light maintenance offering was non-core and did not meet our profitability criteria. These declines were offset by an increase in speed programs revenue, which grew approximately $1.5 million due to increases in the total number of camera systems installed and higher average pricing. We believe that school zone speed programs will continue to be a growth product in fiscal 2019.</w:t>
      </w:r>
    </w:p>
    <w:p>
      <w:pPr>
        <w:spacing w:after="0" w:line="156" w:lineRule="exact"/>
        <w:rPr>
          <w:sz w:val="20"/>
          <w:szCs w:val="20"/>
          <w:color w:val="auto"/>
        </w:rPr>
      </w:pPr>
    </w:p>
    <w:p>
      <w:pPr>
        <w:jc w:val="both"/>
        <w:ind w:right="20" w:firstLine="815"/>
        <w:spacing w:after="0" w:line="273" w:lineRule="auto"/>
        <w:rPr>
          <w:sz w:val="20"/>
          <w:szCs w:val="20"/>
          <w:color w:val="auto"/>
        </w:rPr>
      </w:pPr>
      <w:r>
        <w:rPr>
          <w:rFonts w:ascii="Arial" w:cs="Arial" w:eastAsia="Arial" w:hAnsi="Arial"/>
          <w:sz w:val="17"/>
          <w:szCs w:val="17"/>
          <w:color w:val="auto"/>
        </w:rPr>
        <w:t>Our previous reporting of installed camera systems included systems connected to suspended programs or spare systems at client locations. We re-evaluated our metric during the first quarter of 2019, and are reporting only installed camera systems that are generating revenue, as we believe this is a more meaningful presentation. There were an average of 4,636 camera systems installed during the three months ended June 30, 2019, compared to an average of 4,212 for the same period in 2018. The increase in camera systems was primarily due to new installations of school bus arm systems and to a lesser extent the expansion of speed enforcement systems with existing customers. This increase was partially offset by a decline in red-light photo enforcement systems primarily due to the loss of Miami and Texas programs noted above.</w:t>
      </w:r>
    </w:p>
    <w:p>
      <w:pPr>
        <w:spacing w:after="0" w:line="138" w:lineRule="exact"/>
        <w:rPr>
          <w:sz w:val="20"/>
          <w:szCs w:val="20"/>
          <w:color w:val="auto"/>
        </w:rPr>
      </w:pPr>
    </w:p>
    <w:p>
      <w:pPr>
        <w:jc w:val="both"/>
        <w:ind w:right="20" w:firstLine="815"/>
        <w:spacing w:after="0" w:line="259" w:lineRule="auto"/>
        <w:rPr>
          <w:sz w:val="20"/>
          <w:szCs w:val="20"/>
          <w:color w:val="auto"/>
        </w:rPr>
      </w:pPr>
      <w:r>
        <w:rPr>
          <w:rFonts w:ascii="Arial" w:cs="Arial" w:eastAsia="Arial" w:hAnsi="Arial"/>
          <w:sz w:val="18"/>
          <w:szCs w:val="18"/>
          <w:i w:val="1"/>
          <w:iCs w:val="1"/>
          <w:color w:val="auto"/>
        </w:rPr>
        <w:t xml:space="preserve">Product Sales. </w:t>
      </w:r>
      <w:r>
        <w:rPr>
          <w:rFonts w:ascii="Arial" w:cs="Arial" w:eastAsia="Arial" w:hAnsi="Arial"/>
          <w:sz w:val="18"/>
          <w:szCs w:val="18"/>
          <w:color w:val="auto"/>
        </w:rPr>
        <w:t>Product sales includes revenue generated from Government Solutions customers who purchased their equipment. Product sales</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increased by $5.4 million, from $1.2 million for the three months ended June 30, 2018 to $6.5 million for the same period in 2019. The increase is primarily driven by sales to a single customer who is in the process of expanding their existing school zone speed program. We anticipate continued growth in product sales for the remainder of 2019.</w:t>
      </w:r>
    </w:p>
    <w:p>
      <w:pPr>
        <w:spacing w:after="0" w:line="146" w:lineRule="exact"/>
        <w:rPr>
          <w:sz w:val="20"/>
          <w:szCs w:val="20"/>
          <w:color w:val="auto"/>
        </w:rPr>
      </w:pPr>
    </w:p>
    <w:p>
      <w:pPr>
        <w:ind w:left="820"/>
        <w:spacing w:after="0"/>
        <w:tabs>
          <w:tab w:leader="none" w:pos="2780" w:val="left"/>
        </w:tabs>
        <w:rPr>
          <w:sz w:val="20"/>
          <w:szCs w:val="20"/>
          <w:color w:val="auto"/>
        </w:rPr>
      </w:pPr>
      <w:r>
        <w:rPr>
          <w:rFonts w:ascii="Arial" w:cs="Arial" w:eastAsia="Arial" w:hAnsi="Arial"/>
          <w:sz w:val="18"/>
          <w:szCs w:val="18"/>
          <w:i w:val="1"/>
          <w:iCs w:val="1"/>
          <w:color w:val="auto"/>
        </w:rPr>
        <w:t>Cost of Service Revenue.</w:t>
      </w:r>
      <w:r>
        <w:rPr>
          <w:sz w:val="20"/>
          <w:szCs w:val="20"/>
          <w:color w:val="auto"/>
        </w:rPr>
        <w:tab/>
      </w:r>
      <w:r>
        <w:rPr>
          <w:rFonts w:ascii="Arial" w:cs="Arial" w:eastAsia="Arial" w:hAnsi="Arial"/>
          <w:sz w:val="16"/>
          <w:szCs w:val="16"/>
          <w:color w:val="auto"/>
        </w:rPr>
        <w:t>Cost of service revenue remained constant at $1.6 million for the three months ended June 30, 2019 and 2018.</w:t>
      </w:r>
    </w:p>
    <w:p>
      <w:pPr>
        <w:spacing w:after="0" w:line="198" w:lineRule="exact"/>
        <w:rPr>
          <w:sz w:val="20"/>
          <w:szCs w:val="20"/>
          <w:color w:val="auto"/>
        </w:rPr>
      </w:pPr>
    </w:p>
    <w:p>
      <w:pPr>
        <w:jc w:val="both"/>
        <w:ind w:right="20" w:firstLine="815"/>
        <w:spacing w:after="0" w:line="277" w:lineRule="auto"/>
        <w:rPr>
          <w:sz w:val="20"/>
          <w:szCs w:val="20"/>
          <w:color w:val="auto"/>
        </w:rPr>
      </w:pPr>
      <w:r>
        <w:rPr>
          <w:rFonts w:ascii="Arial" w:cs="Arial" w:eastAsia="Arial" w:hAnsi="Arial"/>
          <w:sz w:val="18"/>
          <w:szCs w:val="18"/>
          <w:i w:val="1"/>
          <w:iCs w:val="1"/>
          <w:color w:val="auto"/>
        </w:rPr>
        <w:t xml:space="preserve">Cost of Product Sales. </w:t>
      </w:r>
      <w:r>
        <w:rPr>
          <w:rFonts w:ascii="Arial" w:cs="Arial" w:eastAsia="Arial" w:hAnsi="Arial"/>
          <w:sz w:val="18"/>
          <w:szCs w:val="18"/>
          <w:color w:val="auto"/>
        </w:rPr>
        <w:t>Cost of product sales increased by $2.0 million from $0.9 million during the quarter ended June 30, 2018 to $2.9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in the same period in 2019, and was consistent with the change in product sales.</w:t>
      </w:r>
    </w:p>
    <w:p>
      <w:pPr>
        <w:spacing w:after="0" w:line="130" w:lineRule="exact"/>
        <w:rPr>
          <w:sz w:val="20"/>
          <w:szCs w:val="20"/>
          <w:color w:val="auto"/>
        </w:rPr>
      </w:pPr>
    </w:p>
    <w:p>
      <w:pPr>
        <w:jc w:val="both"/>
        <w:ind w:right="40" w:firstLine="815"/>
        <w:spacing w:after="0" w:line="259" w:lineRule="auto"/>
        <w:rPr>
          <w:sz w:val="20"/>
          <w:szCs w:val="20"/>
          <w:color w:val="auto"/>
        </w:rPr>
      </w:pPr>
      <w:r>
        <w:rPr>
          <w:rFonts w:ascii="Arial" w:cs="Arial" w:eastAsia="Arial" w:hAnsi="Arial"/>
          <w:sz w:val="18"/>
          <w:szCs w:val="18"/>
          <w:i w:val="1"/>
          <w:iCs w:val="1"/>
          <w:color w:val="auto"/>
        </w:rPr>
        <w:t xml:space="preserve">Operating Expenses. </w:t>
      </w:r>
      <w:r>
        <w:rPr>
          <w:rFonts w:ascii="Arial" w:cs="Arial" w:eastAsia="Arial" w:hAnsi="Arial"/>
          <w:sz w:val="18"/>
          <w:szCs w:val="18"/>
          <w:color w:val="auto"/>
        </w:rPr>
        <w:t>Operating expenses increased by $3.0 million, or 10.4%, from $28.8 million for the three months ended June 30, 2018 to</w:t>
      </w:r>
      <w:r>
        <w:rPr>
          <w:rFonts w:ascii="Arial" w:cs="Arial" w:eastAsia="Arial" w:hAnsi="Arial"/>
          <w:sz w:val="18"/>
          <w:szCs w:val="18"/>
          <w:i w:val="1"/>
          <w:iCs w:val="1"/>
          <w:color w:val="auto"/>
        </w:rPr>
        <w:t xml:space="preserve"> </w:t>
      </w:r>
      <w:r>
        <w:rPr>
          <w:rFonts w:ascii="Arial" w:cs="Arial" w:eastAsia="Arial" w:hAnsi="Arial"/>
          <w:sz w:val="18"/>
          <w:szCs w:val="18"/>
          <w:color w:val="auto"/>
        </w:rPr>
        <w:t>$31.8 million for the three months ended June 30, 2019. The increase is primarily due to subcontractor expenses, payment processing and other recurring expenses during the quarter. Operating expenses as a percentage of revenue decreased slightly from 29.3% to 29.0 % for the three months ended June 30, 2018 and 2019, respectively. Operating expenses by segment appear in the table below:</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0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480" w:type="dxa"/>
            <w:vAlign w:val="bottom"/>
            <w:tcBorders>
              <w:bottom w:val="single" w:sz="8" w:color="auto"/>
            </w:tcBorders>
            <w:gridSpan w:val="4"/>
          </w:tcPr>
          <w:p>
            <w:pPr>
              <w:jc w:val="right"/>
              <w:ind w:right="440"/>
              <w:spacing w:after="0"/>
              <w:rPr>
                <w:sz w:val="20"/>
                <w:szCs w:val="20"/>
                <w:color w:val="auto"/>
              </w:rPr>
            </w:pPr>
            <w:r>
              <w:rPr>
                <w:rFonts w:ascii="Arial" w:cs="Arial" w:eastAsia="Arial" w:hAnsi="Arial"/>
                <w:sz w:val="14"/>
                <w:szCs w:val="14"/>
                <w:b w:val="1"/>
                <w:bCs w:val="1"/>
                <w:color w:val="auto"/>
              </w:rPr>
              <w:t>Three Months Ended June 30,</w:t>
            </w:r>
          </w:p>
        </w:tc>
        <w:tc>
          <w:tcPr>
            <w:tcW w:w="2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000" w:type="dxa"/>
            <w:vAlign w:val="bottom"/>
          </w:tcPr>
          <w:p>
            <w:pPr>
              <w:spacing w:after="0"/>
              <w:rPr>
                <w:sz w:val="11"/>
                <w:szCs w:val="11"/>
                <w:color w:val="auto"/>
              </w:rPr>
            </w:pPr>
          </w:p>
        </w:tc>
        <w:tc>
          <w:tcPr>
            <w:tcW w:w="2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80" w:type="dxa"/>
            <w:vAlign w:val="bottom"/>
            <w:gridSpan w:val="4"/>
            <w:vMerge w:val="restart"/>
          </w:tcPr>
          <w:p>
            <w:pPr>
              <w:jc w:val="right"/>
              <w:ind w:right="700"/>
              <w:spacing w:after="0"/>
              <w:rPr>
                <w:sz w:val="20"/>
                <w:szCs w:val="20"/>
                <w:color w:val="auto"/>
              </w:rPr>
            </w:pPr>
            <w:r>
              <w:rPr>
                <w:rFonts w:ascii="Arial" w:cs="Arial" w:eastAsia="Arial" w:hAnsi="Arial"/>
                <w:sz w:val="14"/>
                <w:szCs w:val="14"/>
                <w:b w:val="1"/>
                <w:bCs w:val="1"/>
                <w:color w:val="auto"/>
              </w:rPr>
              <w:t>Percentage of Revenue</w:t>
            </w:r>
          </w:p>
        </w:tc>
        <w:tc>
          <w:tcPr>
            <w:tcW w:w="260" w:type="dxa"/>
            <w:vAlign w:val="bottom"/>
          </w:tcPr>
          <w:p>
            <w:pPr>
              <w:spacing w:after="0"/>
              <w:rPr>
                <w:sz w:val="11"/>
                <w:szCs w:val="11"/>
                <w:color w:val="auto"/>
              </w:rPr>
            </w:pPr>
          </w:p>
        </w:tc>
        <w:tc>
          <w:tcPr>
            <w:tcW w:w="1860" w:type="dxa"/>
            <w:vAlign w:val="bottom"/>
            <w:gridSpan w:val="4"/>
          </w:tcPr>
          <w:p>
            <w:pPr>
              <w:jc w:val="center"/>
              <w:ind w:right="193"/>
              <w:spacing w:after="0" w:line="133" w:lineRule="exact"/>
              <w:rPr>
                <w:sz w:val="20"/>
                <w:szCs w:val="20"/>
                <w:color w:val="auto"/>
              </w:rPr>
            </w:pPr>
            <w:r>
              <w:rPr>
                <w:rFonts w:ascii="Arial" w:cs="Arial" w:eastAsia="Arial" w:hAnsi="Arial"/>
                <w:sz w:val="14"/>
                <w:szCs w:val="14"/>
                <w:b w:val="1"/>
                <w:bCs w:val="1"/>
                <w:color w:val="auto"/>
                <w:w w:val="89"/>
              </w:rPr>
              <w:t>Increase (Decrease)</w:t>
            </w: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1000" w:type="dxa"/>
            <w:vAlign w:val="bottom"/>
            <w:vMerge w:val="restart"/>
          </w:tcPr>
          <w:p>
            <w:pPr>
              <w:spacing w:after="0"/>
              <w:rPr>
                <w:sz w:val="20"/>
                <w:szCs w:val="20"/>
                <w:color w:val="auto"/>
              </w:rPr>
            </w:pPr>
            <w:r>
              <w:rPr>
                <w:rFonts w:ascii="Arial" w:cs="Arial" w:eastAsia="Arial" w:hAnsi="Arial"/>
                <w:sz w:val="14"/>
                <w:szCs w:val="14"/>
                <w:b w:val="1"/>
                <w:bCs w:val="1"/>
                <w:u w:val="single" w:color="auto"/>
                <w:color w:val="auto"/>
                <w:w w:val="90"/>
              </w:rPr>
              <w:t>(</w:t>
            </w:r>
            <w:r>
              <w:rPr>
                <w:rFonts w:ascii="Arial" w:cs="Arial" w:eastAsia="Arial" w:hAnsi="Arial"/>
                <w:sz w:val="14"/>
                <w:szCs w:val="14"/>
                <w:b w:val="1"/>
                <w:bCs w:val="1"/>
                <w:color w:val="auto"/>
                <w:w w:val="90"/>
              </w:rPr>
              <w:t>$ in thousands)</w:t>
            </w:r>
          </w:p>
        </w:tc>
        <w:tc>
          <w:tcPr>
            <w:tcW w:w="2720" w:type="dxa"/>
            <w:vAlign w:val="bottom"/>
            <w:vMerge w:val="restart"/>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vMerge w:val="restart"/>
          </w:tcPr>
          <w:p>
            <w:pPr>
              <w:jc w:val="right"/>
              <w:ind w:right="233"/>
              <w:spacing w:after="0"/>
              <w:rPr>
                <w:sz w:val="20"/>
                <w:szCs w:val="20"/>
                <w:color w:val="auto"/>
              </w:rPr>
            </w:pPr>
            <w:r>
              <w:rPr>
                <w:rFonts w:ascii="Arial" w:cs="Arial" w:eastAsia="Arial" w:hAnsi="Arial"/>
                <w:sz w:val="14"/>
                <w:szCs w:val="14"/>
                <w:b w:val="1"/>
                <w:bCs w:val="1"/>
                <w:color w:val="auto"/>
              </w:rPr>
              <w:t>2019</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vMerge w:val="restart"/>
          </w:tcPr>
          <w:p>
            <w:pPr>
              <w:jc w:val="right"/>
              <w:ind w:right="253"/>
              <w:spacing w:after="0"/>
              <w:rPr>
                <w:sz w:val="20"/>
                <w:szCs w:val="20"/>
                <w:color w:val="auto"/>
              </w:rPr>
            </w:pPr>
            <w:r>
              <w:rPr>
                <w:rFonts w:ascii="Arial" w:cs="Arial" w:eastAsia="Arial" w:hAnsi="Arial"/>
                <w:sz w:val="14"/>
                <w:szCs w:val="14"/>
                <w:b w:val="1"/>
                <w:bCs w:val="1"/>
                <w:color w:val="auto"/>
              </w:rPr>
              <w:t>2018</w:t>
            </w:r>
          </w:p>
        </w:tc>
        <w:tc>
          <w:tcPr>
            <w:tcW w:w="240" w:type="dxa"/>
            <w:vAlign w:val="bottom"/>
          </w:tcPr>
          <w:p>
            <w:pPr>
              <w:spacing w:after="0"/>
              <w:rPr>
                <w:sz w:val="14"/>
                <w:szCs w:val="14"/>
                <w:color w:val="auto"/>
              </w:rPr>
            </w:pPr>
          </w:p>
        </w:tc>
        <w:tc>
          <w:tcPr>
            <w:tcW w:w="2480" w:type="dxa"/>
            <w:vAlign w:val="bottom"/>
            <w:gridSpan w:val="4"/>
            <w:vMerge w:val="continue"/>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gridSpan w:val="3"/>
          </w:tcPr>
          <w:p>
            <w:pPr>
              <w:jc w:val="center"/>
              <w:ind w:left="257"/>
              <w:spacing w:after="0"/>
              <w:rPr>
                <w:sz w:val="20"/>
                <w:szCs w:val="20"/>
                <w:color w:val="auto"/>
              </w:rPr>
            </w:pPr>
            <w:r>
              <w:rPr>
                <w:rFonts w:ascii="Arial" w:cs="Arial" w:eastAsia="Arial" w:hAnsi="Arial"/>
                <w:sz w:val="14"/>
                <w:szCs w:val="14"/>
                <w:b w:val="1"/>
                <w:bCs w:val="1"/>
                <w:color w:val="auto"/>
                <w:w w:val="91"/>
              </w:rPr>
              <w:t>2019 vs 2018</w:t>
            </w: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000" w:type="dxa"/>
            <w:vAlign w:val="bottom"/>
            <w:tcBorders>
              <w:bottom w:val="single" w:sz="8" w:color="auto"/>
            </w:tcBorders>
            <w:vMerge w:val="continue"/>
          </w:tcPr>
          <w:p>
            <w:pPr>
              <w:spacing w:after="0"/>
              <w:rPr>
                <w:sz w:val="14"/>
                <w:szCs w:val="14"/>
                <w:color w:val="auto"/>
              </w:rPr>
            </w:pPr>
          </w:p>
        </w:tc>
        <w:tc>
          <w:tcPr>
            <w:tcW w:w="2720" w:type="dxa"/>
            <w:vAlign w:val="bottom"/>
            <w:vMerge w:val="continue"/>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Borders>
              <w:top w:val="single" w:sz="8" w:color="auto"/>
            </w:tcBorders>
          </w:tcPr>
          <w:p>
            <w:pPr>
              <w:jc w:val="right"/>
              <w:ind w:right="257"/>
              <w:spacing w:after="0" w:line="142" w:lineRule="exact"/>
              <w:rPr>
                <w:sz w:val="20"/>
                <w:szCs w:val="20"/>
                <w:color w:val="auto"/>
              </w:rPr>
            </w:pPr>
            <w:r>
              <w:rPr>
                <w:rFonts w:ascii="Arial" w:cs="Arial" w:eastAsia="Arial" w:hAnsi="Arial"/>
                <w:sz w:val="14"/>
                <w:szCs w:val="14"/>
                <w:b w:val="1"/>
                <w:bCs w:val="1"/>
                <w:color w:val="auto"/>
              </w:rPr>
              <w:t>2019</w:t>
            </w:r>
          </w:p>
        </w:tc>
        <w:tc>
          <w:tcPr>
            <w:tcW w:w="30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jc w:val="right"/>
              <w:ind w:right="253"/>
              <w:spacing w:after="0" w:line="142" w:lineRule="exact"/>
              <w:rPr>
                <w:sz w:val="20"/>
                <w:szCs w:val="20"/>
                <w:color w:val="auto"/>
              </w:rPr>
            </w:pPr>
            <w:r>
              <w:rPr>
                <w:rFonts w:ascii="Arial" w:cs="Arial" w:eastAsia="Arial" w:hAnsi="Arial"/>
                <w:sz w:val="14"/>
                <w:szCs w:val="14"/>
                <w:b w:val="1"/>
                <w:bCs w:val="1"/>
                <w:color w:val="auto"/>
              </w:rPr>
              <w:t>2018</w:t>
            </w:r>
          </w:p>
        </w:tc>
        <w:tc>
          <w:tcPr>
            <w:tcW w:w="30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jc w:val="right"/>
              <w:ind w:right="357"/>
              <w:spacing w:after="0" w:line="142" w:lineRule="exact"/>
              <w:rPr>
                <w:sz w:val="20"/>
                <w:szCs w:val="20"/>
                <w:color w:val="auto"/>
              </w:rPr>
            </w:pPr>
            <w:r>
              <w:rPr>
                <w:rFonts w:ascii="Arial" w:cs="Arial" w:eastAsia="Arial" w:hAnsi="Arial"/>
                <w:sz w:val="14"/>
                <w:szCs w:val="14"/>
                <w:b w:val="1"/>
                <w:bCs w:val="1"/>
                <w:color w:val="auto"/>
              </w:rPr>
              <w:t>$</w:t>
            </w:r>
          </w:p>
        </w:tc>
        <w:tc>
          <w:tcPr>
            <w:tcW w:w="24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jc w:val="right"/>
              <w:ind w:right="333"/>
              <w:spacing w:after="0" w:line="142"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372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b w:val="1"/>
                <w:bCs w:val="1"/>
                <w:color w:val="auto"/>
              </w:rPr>
              <w:t>Operating Expenses</w:t>
            </w:r>
          </w:p>
        </w:tc>
        <w:tc>
          <w:tcPr>
            <w:tcW w:w="52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300" w:type="dxa"/>
            <w:vAlign w:val="bottom"/>
            <w:tcBorders>
              <w:top w:val="single" w:sz="8" w:color="CFF0FC"/>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30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68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20" w:type="dxa"/>
            <w:vAlign w:val="bottom"/>
            <w:gridSpan w:val="2"/>
          </w:tcPr>
          <w:p>
            <w:pPr>
              <w:ind w:left="260"/>
              <w:spacing w:after="0"/>
              <w:rPr>
                <w:sz w:val="20"/>
                <w:szCs w:val="20"/>
                <w:color w:val="auto"/>
              </w:rPr>
            </w:pPr>
            <w:r>
              <w:rPr>
                <w:rFonts w:ascii="Arial" w:cs="Arial" w:eastAsia="Arial" w:hAnsi="Arial"/>
                <w:sz w:val="18"/>
                <w:szCs w:val="18"/>
                <w:color w:val="auto"/>
              </w:rPr>
              <w:t>Commercial Services</w:t>
            </w:r>
          </w:p>
        </w:tc>
        <w:tc>
          <w:tcPr>
            <w:tcW w:w="7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16,722</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13,989</w:t>
            </w:r>
          </w:p>
        </w:tc>
        <w:tc>
          <w:tcPr>
            <w:tcW w:w="24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15.3%</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14.2%</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2,733</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19.5%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2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Government Solutions</w:t>
            </w:r>
          </w:p>
        </w:tc>
        <w:tc>
          <w:tcPr>
            <w:tcW w:w="5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14,801</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14,811</w:t>
            </w:r>
          </w:p>
        </w:tc>
        <w:tc>
          <w:tcPr>
            <w:tcW w:w="2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13.5%</w:t>
            </w:r>
          </w:p>
        </w:tc>
        <w:tc>
          <w:tcPr>
            <w:tcW w:w="12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15.1%</w:t>
            </w:r>
          </w:p>
        </w:tc>
        <w:tc>
          <w:tcPr>
            <w:tcW w:w="26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(10)</w:t>
            </w:r>
          </w:p>
        </w:tc>
        <w:tc>
          <w:tcPr>
            <w:tcW w:w="32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3720" w:type="dxa"/>
            <w:vAlign w:val="bottom"/>
            <w:gridSpan w:val="2"/>
          </w:tcPr>
          <w:p>
            <w:pPr>
              <w:spacing w:after="0"/>
              <w:rPr>
                <w:sz w:val="20"/>
                <w:szCs w:val="20"/>
                <w:color w:val="auto"/>
              </w:rPr>
            </w:pPr>
            <w:r>
              <w:rPr>
                <w:rFonts w:ascii="Arial" w:cs="Arial" w:eastAsia="Arial" w:hAnsi="Arial"/>
                <w:sz w:val="18"/>
                <w:szCs w:val="18"/>
                <w:color w:val="auto"/>
              </w:rPr>
              <w:t>Total operating expenses before stock-based</w:t>
            </w:r>
          </w:p>
        </w:tc>
        <w:tc>
          <w:tcPr>
            <w:tcW w:w="5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20" w:type="dxa"/>
            <w:vAlign w:val="bottom"/>
            <w:gridSpan w:val="2"/>
          </w:tcPr>
          <w:p>
            <w:pPr>
              <w:spacing w:after="0"/>
              <w:rPr>
                <w:sz w:val="20"/>
                <w:szCs w:val="20"/>
                <w:color w:val="auto"/>
              </w:rPr>
            </w:pPr>
            <w:r>
              <w:rPr>
                <w:rFonts w:ascii="Arial" w:cs="Arial" w:eastAsia="Arial" w:hAnsi="Arial"/>
                <w:sz w:val="18"/>
                <w:szCs w:val="18"/>
                <w:color w:val="auto"/>
              </w:rPr>
              <w:t>compensation</w:t>
            </w:r>
          </w:p>
        </w:tc>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31,523</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28,800</w:t>
            </w:r>
          </w:p>
        </w:tc>
        <w:tc>
          <w:tcPr>
            <w:tcW w:w="240" w:type="dxa"/>
            <w:vAlign w:val="bottom"/>
          </w:tcPr>
          <w:p>
            <w:pPr>
              <w:spacing w:after="0"/>
              <w:rPr>
                <w:sz w:val="20"/>
                <w:szCs w:val="20"/>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28.8%</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29.3%</w:t>
            </w:r>
          </w:p>
        </w:tc>
        <w:tc>
          <w:tcPr>
            <w:tcW w:w="2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2,723</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9.5%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7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Stock-based compensation</w:t>
            </w:r>
          </w:p>
        </w:tc>
        <w:tc>
          <w:tcPr>
            <w:tcW w:w="5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272</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0.2%</w:t>
            </w:r>
          </w:p>
        </w:tc>
        <w:tc>
          <w:tcPr>
            <w:tcW w:w="124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272</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n/a</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20" w:type="dxa"/>
            <w:vAlign w:val="bottom"/>
            <w:gridSpan w:val="2"/>
            <w:vMerge w:val="restart"/>
          </w:tcPr>
          <w:p>
            <w:pPr>
              <w:spacing w:after="0"/>
              <w:rPr>
                <w:sz w:val="20"/>
                <w:szCs w:val="20"/>
                <w:color w:val="auto"/>
              </w:rPr>
            </w:pPr>
            <w:r>
              <w:rPr>
                <w:rFonts w:ascii="Arial" w:cs="Arial" w:eastAsia="Arial" w:hAnsi="Arial"/>
                <w:sz w:val="18"/>
                <w:szCs w:val="18"/>
                <w:color w:val="auto"/>
              </w:rPr>
              <w:t>Total Operating Expenses</w:t>
            </w:r>
          </w:p>
        </w:tc>
        <w:tc>
          <w:tcPr>
            <w:tcW w:w="520" w:type="dxa"/>
            <w:vAlign w:val="bottom"/>
            <w:vMerge w:val="restart"/>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10.4%</w:t>
            </w: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720" w:type="dxa"/>
            <w:vAlign w:val="bottom"/>
            <w:gridSpan w:val="2"/>
            <w:vMerge w:val="continue"/>
          </w:tcPr>
          <w:p>
            <w:pPr>
              <w:spacing w:after="0"/>
              <w:rPr>
                <w:sz w:val="19"/>
                <w:szCs w:val="19"/>
                <w:color w:val="auto"/>
              </w:rPr>
            </w:pPr>
          </w:p>
        </w:tc>
        <w:tc>
          <w:tcPr>
            <w:tcW w:w="520" w:type="dxa"/>
            <w:vAlign w:val="bottom"/>
            <w:vMerge w:val="continue"/>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31,795</w:t>
            </w:r>
          </w:p>
        </w:tc>
        <w:tc>
          <w:tcPr>
            <w:tcW w:w="240" w:type="dxa"/>
            <w:vAlign w:val="bottom"/>
            <w:vMerge w:val="continue"/>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28,800</w:t>
            </w:r>
          </w:p>
        </w:tc>
        <w:tc>
          <w:tcPr>
            <w:tcW w:w="24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29.0%</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29.3%</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2,995</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gridSpan w:val="2"/>
            <w:vMerge w:val="continue"/>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00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jc w:val="right"/>
              <w:ind w:right="473"/>
              <w:spacing w:after="0"/>
              <w:rPr>
                <w:sz w:val="20"/>
                <w:szCs w:val="20"/>
                <w:color w:val="auto"/>
              </w:rPr>
            </w:pPr>
            <w:r>
              <w:rPr>
                <w:rFonts w:ascii="Arial" w:cs="Arial" w:eastAsia="Arial" w:hAnsi="Arial"/>
                <w:sz w:val="18"/>
                <w:szCs w:val="18"/>
                <w:color w:val="auto"/>
              </w:rPr>
              <w:t>35</w:t>
            </w: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000" w:type="dxa"/>
            <w:vAlign w:val="bottom"/>
            <w:tcBorders>
              <w:bottom w:val="single" w:sz="8" w:color="9A9A9A"/>
            </w:tcBorders>
          </w:tcPr>
          <w:p>
            <w:pPr>
              <w:spacing w:after="0"/>
              <w:rPr>
                <w:sz w:val="10"/>
                <w:szCs w:val="10"/>
                <w:color w:val="auto"/>
              </w:rPr>
            </w:pPr>
          </w:p>
        </w:tc>
        <w:tc>
          <w:tcPr>
            <w:tcW w:w="272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30" w:right="219" w:bottom="1440" w:gutter="0" w:footer="0" w:header="0"/>
        </w:sectPr>
      </w:pPr>
    </w:p>
    <w:bookmarkStart w:id="35" w:name="page36"/>
    <w:bookmarkEnd w:id="3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57" w:lineRule="exact"/>
        <w:rPr>
          <w:sz w:val="20"/>
          <w:szCs w:val="20"/>
          <w:color w:val="auto"/>
        </w:rPr>
      </w:pPr>
    </w:p>
    <w:p>
      <w:pPr>
        <w:jc w:val="both"/>
        <w:ind w:firstLine="815"/>
        <w:spacing w:after="0" w:line="270" w:lineRule="auto"/>
        <w:rPr>
          <w:sz w:val="20"/>
          <w:szCs w:val="20"/>
          <w:color w:val="auto"/>
        </w:rPr>
      </w:pPr>
      <w:r>
        <w:rPr>
          <w:rFonts w:ascii="Arial" w:cs="Arial" w:eastAsia="Arial" w:hAnsi="Arial"/>
          <w:sz w:val="17"/>
          <w:szCs w:val="17"/>
          <w:i w:val="1"/>
          <w:iCs w:val="1"/>
          <w:color w:val="auto"/>
        </w:rPr>
        <w:t xml:space="preserve">Selling, General and Administrative Expenses. </w:t>
      </w:r>
      <w:r>
        <w:rPr>
          <w:rFonts w:ascii="Arial" w:cs="Arial" w:eastAsia="Arial" w:hAnsi="Arial"/>
          <w:sz w:val="17"/>
          <w:szCs w:val="17"/>
          <w:color w:val="auto"/>
        </w:rPr>
        <w:t>Selling, general and administrative expenses decreased by $6.7 million for the three months</w:t>
      </w:r>
      <w:r>
        <w:rPr>
          <w:rFonts w:ascii="Arial" w:cs="Arial" w:eastAsia="Arial" w:hAnsi="Arial"/>
          <w:sz w:val="17"/>
          <w:szCs w:val="17"/>
          <w:i w:val="1"/>
          <w:iCs w:val="1"/>
          <w:color w:val="auto"/>
        </w:rPr>
        <w:t xml:space="preserve"> </w:t>
      </w:r>
      <w:r>
        <w:rPr>
          <w:rFonts w:ascii="Arial" w:cs="Arial" w:eastAsia="Arial" w:hAnsi="Arial"/>
          <w:sz w:val="17"/>
          <w:szCs w:val="17"/>
          <w:color w:val="auto"/>
        </w:rPr>
        <w:t>ended June 30, 2019 to $20.9 million compared to $27.6 million for the three months ended June 30, 2018. The decrease was due to expenses in the three months ended June 30, 2018 for which there were no comparable amounts in the current period including: $5.8 million of transaction expenses related to the EPC acquisition of which $2.4 million is included in Corporate and $3.4 million in Commercial Services, $5.4 million of non-recurring expenses associated with the integration of both HTA and EPC, and $1.3 million paid to Platinum Equity Advisors, LLC, an affiliate of Platinum (“</w:t>
      </w:r>
      <w:r>
        <w:rPr>
          <w:rFonts w:ascii="Arial" w:cs="Arial" w:eastAsia="Arial" w:hAnsi="Arial"/>
          <w:sz w:val="17"/>
          <w:szCs w:val="17"/>
          <w:b w:val="1"/>
          <w:bCs w:val="1"/>
          <w:i w:val="1"/>
          <w:iCs w:val="1"/>
          <w:color w:val="auto"/>
        </w:rPr>
        <w:t>Advisors</w:t>
      </w:r>
      <w:r>
        <w:rPr>
          <w:rFonts w:ascii="Arial" w:cs="Arial" w:eastAsia="Arial" w:hAnsi="Arial"/>
          <w:sz w:val="17"/>
          <w:szCs w:val="17"/>
          <w:color w:val="auto"/>
        </w:rPr>
        <w:t>”), under a previous corporate advisory services agreement pursuant to which we paid a management fee for services and related expenses incurred by Advisors in the provision of those services. The decreases were partially offset by $1.1 million of expenses incurred by us during the six months ended June 30, 2019 related to the sale of 15,000,000 shares of our Class A Common Stock by the Platinum Stockholder in an underwritten secondary offering. Selling, general and administrative expenses as a percentage of revenue decreased from 28.1% to 19.0% for the three months ended June 30, 2018 and 2019, respectively. Selling, general and administrative expenses by segment appear in the table below:</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0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380" w:type="dxa"/>
            <w:vAlign w:val="bottom"/>
            <w:tcBorders>
              <w:bottom w:val="single" w:sz="8" w:color="auto"/>
            </w:tcBorders>
            <w:gridSpan w:val="4"/>
          </w:tcPr>
          <w:p>
            <w:pPr>
              <w:jc w:val="right"/>
              <w:ind w:right="340"/>
              <w:spacing w:after="0"/>
              <w:rPr>
                <w:sz w:val="20"/>
                <w:szCs w:val="20"/>
                <w:color w:val="auto"/>
              </w:rPr>
            </w:pPr>
            <w:r>
              <w:rPr>
                <w:rFonts w:ascii="Arial" w:cs="Arial" w:eastAsia="Arial" w:hAnsi="Arial"/>
                <w:sz w:val="14"/>
                <w:szCs w:val="14"/>
                <w:b w:val="1"/>
                <w:bCs w:val="1"/>
                <w:color w:val="auto"/>
              </w:rPr>
              <w:t>Three Months Ended June 30,</w:t>
            </w:r>
          </w:p>
        </w:tc>
        <w:tc>
          <w:tcPr>
            <w:tcW w:w="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000" w:type="dxa"/>
            <w:vAlign w:val="bottom"/>
          </w:tcPr>
          <w:p>
            <w:pPr>
              <w:spacing w:after="0"/>
              <w:rPr>
                <w:sz w:val="11"/>
                <w:szCs w:val="11"/>
                <w:color w:val="auto"/>
              </w:rPr>
            </w:pPr>
          </w:p>
        </w:tc>
        <w:tc>
          <w:tcPr>
            <w:tcW w:w="30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380" w:type="dxa"/>
            <w:vAlign w:val="bottom"/>
            <w:gridSpan w:val="4"/>
            <w:vMerge w:val="restart"/>
          </w:tcPr>
          <w:p>
            <w:pPr>
              <w:jc w:val="right"/>
              <w:ind w:right="600"/>
              <w:spacing w:after="0"/>
              <w:rPr>
                <w:sz w:val="20"/>
                <w:szCs w:val="20"/>
                <w:color w:val="auto"/>
              </w:rPr>
            </w:pPr>
            <w:r>
              <w:rPr>
                <w:rFonts w:ascii="Arial" w:cs="Arial" w:eastAsia="Arial" w:hAnsi="Arial"/>
                <w:sz w:val="14"/>
                <w:szCs w:val="14"/>
                <w:b w:val="1"/>
                <w:bCs w:val="1"/>
                <w:color w:val="auto"/>
              </w:rPr>
              <w:t>Percentage of Revenue</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40" w:type="dxa"/>
            <w:vAlign w:val="bottom"/>
            <w:gridSpan w:val="4"/>
          </w:tcPr>
          <w:p>
            <w:pPr>
              <w:jc w:val="center"/>
              <w:ind w:right="193"/>
              <w:spacing w:after="0" w:line="133" w:lineRule="exact"/>
              <w:rPr>
                <w:sz w:val="20"/>
                <w:szCs w:val="20"/>
                <w:color w:val="auto"/>
              </w:rPr>
            </w:pPr>
            <w:r>
              <w:rPr>
                <w:rFonts w:ascii="Arial" w:cs="Arial" w:eastAsia="Arial" w:hAnsi="Arial"/>
                <w:sz w:val="14"/>
                <w:szCs w:val="14"/>
                <w:b w:val="1"/>
                <w:bCs w:val="1"/>
                <w:color w:val="auto"/>
                <w:w w:val="90"/>
              </w:rPr>
              <w:t>Increase (Decrease)</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1000" w:type="dxa"/>
            <w:vAlign w:val="bottom"/>
            <w:vMerge w:val="restart"/>
          </w:tcPr>
          <w:p>
            <w:pPr>
              <w:spacing w:after="0"/>
              <w:rPr>
                <w:sz w:val="20"/>
                <w:szCs w:val="20"/>
                <w:color w:val="auto"/>
              </w:rPr>
            </w:pPr>
            <w:r>
              <w:rPr>
                <w:rFonts w:ascii="Arial" w:cs="Arial" w:eastAsia="Arial" w:hAnsi="Arial"/>
                <w:sz w:val="14"/>
                <w:szCs w:val="14"/>
                <w:b w:val="1"/>
                <w:bCs w:val="1"/>
                <w:u w:val="single" w:color="auto"/>
                <w:color w:val="auto"/>
                <w:w w:val="90"/>
              </w:rPr>
              <w:t>(</w:t>
            </w:r>
            <w:r>
              <w:rPr>
                <w:rFonts w:ascii="Arial" w:cs="Arial" w:eastAsia="Arial" w:hAnsi="Arial"/>
                <w:sz w:val="14"/>
                <w:szCs w:val="14"/>
                <w:b w:val="1"/>
                <w:bCs w:val="1"/>
                <w:color w:val="auto"/>
                <w:w w:val="90"/>
              </w:rPr>
              <w:t>$ in thousands)</w:t>
            </w:r>
          </w:p>
        </w:tc>
        <w:tc>
          <w:tcPr>
            <w:tcW w:w="3040" w:type="dxa"/>
            <w:vAlign w:val="bottom"/>
            <w:vMerge w:val="restart"/>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vMerge w:val="restart"/>
          </w:tcPr>
          <w:p>
            <w:pPr>
              <w:jc w:val="right"/>
              <w:ind w:right="233"/>
              <w:spacing w:after="0"/>
              <w:rPr>
                <w:sz w:val="20"/>
                <w:szCs w:val="20"/>
                <w:color w:val="auto"/>
              </w:rPr>
            </w:pPr>
            <w:r>
              <w:rPr>
                <w:rFonts w:ascii="Arial" w:cs="Arial" w:eastAsia="Arial" w:hAnsi="Arial"/>
                <w:sz w:val="14"/>
                <w:szCs w:val="14"/>
                <w:b w:val="1"/>
                <w:bCs w:val="1"/>
                <w:color w:val="auto"/>
              </w:rPr>
              <w:t>2019</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vMerge w:val="restart"/>
          </w:tcPr>
          <w:p>
            <w:pPr>
              <w:jc w:val="right"/>
              <w:ind w:right="233"/>
              <w:spacing w:after="0"/>
              <w:rPr>
                <w:sz w:val="20"/>
                <w:szCs w:val="20"/>
                <w:color w:val="auto"/>
              </w:rPr>
            </w:pPr>
            <w:r>
              <w:rPr>
                <w:rFonts w:ascii="Arial" w:cs="Arial" w:eastAsia="Arial" w:hAnsi="Arial"/>
                <w:sz w:val="14"/>
                <w:szCs w:val="14"/>
                <w:b w:val="1"/>
                <w:bCs w:val="1"/>
                <w:color w:val="auto"/>
              </w:rPr>
              <w:t>2018</w:t>
            </w:r>
          </w:p>
        </w:tc>
        <w:tc>
          <w:tcPr>
            <w:tcW w:w="240" w:type="dxa"/>
            <w:vAlign w:val="bottom"/>
          </w:tcPr>
          <w:p>
            <w:pPr>
              <w:spacing w:after="0"/>
              <w:rPr>
                <w:sz w:val="14"/>
                <w:szCs w:val="14"/>
                <w:color w:val="auto"/>
              </w:rPr>
            </w:pPr>
          </w:p>
        </w:tc>
        <w:tc>
          <w:tcPr>
            <w:tcW w:w="2380" w:type="dxa"/>
            <w:vAlign w:val="bottom"/>
            <w:gridSpan w:val="4"/>
            <w:vMerge w:val="continue"/>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gridSpan w:val="3"/>
          </w:tcPr>
          <w:p>
            <w:pPr>
              <w:jc w:val="center"/>
              <w:ind w:left="236"/>
              <w:spacing w:after="0"/>
              <w:rPr>
                <w:sz w:val="20"/>
                <w:szCs w:val="20"/>
                <w:color w:val="auto"/>
              </w:rPr>
            </w:pPr>
            <w:r>
              <w:rPr>
                <w:rFonts w:ascii="Arial" w:cs="Arial" w:eastAsia="Arial" w:hAnsi="Arial"/>
                <w:sz w:val="14"/>
                <w:szCs w:val="14"/>
                <w:b w:val="1"/>
                <w:bCs w:val="1"/>
                <w:color w:val="auto"/>
                <w:w w:val="91"/>
              </w:rPr>
              <w:t>2019 vs 2018</w:t>
            </w: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000" w:type="dxa"/>
            <w:vAlign w:val="bottom"/>
            <w:tcBorders>
              <w:bottom w:val="single" w:sz="8" w:color="auto"/>
            </w:tcBorders>
            <w:vMerge w:val="continue"/>
          </w:tcPr>
          <w:p>
            <w:pPr>
              <w:spacing w:after="0"/>
              <w:rPr>
                <w:sz w:val="14"/>
                <w:szCs w:val="14"/>
                <w:color w:val="auto"/>
              </w:rPr>
            </w:pPr>
          </w:p>
        </w:tc>
        <w:tc>
          <w:tcPr>
            <w:tcW w:w="304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Borders>
              <w:top w:val="single" w:sz="8" w:color="auto"/>
            </w:tcBorders>
          </w:tcPr>
          <w:p>
            <w:pPr>
              <w:jc w:val="right"/>
              <w:ind w:right="256"/>
              <w:spacing w:after="0" w:line="142" w:lineRule="exact"/>
              <w:rPr>
                <w:sz w:val="20"/>
                <w:szCs w:val="20"/>
                <w:color w:val="auto"/>
              </w:rPr>
            </w:pPr>
            <w:r>
              <w:rPr>
                <w:rFonts w:ascii="Arial" w:cs="Arial" w:eastAsia="Arial" w:hAnsi="Arial"/>
                <w:sz w:val="14"/>
                <w:szCs w:val="14"/>
                <w:b w:val="1"/>
                <w:bCs w:val="1"/>
                <w:color w:val="auto"/>
              </w:rPr>
              <w:t>2019</w:t>
            </w:r>
          </w:p>
        </w:tc>
        <w:tc>
          <w:tcPr>
            <w:tcW w:w="28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jc w:val="right"/>
              <w:ind w:right="336"/>
              <w:spacing w:after="0" w:line="142" w:lineRule="exact"/>
              <w:rPr>
                <w:sz w:val="20"/>
                <w:szCs w:val="20"/>
                <w:color w:val="auto"/>
              </w:rPr>
            </w:pPr>
            <w:r>
              <w:rPr>
                <w:rFonts w:ascii="Arial" w:cs="Arial" w:eastAsia="Arial" w:hAnsi="Arial"/>
                <w:sz w:val="14"/>
                <w:szCs w:val="14"/>
                <w:b w:val="1"/>
                <w:bCs w:val="1"/>
                <w:color w:val="auto"/>
              </w:rPr>
              <w:t>$</w:t>
            </w:r>
          </w:p>
        </w:tc>
        <w:tc>
          <w:tcPr>
            <w:tcW w:w="24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jc w:val="right"/>
              <w:ind w:right="333"/>
              <w:spacing w:after="0" w:line="142"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404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b w:val="1"/>
                <w:bCs w:val="1"/>
                <w:color w:val="auto"/>
              </w:rPr>
              <w:t>Selling, General and Administrative Expenses</w:t>
            </w:r>
          </w:p>
        </w:tc>
        <w:tc>
          <w:tcPr>
            <w:tcW w:w="28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CFF0FC"/>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66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40" w:type="dxa"/>
            <w:vAlign w:val="bottom"/>
            <w:gridSpan w:val="2"/>
          </w:tcPr>
          <w:p>
            <w:pPr>
              <w:ind w:left="260"/>
              <w:spacing w:after="0"/>
              <w:rPr>
                <w:sz w:val="20"/>
                <w:szCs w:val="20"/>
                <w:color w:val="auto"/>
              </w:rPr>
            </w:pPr>
            <w:r>
              <w:rPr>
                <w:rFonts w:ascii="Arial" w:cs="Arial" w:eastAsia="Arial" w:hAnsi="Arial"/>
                <w:sz w:val="18"/>
                <w:szCs w:val="18"/>
                <w:color w:val="auto"/>
              </w:rPr>
              <w:t>Commercial Services</w:t>
            </w:r>
          </w:p>
        </w:tc>
        <w:tc>
          <w:tcPr>
            <w:tcW w:w="48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9,629</w:t>
            </w:r>
          </w:p>
        </w:tc>
        <w:tc>
          <w:tcPr>
            <w:tcW w:w="44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10,958</w:t>
            </w:r>
          </w:p>
        </w:tc>
        <w:tc>
          <w:tcPr>
            <w:tcW w:w="240" w:type="dxa"/>
            <w:vAlign w:val="bottom"/>
          </w:tcPr>
          <w:p>
            <w:pPr>
              <w:spacing w:after="0"/>
              <w:rPr>
                <w:sz w:val="19"/>
                <w:szCs w:val="19"/>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8.8%</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11.2%</w:t>
            </w:r>
          </w:p>
        </w:tc>
        <w:tc>
          <w:tcPr>
            <w:tcW w:w="34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(1,329)</w:t>
            </w:r>
          </w:p>
        </w:tc>
        <w:tc>
          <w:tcPr>
            <w:tcW w:w="32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30"/>
        </w:trPr>
        <w:tc>
          <w:tcPr>
            <w:tcW w:w="40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Government Solutions</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7,561</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7,223</w:t>
            </w:r>
          </w:p>
        </w:tc>
        <w:tc>
          <w:tcPr>
            <w:tcW w:w="2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6.9%</w:t>
            </w: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7.3%</w:t>
            </w: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338</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30"/>
        </w:trPr>
        <w:tc>
          <w:tcPr>
            <w:tcW w:w="4040" w:type="dxa"/>
            <w:vAlign w:val="bottom"/>
            <w:gridSpan w:val="2"/>
          </w:tcPr>
          <w:p>
            <w:pPr>
              <w:ind w:left="260"/>
              <w:spacing w:after="0"/>
              <w:rPr>
                <w:sz w:val="20"/>
                <w:szCs w:val="20"/>
                <w:color w:val="auto"/>
              </w:rPr>
            </w:pPr>
            <w:r>
              <w:rPr>
                <w:rFonts w:ascii="Arial" w:cs="Arial" w:eastAsia="Arial" w:hAnsi="Arial"/>
                <w:sz w:val="18"/>
                <w:szCs w:val="18"/>
                <w:color w:val="auto"/>
              </w:rPr>
              <w:t>Corporate</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1,135</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9,407</w:t>
            </w:r>
          </w:p>
        </w:tc>
        <w:tc>
          <w:tcPr>
            <w:tcW w:w="240" w:type="dxa"/>
            <w:vAlign w:val="bottom"/>
          </w:tcPr>
          <w:p>
            <w:pPr>
              <w:spacing w:after="0"/>
              <w:rPr>
                <w:sz w:val="19"/>
                <w:szCs w:val="19"/>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1.0%</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9.6%</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(8,272)</w:t>
            </w:r>
          </w:p>
        </w:tc>
        <w:tc>
          <w:tcPr>
            <w:tcW w:w="32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(87.9)%</w:t>
            </w:r>
          </w:p>
        </w:tc>
        <w:tc>
          <w:tcPr>
            <w:tcW w:w="0" w:type="dxa"/>
            <w:vAlign w:val="bottom"/>
          </w:tcPr>
          <w:p>
            <w:pPr>
              <w:spacing w:after="0"/>
              <w:rPr>
                <w:sz w:val="1"/>
                <w:szCs w:val="1"/>
                <w:color w:val="auto"/>
              </w:rPr>
            </w:pPr>
          </w:p>
        </w:tc>
      </w:tr>
      <w:tr>
        <w:trPr>
          <w:trHeight w:val="209"/>
        </w:trPr>
        <w:tc>
          <w:tcPr>
            <w:tcW w:w="404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 selling, general and administrative</w:t>
            </w:r>
          </w:p>
        </w:tc>
        <w:tc>
          <w:tcPr>
            <w:tcW w:w="28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CFF0FC"/>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66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320" w:type="dxa"/>
            <w:vAlign w:val="bottom"/>
            <w:tcBorders>
              <w:top w:val="single" w:sz="8" w:color="CFF0FC"/>
            </w:tcBorders>
            <w:shd w:val="clear" w:color="auto" w:fill="CFF0FC"/>
          </w:tcPr>
          <w:p>
            <w:pPr>
              <w:spacing w:after="0"/>
              <w:rPr>
                <w:sz w:val="18"/>
                <w:szCs w:val="18"/>
                <w:color w:val="auto"/>
              </w:rPr>
            </w:pPr>
          </w:p>
        </w:tc>
        <w:tc>
          <w:tcPr>
            <w:tcW w:w="62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expenses before stock-based compensation</w:t>
            </w:r>
          </w:p>
        </w:tc>
        <w:tc>
          <w:tcPr>
            <w:tcW w:w="2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18,325</w:t>
            </w:r>
          </w:p>
        </w:tc>
        <w:tc>
          <w:tcPr>
            <w:tcW w:w="2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27,588</w:t>
            </w:r>
          </w:p>
        </w:tc>
        <w:tc>
          <w:tcPr>
            <w:tcW w:w="240" w:type="dxa"/>
            <w:vAlign w:val="bottom"/>
            <w:shd w:val="clear" w:color="auto" w:fill="CFF0FC"/>
          </w:tcPr>
          <w:p>
            <w:pPr>
              <w:spacing w:after="0"/>
              <w:rPr>
                <w:sz w:val="20"/>
                <w:szCs w:val="20"/>
                <w:color w:val="auto"/>
              </w:rPr>
            </w:pPr>
          </w:p>
        </w:tc>
        <w:tc>
          <w:tcPr>
            <w:tcW w:w="12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16.7%</w:t>
            </w: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28.1%</w:t>
            </w:r>
          </w:p>
        </w:tc>
        <w:tc>
          <w:tcPr>
            <w:tcW w:w="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(9,263)</w:t>
            </w:r>
          </w:p>
        </w:tc>
        <w:tc>
          <w:tcPr>
            <w:tcW w:w="32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(33.6)%</w:t>
            </w:r>
          </w:p>
        </w:tc>
        <w:tc>
          <w:tcPr>
            <w:tcW w:w="0" w:type="dxa"/>
            <w:vAlign w:val="bottom"/>
          </w:tcPr>
          <w:p>
            <w:pPr>
              <w:spacing w:after="0"/>
              <w:rPr>
                <w:sz w:val="1"/>
                <w:szCs w:val="1"/>
                <w:color w:val="auto"/>
              </w:rPr>
            </w:pPr>
          </w:p>
        </w:tc>
      </w:tr>
      <w:tr>
        <w:trPr>
          <w:trHeight w:val="230"/>
        </w:trPr>
        <w:tc>
          <w:tcPr>
            <w:tcW w:w="4040" w:type="dxa"/>
            <w:vAlign w:val="bottom"/>
            <w:gridSpan w:val="2"/>
          </w:tcPr>
          <w:p>
            <w:pPr>
              <w:spacing w:after="0"/>
              <w:rPr>
                <w:sz w:val="20"/>
                <w:szCs w:val="20"/>
                <w:color w:val="auto"/>
              </w:rPr>
            </w:pPr>
            <w:r>
              <w:rPr>
                <w:rFonts w:ascii="Arial" w:cs="Arial" w:eastAsia="Arial" w:hAnsi="Arial"/>
                <w:sz w:val="18"/>
                <w:szCs w:val="18"/>
                <w:color w:val="auto"/>
              </w:rPr>
              <w:t>Stock-based compensation</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2,540</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2.3%</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2,540</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0"/>
        </w:trPr>
        <w:tc>
          <w:tcPr>
            <w:tcW w:w="4040" w:type="dxa"/>
            <w:vAlign w:val="bottom"/>
            <w:gridSpan w:val="2"/>
            <w:vMerge w:val="restart"/>
            <w:shd w:val="clear" w:color="auto" w:fill="CFF0FC"/>
          </w:tcPr>
          <w:p>
            <w:pPr>
              <w:spacing w:after="0"/>
              <w:rPr>
                <w:sz w:val="20"/>
                <w:szCs w:val="20"/>
                <w:color w:val="auto"/>
              </w:rPr>
            </w:pPr>
            <w:r>
              <w:rPr>
                <w:rFonts w:ascii="Arial" w:cs="Arial" w:eastAsia="Arial" w:hAnsi="Arial"/>
                <w:sz w:val="18"/>
                <w:szCs w:val="18"/>
                <w:color w:val="auto"/>
                <w:w w:val="97"/>
              </w:rPr>
              <w:t>Total Selling, General and Administrative Expenses</w:t>
            </w:r>
          </w:p>
        </w:tc>
        <w:tc>
          <w:tcPr>
            <w:tcW w:w="280" w:type="dxa"/>
            <w:vAlign w:val="bottom"/>
            <w:vMerge w:val="restart"/>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vMerge w:val="restart"/>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FF0FC"/>
          </w:tcPr>
          <w:p>
            <w:pPr>
              <w:spacing w:after="0" w:line="20" w:lineRule="exact"/>
              <w:rPr>
                <w:sz w:val="1"/>
                <w:szCs w:val="1"/>
                <w:color w:val="auto"/>
              </w:rPr>
            </w:pPr>
          </w:p>
        </w:tc>
        <w:tc>
          <w:tcPr>
            <w:tcW w:w="320" w:type="dxa"/>
            <w:vAlign w:val="bottom"/>
            <w:vMerge w:val="restart"/>
            <w:shd w:val="clear" w:color="auto" w:fill="CFF0FC"/>
          </w:tcPr>
          <w:p>
            <w:pPr>
              <w:spacing w:after="0" w:line="20" w:lineRule="exact"/>
              <w:rPr>
                <w:sz w:val="1"/>
                <w:szCs w:val="1"/>
                <w:color w:val="auto"/>
              </w:rPr>
            </w:pPr>
          </w:p>
        </w:tc>
        <w:tc>
          <w:tcPr>
            <w:tcW w:w="840" w:type="dxa"/>
            <w:vAlign w:val="bottom"/>
            <w:gridSpan w:val="2"/>
            <w:vMerge w:val="restart"/>
            <w:shd w:val="clear" w:color="auto" w:fill="CFF0FC"/>
          </w:tcPr>
          <w:p>
            <w:pPr>
              <w:jc w:val="right"/>
              <w:ind w:right="20"/>
              <w:spacing w:after="0"/>
              <w:rPr>
                <w:sz w:val="20"/>
                <w:szCs w:val="20"/>
                <w:color w:val="auto"/>
              </w:rPr>
            </w:pPr>
            <w:r>
              <w:rPr>
                <w:rFonts w:ascii="Arial" w:cs="Arial" w:eastAsia="Arial" w:hAnsi="Arial"/>
                <w:sz w:val="18"/>
                <w:szCs w:val="18"/>
                <w:color w:val="auto"/>
              </w:rPr>
              <w:t>(24.4)%</w:t>
            </w:r>
          </w:p>
        </w:tc>
        <w:tc>
          <w:tcPr>
            <w:tcW w:w="0" w:type="dxa"/>
            <w:vAlign w:val="bottom"/>
          </w:tcPr>
          <w:p>
            <w:pPr>
              <w:spacing w:after="0" w:line="20" w:lineRule="exact"/>
              <w:rPr>
                <w:sz w:val="1"/>
                <w:szCs w:val="1"/>
                <w:color w:val="auto"/>
              </w:rPr>
            </w:pPr>
          </w:p>
        </w:tc>
      </w:tr>
      <w:tr>
        <w:trPr>
          <w:trHeight w:val="223"/>
        </w:trPr>
        <w:tc>
          <w:tcPr>
            <w:tcW w:w="4040" w:type="dxa"/>
            <w:vAlign w:val="bottom"/>
            <w:gridSpan w:val="2"/>
            <w:vMerge w:val="continue"/>
            <w:shd w:val="clear" w:color="auto" w:fill="CFF0FC"/>
          </w:tcPr>
          <w:p>
            <w:pPr>
              <w:spacing w:after="0"/>
              <w:rPr>
                <w:sz w:val="19"/>
                <w:szCs w:val="19"/>
                <w:color w:val="auto"/>
              </w:rPr>
            </w:pPr>
          </w:p>
        </w:tc>
        <w:tc>
          <w:tcPr>
            <w:tcW w:w="280" w:type="dxa"/>
            <w:vAlign w:val="bottom"/>
            <w:vMerge w:val="continue"/>
            <w:shd w:val="clear" w:color="auto" w:fill="CFF0FC"/>
          </w:tcPr>
          <w:p>
            <w:pPr>
              <w:spacing w:after="0"/>
              <w:rPr>
                <w:sz w:val="19"/>
                <w:szCs w:val="19"/>
                <w:color w:val="auto"/>
              </w:rPr>
            </w:pP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20,865</w:t>
            </w:r>
          </w:p>
        </w:tc>
        <w:tc>
          <w:tcPr>
            <w:tcW w:w="240" w:type="dxa"/>
            <w:vAlign w:val="bottom"/>
            <w:vMerge w:val="continue"/>
            <w:shd w:val="clear" w:color="auto" w:fill="CFF0FC"/>
          </w:tcPr>
          <w:p>
            <w:pPr>
              <w:spacing w:after="0"/>
              <w:rPr>
                <w:sz w:val="19"/>
                <w:szCs w:val="19"/>
                <w:color w:val="auto"/>
              </w:rPr>
            </w:pP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27,588</w:t>
            </w:r>
          </w:p>
        </w:tc>
        <w:tc>
          <w:tcPr>
            <w:tcW w:w="2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19.0%</w:t>
            </w: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28.1%</w:t>
            </w:r>
          </w:p>
        </w:tc>
        <w:tc>
          <w:tcPr>
            <w:tcW w:w="80" w:type="dxa"/>
            <w:vAlign w:val="bottom"/>
            <w:vMerge w:val="continue"/>
            <w:shd w:val="clear" w:color="auto" w:fill="CFF0FC"/>
          </w:tcPr>
          <w:p>
            <w:pPr>
              <w:spacing w:after="0"/>
              <w:rPr>
                <w:sz w:val="19"/>
                <w:szCs w:val="19"/>
                <w:color w:val="auto"/>
              </w:rPr>
            </w:pP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(6,723)</w:t>
            </w:r>
          </w:p>
        </w:tc>
        <w:tc>
          <w:tcPr>
            <w:tcW w:w="240" w:type="dxa"/>
            <w:vAlign w:val="bottom"/>
            <w:vMerge w:val="continue"/>
            <w:shd w:val="clear" w:color="auto" w:fill="CFF0FC"/>
          </w:tcPr>
          <w:p>
            <w:pPr>
              <w:spacing w:after="0"/>
              <w:rPr>
                <w:sz w:val="19"/>
                <w:szCs w:val="19"/>
                <w:color w:val="auto"/>
              </w:rPr>
            </w:pPr>
          </w:p>
        </w:tc>
        <w:tc>
          <w:tcPr>
            <w:tcW w:w="320" w:type="dxa"/>
            <w:vAlign w:val="bottom"/>
            <w:vMerge w:val="continue"/>
            <w:shd w:val="clear" w:color="auto" w:fill="CFF0FC"/>
          </w:tcPr>
          <w:p>
            <w:pPr>
              <w:spacing w:after="0"/>
              <w:rPr>
                <w:sz w:val="19"/>
                <w:szCs w:val="19"/>
                <w:color w:val="auto"/>
              </w:rPr>
            </w:pPr>
          </w:p>
        </w:tc>
        <w:tc>
          <w:tcPr>
            <w:tcW w:w="840" w:type="dxa"/>
            <w:vAlign w:val="bottom"/>
            <w:gridSpan w:val="2"/>
            <w:vMerge w:val="continue"/>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00" w:type="dxa"/>
            <w:vAlign w:val="bottom"/>
            <w:tcBorders>
              <w:top w:val="single" w:sz="8" w:color="CFF0FC"/>
            </w:tcBorders>
          </w:tcPr>
          <w:p>
            <w:pPr>
              <w:spacing w:after="0" w:line="20" w:lineRule="exact"/>
              <w:rPr>
                <w:sz w:val="1"/>
                <w:szCs w:val="1"/>
                <w:color w:val="auto"/>
              </w:rPr>
            </w:pPr>
          </w:p>
        </w:tc>
        <w:tc>
          <w:tcPr>
            <w:tcW w:w="304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62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firstLine="815"/>
        <w:spacing w:after="0" w:line="259" w:lineRule="auto"/>
        <w:rPr>
          <w:sz w:val="20"/>
          <w:szCs w:val="20"/>
          <w:color w:val="auto"/>
        </w:rPr>
      </w:pPr>
      <w:r>
        <w:rPr>
          <w:rFonts w:ascii="Arial" w:cs="Arial" w:eastAsia="Arial" w:hAnsi="Arial"/>
          <w:sz w:val="18"/>
          <w:szCs w:val="18"/>
          <w:i w:val="1"/>
          <w:iCs w:val="1"/>
          <w:color w:val="auto"/>
        </w:rPr>
        <w:t xml:space="preserve">Depreciation, Amortization, and Gain or Loss on Disposal of Assets, Net. </w:t>
      </w:r>
      <w:r>
        <w:rPr>
          <w:rFonts w:ascii="Arial" w:cs="Arial" w:eastAsia="Arial" w:hAnsi="Arial"/>
          <w:sz w:val="18"/>
          <w:szCs w:val="18"/>
          <w:color w:val="auto"/>
        </w:rPr>
        <w:t>Depreciation, amortization, and gain or loss on disposal of assets, net,</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increased by $1.4 million, or 4.9 %, from $27.5 million for the three months ended June 30, 2018 to $28.9 million for the same period in 2019. The increase is due to additional amortization expense associated with the EPC acquisition and to a lesser extent increased capital expenditures related to Product Sales noted above.</w:t>
      </w:r>
    </w:p>
    <w:p>
      <w:pPr>
        <w:spacing w:after="0" w:line="214" w:lineRule="exact"/>
        <w:rPr>
          <w:sz w:val="20"/>
          <w:szCs w:val="20"/>
          <w:color w:val="auto"/>
        </w:rPr>
      </w:pPr>
    </w:p>
    <w:p>
      <w:pPr>
        <w:jc w:val="both"/>
        <w:ind w:firstLine="815"/>
        <w:spacing w:after="0" w:line="264" w:lineRule="auto"/>
        <w:rPr>
          <w:sz w:val="20"/>
          <w:szCs w:val="20"/>
          <w:color w:val="auto"/>
        </w:rPr>
      </w:pPr>
      <w:r>
        <w:rPr>
          <w:rFonts w:ascii="Arial" w:cs="Arial" w:eastAsia="Arial" w:hAnsi="Arial"/>
          <w:sz w:val="18"/>
          <w:szCs w:val="18"/>
          <w:i w:val="1"/>
          <w:iCs w:val="1"/>
          <w:color w:val="auto"/>
        </w:rPr>
        <w:t xml:space="preserve">Impairment of Property and Equipment. </w:t>
      </w:r>
      <w:r>
        <w:rPr>
          <w:rFonts w:ascii="Arial" w:cs="Arial" w:eastAsia="Arial" w:hAnsi="Arial"/>
          <w:sz w:val="18"/>
          <w:szCs w:val="18"/>
          <w:color w:val="auto"/>
        </w:rPr>
        <w:t>Impairment of property and equipment for the three months ended June 30, 2019 includes a $5.9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impairment charge as a result of legislative ban of most red-light photo enforcement programs in Texas as of June 1, 2019, which was in the Government Solutions segment.</w:t>
      </w:r>
    </w:p>
    <w:p>
      <w:pPr>
        <w:spacing w:after="0" w:line="141" w:lineRule="exact"/>
        <w:rPr>
          <w:sz w:val="20"/>
          <w:szCs w:val="20"/>
          <w:color w:val="auto"/>
        </w:rPr>
      </w:pPr>
    </w:p>
    <w:p>
      <w:pPr>
        <w:jc w:val="both"/>
        <w:ind w:firstLine="815"/>
        <w:spacing w:after="0" w:line="259" w:lineRule="auto"/>
        <w:rPr>
          <w:sz w:val="20"/>
          <w:szCs w:val="20"/>
          <w:color w:val="auto"/>
        </w:rPr>
      </w:pPr>
      <w:r>
        <w:rPr>
          <w:rFonts w:ascii="Arial" w:cs="Arial" w:eastAsia="Arial" w:hAnsi="Arial"/>
          <w:sz w:val="18"/>
          <w:szCs w:val="18"/>
          <w:i w:val="1"/>
          <w:iCs w:val="1"/>
          <w:color w:val="auto"/>
        </w:rPr>
        <w:t xml:space="preserve">Interest Expense, Net. </w:t>
      </w:r>
      <w:r>
        <w:rPr>
          <w:rFonts w:ascii="Arial" w:cs="Arial" w:eastAsia="Arial" w:hAnsi="Arial"/>
          <w:sz w:val="18"/>
          <w:szCs w:val="18"/>
          <w:color w:val="auto"/>
        </w:rPr>
        <w:t>Interest expense, net decreased by $3.9 million from $19.6 million for the three months ended June 30, 2018 to</w:t>
      </w:r>
      <w:r>
        <w:rPr>
          <w:rFonts w:ascii="Arial" w:cs="Arial" w:eastAsia="Arial" w:hAnsi="Arial"/>
          <w:sz w:val="18"/>
          <w:szCs w:val="18"/>
          <w:i w:val="1"/>
          <w:iCs w:val="1"/>
          <w:color w:val="auto"/>
        </w:rPr>
        <w:t xml:space="preserve"> </w:t>
      </w:r>
      <w:r>
        <w:rPr>
          <w:rFonts w:ascii="Arial" w:cs="Arial" w:eastAsia="Arial" w:hAnsi="Arial"/>
          <w:sz w:val="18"/>
          <w:szCs w:val="18"/>
          <w:color w:val="auto"/>
        </w:rPr>
        <w:t>$15.7 million for the same period in 2019. The decrease is due to lower average debt balances quarter over quarter primarily related to the full pay off of the New Second Lien Term Loan. The average debt balance for the three months ended June 30, 2018 was $1.04 billion compared to $900.7 million for the same period in 2019. See “—</w:t>
      </w:r>
      <w:r>
        <w:rPr>
          <w:rFonts w:ascii="Arial" w:cs="Arial" w:eastAsia="Arial" w:hAnsi="Arial"/>
          <w:sz w:val="18"/>
          <w:szCs w:val="18"/>
          <w:i w:val="1"/>
          <w:iCs w:val="1"/>
          <w:color w:val="auto"/>
        </w:rPr>
        <w:t>Liquidity and Capital Resources</w:t>
      </w:r>
      <w:r>
        <w:rPr>
          <w:rFonts w:ascii="Arial" w:cs="Arial" w:eastAsia="Arial" w:hAnsi="Arial"/>
          <w:sz w:val="18"/>
          <w:szCs w:val="18"/>
          <w:color w:val="auto"/>
        </w:rPr>
        <w:t>.”</w:t>
      </w:r>
    </w:p>
    <w:p>
      <w:pPr>
        <w:spacing w:after="0" w:line="160" w:lineRule="exact"/>
        <w:rPr>
          <w:sz w:val="20"/>
          <w:szCs w:val="20"/>
          <w:color w:val="auto"/>
        </w:rPr>
      </w:pPr>
    </w:p>
    <w:p>
      <w:pPr>
        <w:jc w:val="both"/>
        <w:ind w:firstLine="815"/>
        <w:spacing w:after="0" w:line="264" w:lineRule="auto"/>
        <w:rPr>
          <w:sz w:val="20"/>
          <w:szCs w:val="20"/>
          <w:color w:val="auto"/>
        </w:rPr>
      </w:pPr>
      <w:r>
        <w:rPr>
          <w:rFonts w:ascii="Arial" w:cs="Arial" w:eastAsia="Arial" w:hAnsi="Arial"/>
          <w:sz w:val="18"/>
          <w:szCs w:val="18"/>
          <w:i w:val="1"/>
          <w:iCs w:val="1"/>
          <w:color w:val="auto"/>
        </w:rPr>
        <w:t xml:space="preserve">Other Income, Net. </w:t>
      </w:r>
      <w:r>
        <w:rPr>
          <w:rFonts w:ascii="Arial" w:cs="Arial" w:eastAsia="Arial" w:hAnsi="Arial"/>
          <w:sz w:val="18"/>
          <w:szCs w:val="18"/>
          <w:color w:val="auto"/>
        </w:rPr>
        <w:t>Other income, net for the three months ended June 30, 2019 was $3.3 million compared to $2.8 million in the three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June 30, 2018. The increase is primarily due to increased tolling activity. We pay a high volume of tolls on behalf of our customers with purchasing cards which generate rebates based on volume, payment terms and rebate frequency.</w:t>
      </w:r>
    </w:p>
    <w:p>
      <w:pPr>
        <w:spacing w:after="0" w:line="141" w:lineRule="exact"/>
        <w:rPr>
          <w:sz w:val="20"/>
          <w:szCs w:val="20"/>
          <w:color w:val="auto"/>
        </w:rPr>
      </w:pPr>
    </w:p>
    <w:p>
      <w:pPr>
        <w:jc w:val="both"/>
        <w:ind w:firstLine="815"/>
        <w:spacing w:after="0" w:line="257" w:lineRule="auto"/>
        <w:rPr>
          <w:sz w:val="20"/>
          <w:szCs w:val="20"/>
          <w:color w:val="auto"/>
        </w:rPr>
      </w:pPr>
      <w:r>
        <w:rPr>
          <w:rFonts w:ascii="Arial" w:cs="Arial" w:eastAsia="Arial" w:hAnsi="Arial"/>
          <w:sz w:val="18"/>
          <w:szCs w:val="18"/>
          <w:i w:val="1"/>
          <w:iCs w:val="1"/>
          <w:color w:val="auto"/>
        </w:rPr>
        <w:t xml:space="preserve">Income Tax Provision (Benefit). </w:t>
      </w:r>
      <w:r>
        <w:rPr>
          <w:rFonts w:ascii="Arial" w:cs="Arial" w:eastAsia="Arial" w:hAnsi="Arial"/>
          <w:sz w:val="18"/>
          <w:szCs w:val="18"/>
          <w:color w:val="auto"/>
        </w:rPr>
        <w:t>Income tax provision (benefit) changed by $2.0 million from $(0.2) million, representing an effective tax rate of</w:t>
      </w:r>
      <w:r>
        <w:rPr>
          <w:rFonts w:ascii="Arial" w:cs="Arial" w:eastAsia="Arial" w:hAnsi="Arial"/>
          <w:sz w:val="18"/>
          <w:szCs w:val="18"/>
          <w:i w:val="1"/>
          <w:iCs w:val="1"/>
          <w:color w:val="auto"/>
        </w:rPr>
        <w:t xml:space="preserve"> </w:t>
      </w:r>
      <w:r>
        <w:rPr>
          <w:rFonts w:ascii="Arial" w:cs="Arial" w:eastAsia="Arial" w:hAnsi="Arial"/>
          <w:sz w:val="18"/>
          <w:szCs w:val="18"/>
          <w:color w:val="auto"/>
        </w:rPr>
        <w:t>(4.7%), for the three months ended June 30, 2018 to a tax of $1.7 million, representing an effective tax rate of 32.6% for the same period in 2019. The effective tax rate change was primarily due to higher pretax income across multiple jurisdictions, and an increase in permanent differences between book and taxable income, including the 162(m) executive compensation limitation, non-deductible secondary offering transaction costs, and the Global Intangible Low Tax Income inclusion.</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36" w:name="page37"/>
    <w:bookmarkEnd w:id="3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90" w:lineRule="exact"/>
        <w:rPr>
          <w:sz w:val="20"/>
          <w:szCs w:val="20"/>
          <w:color w:val="auto"/>
        </w:rPr>
      </w:pPr>
    </w:p>
    <w:p>
      <w:pPr>
        <w:jc w:val="both"/>
        <w:ind w:firstLine="815"/>
        <w:spacing w:after="0" w:line="342" w:lineRule="auto"/>
        <w:rPr>
          <w:sz w:val="20"/>
          <w:szCs w:val="20"/>
          <w:color w:val="auto"/>
        </w:rPr>
      </w:pPr>
      <w:r>
        <w:rPr>
          <w:rFonts w:ascii="Arial" w:cs="Arial" w:eastAsia="Arial" w:hAnsi="Arial"/>
          <w:sz w:val="16"/>
          <w:szCs w:val="16"/>
          <w:i w:val="1"/>
          <w:iCs w:val="1"/>
          <w:color w:val="auto"/>
        </w:rPr>
        <w:t xml:space="preserve">Net Income (Loss). </w:t>
      </w:r>
      <w:r>
        <w:rPr>
          <w:rFonts w:ascii="Arial" w:cs="Arial" w:eastAsia="Arial" w:hAnsi="Arial"/>
          <w:sz w:val="16"/>
          <w:szCs w:val="16"/>
          <w:color w:val="auto"/>
        </w:rPr>
        <w:t>We had net income of $3.6 million for the three months ended June 30, 2019, compared to a net loss of $4.8 million for the</w:t>
      </w:r>
      <w:r>
        <w:rPr>
          <w:rFonts w:ascii="Arial" w:cs="Arial" w:eastAsia="Arial" w:hAnsi="Arial"/>
          <w:sz w:val="16"/>
          <w:szCs w:val="16"/>
          <w:i w:val="1"/>
          <w:iCs w:val="1"/>
          <w:color w:val="auto"/>
        </w:rPr>
        <w:t xml:space="preserve"> </w:t>
      </w:r>
      <w:r>
        <w:rPr>
          <w:rFonts w:ascii="Arial" w:cs="Arial" w:eastAsia="Arial" w:hAnsi="Arial"/>
          <w:sz w:val="16"/>
          <w:szCs w:val="16"/>
          <w:color w:val="auto"/>
        </w:rPr>
        <w:t>three months ended June 30, 2018. The improved net income was in line with our revenue growth and other statements of operations activity discussed above.</w:t>
      </w:r>
    </w:p>
    <w:p>
      <w:pPr>
        <w:spacing w:after="0" w:line="97" w:lineRule="exact"/>
        <w:rPr>
          <w:sz w:val="20"/>
          <w:szCs w:val="20"/>
          <w:color w:val="auto"/>
        </w:rPr>
      </w:pPr>
    </w:p>
    <w:p>
      <w:pPr>
        <w:jc w:val="both"/>
        <w:ind w:firstLine="815"/>
        <w:spacing w:after="0" w:line="264" w:lineRule="auto"/>
        <w:rPr>
          <w:sz w:val="20"/>
          <w:szCs w:val="20"/>
          <w:color w:val="auto"/>
        </w:rPr>
      </w:pPr>
      <w:r>
        <w:rPr>
          <w:rFonts w:ascii="Arial" w:cs="Arial" w:eastAsia="Arial" w:hAnsi="Arial"/>
          <w:sz w:val="18"/>
          <w:szCs w:val="18"/>
          <w:i w:val="1"/>
          <w:iCs w:val="1"/>
          <w:color w:val="auto"/>
        </w:rPr>
        <w:t xml:space="preserve">Adjusted EBITDA. </w:t>
      </w:r>
      <w:r>
        <w:rPr>
          <w:rFonts w:ascii="Arial" w:cs="Arial" w:eastAsia="Arial" w:hAnsi="Arial"/>
          <w:sz w:val="18"/>
          <w:szCs w:val="18"/>
          <w:color w:val="auto"/>
        </w:rPr>
        <w:t>For the three months ended June 30, 2019 adjusted EBITDA was $59.7 million, an increase of $5.1 million or 9.3 % from the</w:t>
      </w:r>
      <w:r>
        <w:rPr>
          <w:rFonts w:ascii="Arial" w:cs="Arial" w:eastAsia="Arial" w:hAnsi="Arial"/>
          <w:sz w:val="18"/>
          <w:szCs w:val="18"/>
          <w:i w:val="1"/>
          <w:iCs w:val="1"/>
          <w:color w:val="auto"/>
        </w:rPr>
        <w:t xml:space="preserve"> </w:t>
      </w:r>
      <w:r>
        <w:rPr>
          <w:rFonts w:ascii="Arial" w:cs="Arial" w:eastAsia="Arial" w:hAnsi="Arial"/>
          <w:sz w:val="18"/>
          <w:szCs w:val="18"/>
          <w:color w:val="auto"/>
        </w:rPr>
        <w:t>three months ended June 30, 2018. The growth was in line with the income statement activity discussed above, adjusted for certain transactions and non-recurring expenses.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June 30, 2019 Compared to Six Months Ended June 30, 2018</w:t>
      </w:r>
    </w:p>
    <w:p>
      <w:pPr>
        <w:spacing w:after="0" w:line="185" w:lineRule="exact"/>
        <w:rPr>
          <w:sz w:val="20"/>
          <w:szCs w:val="20"/>
          <w:color w:val="auto"/>
        </w:rPr>
      </w:pPr>
    </w:p>
    <w:p>
      <w:pPr>
        <w:jc w:val="both"/>
        <w:ind w:firstLine="815"/>
        <w:spacing w:after="0" w:line="264" w:lineRule="auto"/>
        <w:rPr>
          <w:sz w:val="20"/>
          <w:szCs w:val="20"/>
          <w:color w:val="auto"/>
        </w:rPr>
      </w:pPr>
      <w:r>
        <w:rPr>
          <w:rFonts w:ascii="Arial" w:cs="Arial" w:eastAsia="Arial" w:hAnsi="Arial"/>
          <w:sz w:val="18"/>
          <w:szCs w:val="18"/>
          <w:color w:val="auto"/>
        </w:rPr>
        <w:t>The following table sets forth for each of the year-to-date periods indicated our statements of operations data and other information and expresses each item as a percentage of total revenues for the periods presented as well as the changes between periods. The tables and information provided were derived from exact numbers and may have immaterial rounding differences.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0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720" w:type="dxa"/>
            <w:vAlign w:val="bottom"/>
            <w:tcBorders>
              <w:bottom w:val="single" w:sz="8" w:color="auto"/>
            </w:tcBorders>
            <w:gridSpan w:val="5"/>
          </w:tcPr>
          <w:p>
            <w:pPr>
              <w:jc w:val="right"/>
              <w:ind w:right="700"/>
              <w:spacing w:after="0"/>
              <w:rPr>
                <w:sz w:val="20"/>
                <w:szCs w:val="20"/>
                <w:color w:val="auto"/>
              </w:rPr>
            </w:pPr>
            <w:r>
              <w:rPr>
                <w:rFonts w:ascii="Arial" w:cs="Arial" w:eastAsia="Arial" w:hAnsi="Arial"/>
                <w:sz w:val="14"/>
                <w:szCs w:val="14"/>
                <w:b w:val="1"/>
                <w:bCs w:val="1"/>
                <w:color w:val="auto"/>
              </w:rPr>
              <w:t>Six Months Ended June 30,</w:t>
            </w:r>
          </w:p>
        </w:tc>
        <w:tc>
          <w:tcPr>
            <w:tcW w:w="2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00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720" w:type="dxa"/>
            <w:vAlign w:val="bottom"/>
            <w:gridSpan w:val="5"/>
            <w:vMerge w:val="restart"/>
          </w:tcPr>
          <w:p>
            <w:pPr>
              <w:jc w:val="right"/>
              <w:ind w:right="900"/>
              <w:spacing w:after="0"/>
              <w:rPr>
                <w:sz w:val="20"/>
                <w:szCs w:val="20"/>
                <w:color w:val="auto"/>
              </w:rPr>
            </w:pPr>
            <w:r>
              <w:rPr>
                <w:rFonts w:ascii="Arial" w:cs="Arial" w:eastAsia="Arial" w:hAnsi="Arial"/>
                <w:sz w:val="14"/>
                <w:szCs w:val="14"/>
                <w:b w:val="1"/>
                <w:bCs w:val="1"/>
                <w:color w:val="auto"/>
              </w:rPr>
              <w:t>Percentage of Revenue</w:t>
            </w:r>
          </w:p>
        </w:tc>
        <w:tc>
          <w:tcPr>
            <w:tcW w:w="280" w:type="dxa"/>
            <w:vAlign w:val="bottom"/>
          </w:tcPr>
          <w:p>
            <w:pPr>
              <w:spacing w:after="0"/>
              <w:rPr>
                <w:sz w:val="11"/>
                <w:szCs w:val="11"/>
                <w:color w:val="auto"/>
              </w:rPr>
            </w:pPr>
          </w:p>
        </w:tc>
        <w:tc>
          <w:tcPr>
            <w:tcW w:w="2060" w:type="dxa"/>
            <w:vAlign w:val="bottom"/>
            <w:gridSpan w:val="5"/>
          </w:tcPr>
          <w:p>
            <w:pPr>
              <w:ind w:left="260"/>
              <w:spacing w:after="0" w:line="133" w:lineRule="exact"/>
              <w:rPr>
                <w:sz w:val="20"/>
                <w:szCs w:val="20"/>
                <w:color w:val="auto"/>
              </w:rPr>
            </w:pPr>
            <w:r>
              <w:rPr>
                <w:rFonts w:ascii="Arial" w:cs="Arial" w:eastAsia="Arial" w:hAnsi="Arial"/>
                <w:sz w:val="14"/>
                <w:szCs w:val="14"/>
                <w:b w:val="1"/>
                <w:bCs w:val="1"/>
                <w:color w:val="auto"/>
              </w:rPr>
              <w:t>Increase (Decrease)</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1000" w:type="dxa"/>
            <w:vAlign w:val="bottom"/>
            <w:vMerge w:val="restart"/>
          </w:tcPr>
          <w:p>
            <w:pPr>
              <w:spacing w:after="0"/>
              <w:rPr>
                <w:sz w:val="20"/>
                <w:szCs w:val="20"/>
                <w:color w:val="auto"/>
              </w:rPr>
            </w:pPr>
            <w:r>
              <w:rPr>
                <w:rFonts w:ascii="Arial" w:cs="Arial" w:eastAsia="Arial" w:hAnsi="Arial"/>
                <w:sz w:val="14"/>
                <w:szCs w:val="14"/>
                <w:b w:val="1"/>
                <w:bCs w:val="1"/>
                <w:u w:val="single" w:color="auto"/>
                <w:color w:val="auto"/>
                <w:w w:val="90"/>
              </w:rPr>
              <w:t>(</w:t>
            </w:r>
            <w:r>
              <w:rPr>
                <w:rFonts w:ascii="Arial" w:cs="Arial" w:eastAsia="Arial" w:hAnsi="Arial"/>
                <w:sz w:val="14"/>
                <w:szCs w:val="14"/>
                <w:b w:val="1"/>
                <w:bCs w:val="1"/>
                <w:color w:val="auto"/>
                <w:w w:val="90"/>
              </w:rPr>
              <w:t>$ in thousands)</w:t>
            </w:r>
          </w:p>
        </w:tc>
        <w:tc>
          <w:tcPr>
            <w:tcW w:w="2320" w:type="dxa"/>
            <w:vAlign w:val="bottom"/>
            <w:vMerge w:val="restart"/>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vMerge w:val="restart"/>
          </w:tcPr>
          <w:p>
            <w:pPr>
              <w:jc w:val="right"/>
              <w:ind w:right="296"/>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vMerge w:val="restart"/>
          </w:tcPr>
          <w:p>
            <w:pPr>
              <w:jc w:val="right"/>
              <w:ind w:right="276"/>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720" w:type="dxa"/>
            <w:vAlign w:val="bottom"/>
            <w:gridSpan w:val="5"/>
            <w:vMerge w:val="continue"/>
          </w:tcPr>
          <w:p>
            <w:pPr>
              <w:spacing w:after="0"/>
              <w:rPr>
                <w:sz w:val="14"/>
                <w:szCs w:val="14"/>
                <w:color w:val="auto"/>
              </w:rPr>
            </w:pPr>
          </w:p>
        </w:tc>
        <w:tc>
          <w:tcPr>
            <w:tcW w:w="280" w:type="dxa"/>
            <w:vAlign w:val="bottom"/>
          </w:tcPr>
          <w:p>
            <w:pPr>
              <w:spacing w:after="0"/>
              <w:rPr>
                <w:sz w:val="14"/>
                <w:szCs w:val="14"/>
                <w:color w:val="auto"/>
              </w:rPr>
            </w:pPr>
          </w:p>
        </w:tc>
        <w:tc>
          <w:tcPr>
            <w:tcW w:w="1360" w:type="dxa"/>
            <w:vAlign w:val="bottom"/>
            <w:gridSpan w:val="4"/>
          </w:tcPr>
          <w:p>
            <w:pPr>
              <w:ind w:left="460"/>
              <w:spacing w:after="0"/>
              <w:rPr>
                <w:sz w:val="20"/>
                <w:szCs w:val="20"/>
                <w:color w:val="auto"/>
              </w:rPr>
            </w:pPr>
            <w:r>
              <w:rPr>
                <w:rFonts w:ascii="Arial" w:cs="Arial" w:eastAsia="Arial" w:hAnsi="Arial"/>
                <w:sz w:val="14"/>
                <w:szCs w:val="14"/>
                <w:b w:val="1"/>
                <w:bCs w:val="1"/>
                <w:color w:val="auto"/>
              </w:rPr>
              <w:t>2019 vs 2018</w:t>
            </w: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1000" w:type="dxa"/>
            <w:vAlign w:val="bottom"/>
            <w:tcBorders>
              <w:bottom w:val="single" w:sz="8" w:color="auto"/>
            </w:tcBorders>
            <w:vMerge w:val="continue"/>
          </w:tcPr>
          <w:p>
            <w:pPr>
              <w:spacing w:after="0"/>
              <w:rPr>
                <w:sz w:val="12"/>
                <w:szCs w:val="12"/>
                <w:color w:val="auto"/>
              </w:rPr>
            </w:pPr>
          </w:p>
        </w:tc>
        <w:tc>
          <w:tcPr>
            <w:tcW w:w="23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Borders>
              <w:top w:val="single" w:sz="8" w:color="auto"/>
            </w:tcBorders>
            <w:gridSpan w:val="2"/>
          </w:tcPr>
          <w:p>
            <w:pPr>
              <w:jc w:val="right"/>
              <w:ind w:right="304"/>
              <w:spacing w:after="0" w:line="142"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jc w:val="right"/>
              <w:ind w:right="296"/>
              <w:spacing w:after="0" w:line="142" w:lineRule="exact"/>
              <w:rPr>
                <w:sz w:val="20"/>
                <w:szCs w:val="20"/>
                <w:color w:val="auto"/>
              </w:rPr>
            </w:pPr>
            <w:r>
              <w:rPr>
                <w:rFonts w:ascii="Arial" w:cs="Arial" w:eastAsia="Arial" w:hAnsi="Arial"/>
                <w:sz w:val="14"/>
                <w:szCs w:val="14"/>
                <w:b w:val="1"/>
                <w:bCs w:val="1"/>
                <w:color w:val="auto"/>
              </w:rPr>
              <w:t>2018</w:t>
            </w:r>
          </w:p>
        </w:tc>
        <w:tc>
          <w:tcPr>
            <w:tcW w:w="38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ind w:right="398"/>
              <w:spacing w:after="0" w:line="142" w:lineRule="exact"/>
              <w:rPr>
                <w:sz w:val="20"/>
                <w:szCs w:val="20"/>
                <w:color w:val="auto"/>
              </w:rPr>
            </w:pPr>
            <w:r>
              <w:rPr>
                <w:rFonts w:ascii="Arial" w:cs="Arial" w:eastAsia="Arial" w:hAnsi="Arial"/>
                <w:sz w:val="14"/>
                <w:szCs w:val="14"/>
                <w:b w:val="1"/>
                <w:bCs w:val="1"/>
                <w:color w:val="auto"/>
              </w:rPr>
              <w:t>$</w:t>
            </w:r>
          </w:p>
        </w:tc>
        <w:tc>
          <w:tcPr>
            <w:tcW w:w="2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396"/>
              <w:spacing w:after="0" w:line="142"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320" w:type="dxa"/>
            <w:vAlign w:val="bottom"/>
            <w:gridSpan w:val="2"/>
            <w:vMerge w:val="restart"/>
            <w:shd w:val="clear" w:color="auto" w:fill="CFF0FC"/>
          </w:tcPr>
          <w:p>
            <w:pPr>
              <w:spacing w:after="0"/>
              <w:rPr>
                <w:sz w:val="20"/>
                <w:szCs w:val="20"/>
                <w:color w:val="auto"/>
              </w:rPr>
            </w:pPr>
            <w:r>
              <w:rPr>
                <w:rFonts w:ascii="Arial" w:cs="Arial" w:eastAsia="Arial" w:hAnsi="Arial"/>
                <w:sz w:val="17"/>
                <w:szCs w:val="17"/>
                <w:color w:val="auto"/>
              </w:rPr>
              <w:t>Service revenue</w:t>
            </w:r>
          </w:p>
        </w:tc>
        <w:tc>
          <w:tcPr>
            <w:tcW w:w="200" w:type="dxa"/>
            <w:vAlign w:val="bottom"/>
            <w:vMerge w:val="restart"/>
            <w:shd w:val="clear" w:color="auto" w:fill="CFF0FC"/>
          </w:tcPr>
          <w:p>
            <w:pPr>
              <w:spacing w:after="0" w:line="20" w:lineRule="exact"/>
              <w:rPr>
                <w:sz w:val="1"/>
                <w:szCs w:val="1"/>
                <w:color w:val="auto"/>
              </w:rPr>
            </w:pPr>
          </w:p>
        </w:tc>
        <w:tc>
          <w:tcPr>
            <w:tcW w:w="260" w:type="dxa"/>
            <w:vAlign w:val="bottom"/>
            <w:tcBorders>
              <w:left w:val="single" w:sz="8" w:color="auto"/>
            </w:tcBorders>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20" w:type="dxa"/>
            <w:vAlign w:val="bottom"/>
            <w:tcBorders>
              <w:right w:val="single" w:sz="8" w:color="auto"/>
            </w:tcBorders>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80" w:type="dxa"/>
            <w:vAlign w:val="bottom"/>
            <w:tcBorders>
              <w:left w:val="single" w:sz="8" w:color="CFF0FC"/>
              <w:right w:val="single" w:sz="8" w:color="auto"/>
            </w:tcBorders>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 w:type="dxa"/>
            <w:vAlign w:val="bottom"/>
            <w:shd w:val="clear" w:color="auto" w:fill="CFF0FC"/>
          </w:tcPr>
          <w:p>
            <w:pPr>
              <w:spacing w:after="0" w:line="20" w:lineRule="exact"/>
              <w:rPr>
                <w:sz w:val="1"/>
                <w:szCs w:val="1"/>
                <w:color w:val="auto"/>
              </w:rPr>
            </w:pPr>
          </w:p>
        </w:tc>
        <w:tc>
          <w:tcPr>
            <w:tcW w:w="260" w:type="dxa"/>
            <w:vAlign w:val="bottom"/>
            <w:tcBorders>
              <w:right w:val="single" w:sz="8" w:color="auto"/>
            </w:tcBorders>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00" w:type="dxa"/>
            <w:vAlign w:val="bottom"/>
            <w:tcBorders>
              <w:right w:val="single" w:sz="8" w:color="CFF0FC"/>
            </w:tcBorders>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320" w:type="dxa"/>
            <w:vAlign w:val="bottom"/>
            <w:gridSpan w:val="2"/>
            <w:vMerge w:val="continue"/>
            <w:shd w:val="clear" w:color="auto" w:fill="CFF0FC"/>
          </w:tcPr>
          <w:p>
            <w:pPr>
              <w:spacing w:after="0"/>
              <w:rPr>
                <w:sz w:val="17"/>
                <w:szCs w:val="17"/>
                <w:color w:val="auto"/>
              </w:rPr>
            </w:pPr>
          </w:p>
        </w:tc>
        <w:tc>
          <w:tcPr>
            <w:tcW w:w="200" w:type="dxa"/>
            <w:vAlign w:val="bottom"/>
            <w:vMerge w:val="continue"/>
            <w:shd w:val="clear" w:color="auto" w:fill="CFF0FC"/>
          </w:tcPr>
          <w:p>
            <w:pPr>
              <w:spacing w:after="0"/>
              <w:rPr>
                <w:sz w:val="17"/>
                <w:szCs w:val="17"/>
                <w:color w:val="auto"/>
              </w:rPr>
            </w:pPr>
          </w:p>
        </w:tc>
        <w:tc>
          <w:tcPr>
            <w:tcW w:w="260" w:type="dxa"/>
            <w:vAlign w:val="bottom"/>
            <w:tcBorders>
              <w:left w:val="single" w:sz="8" w:color="CFF0FC"/>
            </w:tcBorders>
            <w:shd w:val="clear" w:color="auto" w:fill="CFF0FC"/>
          </w:tcPr>
          <w:p>
            <w:pPr>
              <w:jc w:val="right"/>
              <w:ind w:right="100"/>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201,127</w:t>
            </w: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60" w:type="dxa"/>
            <w:vAlign w:val="bottom"/>
            <w:gridSpan w:val="2"/>
            <w:shd w:val="clear" w:color="auto" w:fill="CFF0FC"/>
          </w:tcPr>
          <w:p>
            <w:pPr>
              <w:jc w:val="right"/>
              <w:ind w:right="90"/>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166,050</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60" w:type="dxa"/>
            <w:vAlign w:val="bottom"/>
            <w:tcBorders>
              <w:right w:val="single" w:sz="8" w:color="CFF0FC"/>
            </w:tcBorders>
            <w:gridSpan w:val="4"/>
            <w:shd w:val="clear" w:color="auto" w:fill="CFF0FC"/>
          </w:tcPr>
          <w:p>
            <w:pPr>
              <w:jc w:val="right"/>
              <w:ind w:right="280"/>
              <w:spacing w:after="0"/>
              <w:rPr>
                <w:sz w:val="20"/>
                <w:szCs w:val="20"/>
                <w:color w:val="auto"/>
              </w:rPr>
            </w:pPr>
            <w:r>
              <w:rPr>
                <w:rFonts w:ascii="Arial" w:cs="Arial" w:eastAsia="Arial" w:hAnsi="Arial"/>
                <w:sz w:val="17"/>
                <w:szCs w:val="17"/>
                <w:color w:val="auto"/>
              </w:rPr>
              <w:t>96.7%</w:t>
            </w:r>
          </w:p>
        </w:tc>
        <w:tc>
          <w:tcPr>
            <w:tcW w:w="1360" w:type="dxa"/>
            <w:vAlign w:val="bottom"/>
            <w:tcBorders>
              <w:right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99.2%</w:t>
            </w:r>
          </w:p>
        </w:tc>
        <w:tc>
          <w:tcPr>
            <w:tcW w:w="280" w:type="dxa"/>
            <w:vAlign w:val="bottom"/>
            <w:shd w:val="clear" w:color="auto" w:fill="CFF0FC"/>
          </w:tcPr>
          <w:p>
            <w:pPr>
              <w:jc w:val="right"/>
              <w:ind w:right="158"/>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35,077</w:t>
            </w:r>
          </w:p>
        </w:tc>
        <w:tc>
          <w:tcPr>
            <w:tcW w:w="20" w:type="dxa"/>
            <w:vAlign w:val="bottom"/>
            <w:shd w:val="clear" w:color="auto" w:fill="CFF0FC"/>
          </w:tcPr>
          <w:p>
            <w:pPr>
              <w:spacing w:after="0"/>
              <w:rPr>
                <w:sz w:val="17"/>
                <w:szCs w:val="17"/>
                <w:color w:val="auto"/>
              </w:rPr>
            </w:pPr>
          </w:p>
        </w:tc>
        <w:tc>
          <w:tcPr>
            <w:tcW w:w="260" w:type="dxa"/>
            <w:vAlign w:val="bottom"/>
            <w:tcBorders>
              <w:right w:val="single" w:sz="8" w:color="CFF0FC"/>
            </w:tcBorders>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21.1%</w:t>
            </w:r>
          </w:p>
        </w:tc>
        <w:tc>
          <w:tcPr>
            <w:tcW w:w="0" w:type="dxa"/>
            <w:vAlign w:val="bottom"/>
          </w:tcPr>
          <w:p>
            <w:pPr>
              <w:spacing w:after="0"/>
              <w:rPr>
                <w:sz w:val="1"/>
                <w:szCs w:val="1"/>
                <w:color w:val="auto"/>
              </w:rPr>
            </w:pPr>
          </w:p>
        </w:tc>
      </w:tr>
      <w:tr>
        <w:trPr>
          <w:trHeight w:val="216"/>
        </w:trPr>
        <w:tc>
          <w:tcPr>
            <w:tcW w:w="3320" w:type="dxa"/>
            <w:vAlign w:val="bottom"/>
            <w:gridSpan w:val="2"/>
          </w:tcPr>
          <w:p>
            <w:pPr>
              <w:spacing w:after="0"/>
              <w:rPr>
                <w:sz w:val="20"/>
                <w:szCs w:val="20"/>
                <w:color w:val="auto"/>
              </w:rPr>
            </w:pPr>
            <w:r>
              <w:rPr>
                <w:rFonts w:ascii="Arial" w:cs="Arial" w:eastAsia="Arial" w:hAnsi="Arial"/>
                <w:sz w:val="17"/>
                <w:szCs w:val="17"/>
                <w:color w:val="auto"/>
              </w:rPr>
              <w:t>Product sales</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6,909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1,388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4"/>
          </w:tcPr>
          <w:p>
            <w:pPr>
              <w:jc w:val="right"/>
              <w:ind w:right="280"/>
              <w:spacing w:after="0"/>
              <w:rPr>
                <w:sz w:val="20"/>
                <w:szCs w:val="20"/>
                <w:color w:val="auto"/>
              </w:rPr>
            </w:pPr>
            <w:r>
              <w:rPr>
                <w:rFonts w:ascii="Arial" w:cs="Arial" w:eastAsia="Arial" w:hAnsi="Arial"/>
                <w:sz w:val="17"/>
                <w:szCs w:val="17"/>
                <w:color w:val="auto"/>
              </w:rPr>
              <w:t>3.3%</w:t>
            </w:r>
          </w:p>
        </w:tc>
        <w:tc>
          <w:tcPr>
            <w:tcW w:w="1360" w:type="dxa"/>
            <w:vAlign w:val="bottom"/>
            <w:gridSpan w:val="2"/>
          </w:tcPr>
          <w:p>
            <w:pPr>
              <w:jc w:val="right"/>
              <w:ind w:right="240"/>
              <w:spacing w:after="0"/>
              <w:rPr>
                <w:sz w:val="20"/>
                <w:szCs w:val="20"/>
                <w:color w:val="auto"/>
              </w:rPr>
            </w:pPr>
            <w:r>
              <w:rPr>
                <w:rFonts w:ascii="Arial" w:cs="Arial" w:eastAsia="Arial" w:hAnsi="Arial"/>
                <w:sz w:val="17"/>
                <w:szCs w:val="17"/>
                <w:color w:val="auto"/>
              </w:rPr>
              <w:t>0.8%</w:t>
            </w:r>
          </w:p>
        </w:tc>
        <w:tc>
          <w:tcPr>
            <w:tcW w:w="2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5,521</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7"/>
                <w:szCs w:val="17"/>
                <w:color w:val="auto"/>
              </w:rPr>
              <w:t>397.8%</w:t>
            </w:r>
          </w:p>
        </w:tc>
        <w:tc>
          <w:tcPr>
            <w:tcW w:w="0" w:type="dxa"/>
            <w:vAlign w:val="bottom"/>
          </w:tcPr>
          <w:p>
            <w:pPr>
              <w:spacing w:after="0"/>
              <w:rPr>
                <w:sz w:val="1"/>
                <w:szCs w:val="1"/>
                <w:color w:val="auto"/>
              </w:rPr>
            </w:pPr>
          </w:p>
        </w:tc>
      </w:tr>
      <w:tr>
        <w:trPr>
          <w:trHeight w:val="20"/>
        </w:trPr>
        <w:tc>
          <w:tcPr>
            <w:tcW w:w="3320" w:type="dxa"/>
            <w:vAlign w:val="bottom"/>
            <w:gridSpan w:val="2"/>
            <w:vMerge w:val="restart"/>
            <w:shd w:val="clear" w:color="auto" w:fill="CFF0FC"/>
          </w:tcPr>
          <w:p>
            <w:pPr>
              <w:ind w:left="260"/>
              <w:spacing w:after="0"/>
              <w:rPr>
                <w:sz w:val="20"/>
                <w:szCs w:val="20"/>
                <w:color w:val="auto"/>
              </w:rPr>
            </w:pPr>
            <w:r>
              <w:rPr>
                <w:rFonts w:ascii="Arial" w:cs="Arial" w:eastAsia="Arial" w:hAnsi="Arial"/>
                <w:sz w:val="17"/>
                <w:szCs w:val="17"/>
                <w:color w:val="auto"/>
              </w:rPr>
              <w:t>Total revenue</w:t>
            </w:r>
          </w:p>
        </w:tc>
        <w:tc>
          <w:tcPr>
            <w:tcW w:w="200" w:type="dxa"/>
            <w:vAlign w:val="bottom"/>
            <w:shd w:val="clear" w:color="auto" w:fill="CFF0FC"/>
          </w:tcPr>
          <w:p>
            <w:pPr>
              <w:spacing w:after="0" w:line="20" w:lineRule="exact"/>
              <w:rPr>
                <w:sz w:val="1"/>
                <w:szCs w:val="1"/>
                <w:color w:val="auto"/>
              </w:rPr>
            </w:pPr>
          </w:p>
        </w:tc>
        <w:tc>
          <w:tcPr>
            <w:tcW w:w="260" w:type="dxa"/>
            <w:vAlign w:val="bottom"/>
            <w:tcBorders>
              <w:left w:val="single" w:sz="8" w:color="auto"/>
            </w:tcBorders>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20" w:type="dxa"/>
            <w:vAlign w:val="bottom"/>
            <w:tcBorders>
              <w:right w:val="single" w:sz="8" w:color="auto"/>
            </w:tcBorders>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80" w:type="dxa"/>
            <w:vAlign w:val="bottom"/>
            <w:tcBorders>
              <w:left w:val="single" w:sz="8" w:color="CFF0FC"/>
              <w:right w:val="single" w:sz="8" w:color="auto"/>
            </w:tcBorders>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 w:type="dxa"/>
            <w:vAlign w:val="bottom"/>
            <w:shd w:val="clear" w:color="auto" w:fill="CFF0FC"/>
          </w:tcPr>
          <w:p>
            <w:pPr>
              <w:spacing w:after="0" w:line="20" w:lineRule="exact"/>
              <w:rPr>
                <w:sz w:val="1"/>
                <w:szCs w:val="1"/>
                <w:color w:val="auto"/>
              </w:rPr>
            </w:pPr>
          </w:p>
        </w:tc>
        <w:tc>
          <w:tcPr>
            <w:tcW w:w="260" w:type="dxa"/>
            <w:vAlign w:val="bottom"/>
            <w:tcBorders>
              <w:right w:val="single" w:sz="8" w:color="CFF0FC"/>
            </w:tcBorders>
            <w:shd w:val="clear" w:color="auto" w:fill="CFF0FC"/>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880" w:type="dxa"/>
            <w:vAlign w:val="bottom"/>
            <w:gridSpan w:val="2"/>
            <w:vMerge w:val="restart"/>
            <w:shd w:val="clear" w:color="auto" w:fill="CFF0FC"/>
          </w:tcPr>
          <w:p>
            <w:pPr>
              <w:jc w:val="right"/>
              <w:ind w:right="80"/>
              <w:spacing w:after="0"/>
              <w:rPr>
                <w:sz w:val="20"/>
                <w:szCs w:val="20"/>
                <w:color w:val="auto"/>
              </w:rPr>
            </w:pPr>
            <w:r>
              <w:rPr>
                <w:rFonts w:ascii="Arial" w:cs="Arial" w:eastAsia="Arial" w:hAnsi="Arial"/>
                <w:sz w:val="17"/>
                <w:szCs w:val="17"/>
                <w:color w:val="auto"/>
              </w:rPr>
              <w:t>24.2%</w:t>
            </w:r>
          </w:p>
        </w:tc>
        <w:tc>
          <w:tcPr>
            <w:tcW w:w="0" w:type="dxa"/>
            <w:vAlign w:val="bottom"/>
          </w:tcPr>
          <w:p>
            <w:pPr>
              <w:spacing w:after="0" w:line="20" w:lineRule="exact"/>
              <w:rPr>
                <w:sz w:val="1"/>
                <w:szCs w:val="1"/>
                <w:color w:val="auto"/>
              </w:rPr>
            </w:pPr>
          </w:p>
        </w:tc>
      </w:tr>
      <w:tr>
        <w:trPr>
          <w:trHeight w:val="210"/>
        </w:trPr>
        <w:tc>
          <w:tcPr>
            <w:tcW w:w="3320" w:type="dxa"/>
            <w:vAlign w:val="bottom"/>
            <w:gridSpan w:val="2"/>
            <w:vMerge w:val="continue"/>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60" w:type="dxa"/>
            <w:vAlign w:val="bottom"/>
            <w:tcBorders>
              <w:left w:val="single" w:sz="8" w:color="CFF0FC"/>
            </w:tcBorders>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208,036</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167,438</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60" w:type="dxa"/>
            <w:vAlign w:val="bottom"/>
            <w:tcBorders>
              <w:right w:val="single" w:sz="8" w:color="CFF0FC"/>
            </w:tcBorders>
            <w:gridSpan w:val="4"/>
            <w:shd w:val="clear" w:color="auto" w:fill="CFF0FC"/>
          </w:tcPr>
          <w:p>
            <w:pPr>
              <w:jc w:val="right"/>
              <w:ind w:right="280"/>
              <w:spacing w:after="0"/>
              <w:rPr>
                <w:sz w:val="20"/>
                <w:szCs w:val="20"/>
                <w:color w:val="auto"/>
              </w:rPr>
            </w:pPr>
            <w:r>
              <w:rPr>
                <w:rFonts w:ascii="Arial" w:cs="Arial" w:eastAsia="Arial" w:hAnsi="Arial"/>
                <w:sz w:val="17"/>
                <w:szCs w:val="17"/>
                <w:color w:val="auto"/>
              </w:rPr>
              <w:t>100.0%</w:t>
            </w:r>
          </w:p>
        </w:tc>
        <w:tc>
          <w:tcPr>
            <w:tcW w:w="1360" w:type="dxa"/>
            <w:vAlign w:val="bottom"/>
            <w:tcBorders>
              <w:right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100.0%</w:t>
            </w:r>
          </w:p>
        </w:tc>
        <w:tc>
          <w:tcPr>
            <w:tcW w:w="28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40,598</w:t>
            </w:r>
          </w:p>
        </w:tc>
        <w:tc>
          <w:tcPr>
            <w:tcW w:w="20" w:type="dxa"/>
            <w:vAlign w:val="bottom"/>
            <w:shd w:val="clear" w:color="auto" w:fill="CFF0FC"/>
          </w:tcPr>
          <w:p>
            <w:pPr>
              <w:spacing w:after="0"/>
              <w:rPr>
                <w:sz w:val="18"/>
                <w:szCs w:val="18"/>
                <w:color w:val="auto"/>
              </w:rPr>
            </w:pPr>
          </w:p>
        </w:tc>
        <w:tc>
          <w:tcPr>
            <w:tcW w:w="260" w:type="dxa"/>
            <w:vAlign w:val="bottom"/>
            <w:tcBorders>
              <w:right w:val="single" w:sz="8" w:color="CFF0FC"/>
            </w:tcBorders>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80" w:type="dxa"/>
            <w:vAlign w:val="bottom"/>
            <w:gridSpan w:val="2"/>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20" w:type="dxa"/>
            <w:vAlign w:val="bottom"/>
            <w:gridSpan w:val="2"/>
          </w:tcPr>
          <w:p>
            <w:pPr>
              <w:spacing w:after="0"/>
              <w:rPr>
                <w:sz w:val="20"/>
                <w:szCs w:val="20"/>
                <w:color w:val="auto"/>
              </w:rPr>
            </w:pPr>
            <w:r>
              <w:rPr>
                <w:rFonts w:ascii="Arial" w:cs="Arial" w:eastAsia="Arial" w:hAnsi="Arial"/>
                <w:sz w:val="17"/>
                <w:szCs w:val="17"/>
                <w:color w:val="auto"/>
              </w:rPr>
              <w:t>Cost of service revenue</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3,002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2,482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4"/>
          </w:tcPr>
          <w:p>
            <w:pPr>
              <w:jc w:val="right"/>
              <w:ind w:right="280"/>
              <w:spacing w:after="0"/>
              <w:rPr>
                <w:sz w:val="20"/>
                <w:szCs w:val="20"/>
                <w:color w:val="auto"/>
              </w:rPr>
            </w:pPr>
            <w:r>
              <w:rPr>
                <w:rFonts w:ascii="Arial" w:cs="Arial" w:eastAsia="Arial" w:hAnsi="Arial"/>
                <w:sz w:val="17"/>
                <w:szCs w:val="17"/>
                <w:color w:val="auto"/>
              </w:rPr>
              <w:t>1.4%</w:t>
            </w:r>
          </w:p>
        </w:tc>
        <w:tc>
          <w:tcPr>
            <w:tcW w:w="1360" w:type="dxa"/>
            <w:vAlign w:val="bottom"/>
            <w:gridSpan w:val="2"/>
          </w:tcPr>
          <w:p>
            <w:pPr>
              <w:jc w:val="right"/>
              <w:ind w:right="240"/>
              <w:spacing w:after="0"/>
              <w:rPr>
                <w:sz w:val="20"/>
                <w:szCs w:val="20"/>
                <w:color w:val="auto"/>
              </w:rPr>
            </w:pPr>
            <w:r>
              <w:rPr>
                <w:rFonts w:ascii="Arial" w:cs="Arial" w:eastAsia="Arial" w:hAnsi="Arial"/>
                <w:sz w:val="17"/>
                <w:szCs w:val="17"/>
                <w:color w:val="auto"/>
              </w:rPr>
              <w:t>1.5%</w:t>
            </w:r>
          </w:p>
        </w:tc>
        <w:tc>
          <w:tcPr>
            <w:tcW w:w="2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520</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7"/>
                <w:szCs w:val="17"/>
                <w:color w:val="auto"/>
              </w:rPr>
              <w:t>21.0%</w:t>
            </w:r>
          </w:p>
        </w:tc>
        <w:tc>
          <w:tcPr>
            <w:tcW w:w="0" w:type="dxa"/>
            <w:vAlign w:val="bottom"/>
          </w:tcPr>
          <w:p>
            <w:pPr>
              <w:spacing w:after="0"/>
              <w:rPr>
                <w:sz w:val="1"/>
                <w:szCs w:val="1"/>
                <w:color w:val="auto"/>
              </w:rPr>
            </w:pPr>
          </w:p>
        </w:tc>
      </w:tr>
      <w:tr>
        <w:trPr>
          <w:trHeight w:val="216"/>
        </w:trPr>
        <w:tc>
          <w:tcPr>
            <w:tcW w:w="332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Cost of product sales</w:t>
            </w:r>
          </w:p>
        </w:tc>
        <w:tc>
          <w:tcPr>
            <w:tcW w:w="200" w:type="dxa"/>
            <w:vAlign w:val="bottom"/>
            <w:shd w:val="clear" w:color="auto" w:fill="CFF0FC"/>
          </w:tcPr>
          <w:p>
            <w:pPr>
              <w:spacing w:after="0"/>
              <w:rPr>
                <w:sz w:val="18"/>
                <w:szCs w:val="18"/>
                <w:color w:val="auto"/>
              </w:rPr>
            </w:pPr>
          </w:p>
        </w:tc>
        <w:tc>
          <w:tcPr>
            <w:tcW w:w="260" w:type="dxa"/>
            <w:vAlign w:val="bottom"/>
            <w:tcBorders>
              <w:left w:val="single" w:sz="8" w:color="CFF0FC"/>
            </w:tcBorders>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3,194</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1,050</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60" w:type="dxa"/>
            <w:vAlign w:val="bottom"/>
            <w:tcBorders>
              <w:right w:val="single" w:sz="8" w:color="CFF0FC"/>
            </w:tcBorders>
            <w:gridSpan w:val="4"/>
            <w:shd w:val="clear" w:color="auto" w:fill="CFF0FC"/>
          </w:tcPr>
          <w:p>
            <w:pPr>
              <w:jc w:val="right"/>
              <w:ind w:right="280"/>
              <w:spacing w:after="0"/>
              <w:rPr>
                <w:sz w:val="20"/>
                <w:szCs w:val="20"/>
                <w:color w:val="auto"/>
              </w:rPr>
            </w:pPr>
            <w:r>
              <w:rPr>
                <w:rFonts w:ascii="Arial" w:cs="Arial" w:eastAsia="Arial" w:hAnsi="Arial"/>
                <w:sz w:val="17"/>
                <w:szCs w:val="17"/>
                <w:color w:val="auto"/>
              </w:rPr>
              <w:t>1.6%</w:t>
            </w:r>
          </w:p>
        </w:tc>
        <w:tc>
          <w:tcPr>
            <w:tcW w:w="1360" w:type="dxa"/>
            <w:vAlign w:val="bottom"/>
            <w:tcBorders>
              <w:right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0.6%</w:t>
            </w:r>
          </w:p>
        </w:tc>
        <w:tc>
          <w:tcPr>
            <w:tcW w:w="28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2,144</w:t>
            </w:r>
          </w:p>
        </w:tc>
        <w:tc>
          <w:tcPr>
            <w:tcW w:w="20" w:type="dxa"/>
            <w:vAlign w:val="bottom"/>
            <w:shd w:val="clear" w:color="auto" w:fill="CFF0FC"/>
          </w:tcPr>
          <w:p>
            <w:pPr>
              <w:spacing w:after="0"/>
              <w:rPr>
                <w:sz w:val="18"/>
                <w:szCs w:val="18"/>
                <w:color w:val="auto"/>
              </w:rPr>
            </w:pPr>
          </w:p>
        </w:tc>
        <w:tc>
          <w:tcPr>
            <w:tcW w:w="260" w:type="dxa"/>
            <w:vAlign w:val="bottom"/>
            <w:tcBorders>
              <w:right w:val="single" w:sz="8" w:color="CFF0FC"/>
            </w:tcBorders>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204.2%</w:t>
            </w:r>
          </w:p>
        </w:tc>
        <w:tc>
          <w:tcPr>
            <w:tcW w:w="0" w:type="dxa"/>
            <w:vAlign w:val="bottom"/>
          </w:tcPr>
          <w:p>
            <w:pPr>
              <w:spacing w:after="0"/>
              <w:rPr>
                <w:sz w:val="1"/>
                <w:szCs w:val="1"/>
                <w:color w:val="auto"/>
              </w:rPr>
            </w:pPr>
          </w:p>
        </w:tc>
      </w:tr>
      <w:tr>
        <w:trPr>
          <w:trHeight w:val="216"/>
        </w:trPr>
        <w:tc>
          <w:tcPr>
            <w:tcW w:w="3320" w:type="dxa"/>
            <w:vAlign w:val="bottom"/>
            <w:gridSpan w:val="2"/>
          </w:tcPr>
          <w:p>
            <w:pPr>
              <w:spacing w:after="0"/>
              <w:rPr>
                <w:sz w:val="20"/>
                <w:szCs w:val="20"/>
                <w:color w:val="auto"/>
              </w:rPr>
            </w:pPr>
            <w:r>
              <w:rPr>
                <w:rFonts w:ascii="Arial" w:cs="Arial" w:eastAsia="Arial" w:hAnsi="Arial"/>
                <w:sz w:val="17"/>
                <w:szCs w:val="17"/>
                <w:color w:val="auto"/>
              </w:rPr>
              <w:t>Operating expenses</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61,133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52,481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4"/>
          </w:tcPr>
          <w:p>
            <w:pPr>
              <w:jc w:val="right"/>
              <w:ind w:right="280"/>
              <w:spacing w:after="0"/>
              <w:rPr>
                <w:sz w:val="20"/>
                <w:szCs w:val="20"/>
                <w:color w:val="auto"/>
              </w:rPr>
            </w:pPr>
            <w:r>
              <w:rPr>
                <w:rFonts w:ascii="Arial" w:cs="Arial" w:eastAsia="Arial" w:hAnsi="Arial"/>
                <w:sz w:val="17"/>
                <w:szCs w:val="17"/>
                <w:color w:val="auto"/>
              </w:rPr>
              <w:t>29.4%</w:t>
            </w:r>
          </w:p>
        </w:tc>
        <w:tc>
          <w:tcPr>
            <w:tcW w:w="1360" w:type="dxa"/>
            <w:vAlign w:val="bottom"/>
            <w:gridSpan w:val="2"/>
          </w:tcPr>
          <w:p>
            <w:pPr>
              <w:jc w:val="right"/>
              <w:ind w:right="240"/>
              <w:spacing w:after="0"/>
              <w:rPr>
                <w:sz w:val="20"/>
                <w:szCs w:val="20"/>
                <w:color w:val="auto"/>
              </w:rPr>
            </w:pPr>
            <w:r>
              <w:rPr>
                <w:rFonts w:ascii="Arial" w:cs="Arial" w:eastAsia="Arial" w:hAnsi="Arial"/>
                <w:sz w:val="17"/>
                <w:szCs w:val="17"/>
                <w:color w:val="auto"/>
              </w:rPr>
              <w:t>31.3%</w:t>
            </w:r>
          </w:p>
        </w:tc>
        <w:tc>
          <w:tcPr>
            <w:tcW w:w="2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8,652</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7"/>
                <w:szCs w:val="17"/>
                <w:color w:val="auto"/>
              </w:rPr>
              <w:t>16.5%</w:t>
            </w:r>
          </w:p>
        </w:tc>
        <w:tc>
          <w:tcPr>
            <w:tcW w:w="0" w:type="dxa"/>
            <w:vAlign w:val="bottom"/>
          </w:tcPr>
          <w:p>
            <w:pPr>
              <w:spacing w:after="0"/>
              <w:rPr>
                <w:sz w:val="1"/>
                <w:szCs w:val="1"/>
                <w:color w:val="auto"/>
              </w:rPr>
            </w:pPr>
          </w:p>
        </w:tc>
      </w:tr>
      <w:tr>
        <w:trPr>
          <w:trHeight w:val="216"/>
        </w:trPr>
        <w:tc>
          <w:tcPr>
            <w:tcW w:w="3320" w:type="dxa"/>
            <w:vAlign w:val="bottom"/>
            <w:gridSpan w:val="2"/>
            <w:shd w:val="clear" w:color="auto" w:fill="CFF0FC"/>
          </w:tcPr>
          <w:p>
            <w:pPr>
              <w:spacing w:after="0"/>
              <w:rPr>
                <w:sz w:val="20"/>
                <w:szCs w:val="20"/>
                <w:color w:val="auto"/>
              </w:rPr>
            </w:pPr>
            <w:r>
              <w:rPr>
                <w:rFonts w:ascii="Arial" w:cs="Arial" w:eastAsia="Arial" w:hAnsi="Arial"/>
                <w:sz w:val="17"/>
                <w:szCs w:val="17"/>
                <w:color w:val="auto"/>
                <w:w w:val="97"/>
              </w:rPr>
              <w:t>Selling, general and administrative expenses</w:t>
            </w:r>
          </w:p>
        </w:tc>
        <w:tc>
          <w:tcPr>
            <w:tcW w:w="200" w:type="dxa"/>
            <w:vAlign w:val="bottom"/>
            <w:shd w:val="clear" w:color="auto" w:fill="CFF0FC"/>
          </w:tcPr>
          <w:p>
            <w:pPr>
              <w:spacing w:after="0"/>
              <w:rPr>
                <w:sz w:val="18"/>
                <w:szCs w:val="18"/>
                <w:color w:val="auto"/>
              </w:rPr>
            </w:pPr>
          </w:p>
        </w:tc>
        <w:tc>
          <w:tcPr>
            <w:tcW w:w="260" w:type="dxa"/>
            <w:vAlign w:val="bottom"/>
            <w:tcBorders>
              <w:left w:val="single" w:sz="8" w:color="CFF0FC"/>
            </w:tcBorders>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41,416</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60,864</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60" w:type="dxa"/>
            <w:vAlign w:val="bottom"/>
            <w:tcBorders>
              <w:right w:val="single" w:sz="8" w:color="CFF0FC"/>
            </w:tcBorders>
            <w:gridSpan w:val="4"/>
            <w:shd w:val="clear" w:color="auto" w:fill="CFF0FC"/>
          </w:tcPr>
          <w:p>
            <w:pPr>
              <w:jc w:val="right"/>
              <w:ind w:right="280"/>
              <w:spacing w:after="0"/>
              <w:rPr>
                <w:sz w:val="20"/>
                <w:szCs w:val="20"/>
                <w:color w:val="auto"/>
              </w:rPr>
            </w:pPr>
            <w:r>
              <w:rPr>
                <w:rFonts w:ascii="Arial" w:cs="Arial" w:eastAsia="Arial" w:hAnsi="Arial"/>
                <w:sz w:val="17"/>
                <w:szCs w:val="17"/>
                <w:color w:val="auto"/>
              </w:rPr>
              <w:t>19.9%</w:t>
            </w:r>
          </w:p>
        </w:tc>
        <w:tc>
          <w:tcPr>
            <w:tcW w:w="1360" w:type="dxa"/>
            <w:vAlign w:val="bottom"/>
            <w:tcBorders>
              <w:right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36.4%</w:t>
            </w:r>
          </w:p>
        </w:tc>
        <w:tc>
          <w:tcPr>
            <w:tcW w:w="280" w:type="dxa"/>
            <w:vAlign w:val="bottom"/>
            <w:shd w:val="clear" w:color="auto" w:fill="CFF0FC"/>
          </w:tcPr>
          <w:p>
            <w:pPr>
              <w:spacing w:after="0"/>
              <w:rPr>
                <w:sz w:val="18"/>
                <w:szCs w:val="18"/>
                <w:color w:val="auto"/>
              </w:rPr>
            </w:pPr>
          </w:p>
        </w:tc>
        <w:tc>
          <w:tcPr>
            <w:tcW w:w="1020" w:type="dxa"/>
            <w:vAlign w:val="bottom"/>
            <w:tcBorders>
              <w:right w:val="single" w:sz="8" w:color="CFF0FC"/>
            </w:tcBorders>
            <w:gridSpan w:val="3"/>
            <w:shd w:val="clear" w:color="auto" w:fill="CFF0FC"/>
          </w:tcPr>
          <w:p>
            <w:pPr>
              <w:jc w:val="right"/>
              <w:ind w:right="220"/>
              <w:spacing w:after="0"/>
              <w:rPr>
                <w:sz w:val="20"/>
                <w:szCs w:val="20"/>
                <w:color w:val="auto"/>
              </w:rPr>
            </w:pPr>
            <w:r>
              <w:rPr>
                <w:rFonts w:ascii="Arial" w:cs="Arial" w:eastAsia="Arial" w:hAnsi="Arial"/>
                <w:sz w:val="17"/>
                <w:szCs w:val="17"/>
                <w:color w:val="auto"/>
              </w:rPr>
              <w:t>(19,448)</w:t>
            </w:r>
          </w:p>
        </w:tc>
        <w:tc>
          <w:tcPr>
            <w:tcW w:w="34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(32.0)%</w:t>
            </w:r>
          </w:p>
        </w:tc>
        <w:tc>
          <w:tcPr>
            <w:tcW w:w="0" w:type="dxa"/>
            <w:vAlign w:val="bottom"/>
          </w:tcPr>
          <w:p>
            <w:pPr>
              <w:spacing w:after="0"/>
              <w:rPr>
                <w:sz w:val="1"/>
                <w:szCs w:val="1"/>
                <w:color w:val="auto"/>
              </w:rPr>
            </w:pPr>
          </w:p>
        </w:tc>
      </w:tr>
      <w:tr>
        <w:trPr>
          <w:trHeight w:val="198"/>
        </w:trPr>
        <w:tc>
          <w:tcPr>
            <w:tcW w:w="3320" w:type="dxa"/>
            <w:vAlign w:val="bottom"/>
            <w:gridSpan w:val="2"/>
          </w:tcPr>
          <w:p>
            <w:pPr>
              <w:spacing w:after="0"/>
              <w:rPr>
                <w:sz w:val="20"/>
                <w:szCs w:val="20"/>
                <w:color w:val="auto"/>
              </w:rPr>
            </w:pPr>
            <w:r>
              <w:rPr>
                <w:rFonts w:ascii="Arial" w:cs="Arial" w:eastAsia="Arial" w:hAnsi="Arial"/>
                <w:sz w:val="17"/>
                <w:szCs w:val="17"/>
                <w:color w:val="auto"/>
                <w:w w:val="97"/>
              </w:rPr>
              <w:t>Depreciation, amortization and (gain) loss on</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320" w:type="dxa"/>
            <w:vAlign w:val="bottom"/>
            <w:gridSpan w:val="2"/>
          </w:tcPr>
          <w:p>
            <w:pPr>
              <w:spacing w:after="0"/>
              <w:rPr>
                <w:sz w:val="20"/>
                <w:szCs w:val="20"/>
                <w:color w:val="auto"/>
              </w:rPr>
            </w:pPr>
            <w:r>
              <w:rPr>
                <w:rFonts w:ascii="Arial" w:cs="Arial" w:eastAsia="Arial" w:hAnsi="Arial"/>
                <w:sz w:val="17"/>
                <w:szCs w:val="17"/>
                <w:color w:val="auto"/>
              </w:rPr>
              <w:t>disposal of assets, net</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57,791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46,040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4"/>
          </w:tcPr>
          <w:p>
            <w:pPr>
              <w:jc w:val="right"/>
              <w:ind w:right="280"/>
              <w:spacing w:after="0"/>
              <w:rPr>
                <w:sz w:val="20"/>
                <w:szCs w:val="20"/>
                <w:color w:val="auto"/>
              </w:rPr>
            </w:pPr>
            <w:r>
              <w:rPr>
                <w:rFonts w:ascii="Arial" w:cs="Arial" w:eastAsia="Arial" w:hAnsi="Arial"/>
                <w:sz w:val="17"/>
                <w:szCs w:val="17"/>
                <w:color w:val="auto"/>
              </w:rPr>
              <w:t>27.8%</w:t>
            </w:r>
          </w:p>
        </w:tc>
        <w:tc>
          <w:tcPr>
            <w:tcW w:w="1360" w:type="dxa"/>
            <w:vAlign w:val="bottom"/>
            <w:gridSpan w:val="2"/>
          </w:tcPr>
          <w:p>
            <w:pPr>
              <w:jc w:val="right"/>
              <w:ind w:right="240"/>
              <w:spacing w:after="0"/>
              <w:rPr>
                <w:sz w:val="20"/>
                <w:szCs w:val="20"/>
                <w:color w:val="auto"/>
              </w:rPr>
            </w:pPr>
            <w:r>
              <w:rPr>
                <w:rFonts w:ascii="Arial" w:cs="Arial" w:eastAsia="Arial" w:hAnsi="Arial"/>
                <w:sz w:val="17"/>
                <w:szCs w:val="17"/>
                <w:color w:val="auto"/>
              </w:rPr>
              <w:t>27.5%</w:t>
            </w:r>
          </w:p>
        </w:tc>
        <w:tc>
          <w:tcPr>
            <w:tcW w:w="2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11,751</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7"/>
                <w:szCs w:val="17"/>
                <w:color w:val="auto"/>
              </w:rPr>
              <w:t>25.5%</w:t>
            </w:r>
          </w:p>
        </w:tc>
        <w:tc>
          <w:tcPr>
            <w:tcW w:w="0" w:type="dxa"/>
            <w:vAlign w:val="bottom"/>
          </w:tcPr>
          <w:p>
            <w:pPr>
              <w:spacing w:after="0"/>
              <w:rPr>
                <w:sz w:val="1"/>
                <w:szCs w:val="1"/>
                <w:color w:val="auto"/>
              </w:rPr>
            </w:pPr>
          </w:p>
        </w:tc>
      </w:tr>
      <w:tr>
        <w:trPr>
          <w:trHeight w:val="220"/>
        </w:trPr>
        <w:tc>
          <w:tcPr>
            <w:tcW w:w="332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Impairment of property and equipment</w:t>
            </w:r>
          </w:p>
        </w:tc>
        <w:tc>
          <w:tcPr>
            <w:tcW w:w="200" w:type="dxa"/>
            <w:vAlign w:val="bottom"/>
            <w:shd w:val="clear" w:color="auto" w:fill="CFF0FC"/>
          </w:tcPr>
          <w:p>
            <w:pPr>
              <w:spacing w:after="0"/>
              <w:rPr>
                <w:sz w:val="19"/>
                <w:szCs w:val="19"/>
                <w:color w:val="auto"/>
              </w:rPr>
            </w:pPr>
          </w:p>
        </w:tc>
        <w:tc>
          <w:tcPr>
            <w:tcW w:w="260" w:type="dxa"/>
            <w:vAlign w:val="bottom"/>
            <w:tcBorders>
              <w:left w:val="single" w:sz="8" w:color="CFF0FC"/>
            </w:tcBorders>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5,898</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60" w:type="dxa"/>
            <w:vAlign w:val="bottom"/>
            <w:gridSpan w:val="2"/>
            <w:shd w:val="clear" w:color="auto" w:fill="CFF0FC"/>
          </w:tcPr>
          <w:p>
            <w:pPr>
              <w:spacing w:after="0"/>
              <w:rPr>
                <w:sz w:val="19"/>
                <w:szCs w:val="19"/>
                <w:color w:val="auto"/>
              </w:rPr>
            </w:pPr>
          </w:p>
        </w:tc>
        <w:tc>
          <w:tcPr>
            <w:tcW w:w="1460" w:type="dxa"/>
            <w:vAlign w:val="bottom"/>
            <w:tcBorders>
              <w:right w:val="single" w:sz="8" w:color="CFF0FC"/>
            </w:tcBorders>
            <w:gridSpan w:val="4"/>
            <w:shd w:val="clear" w:color="auto" w:fill="CFF0FC"/>
          </w:tcPr>
          <w:p>
            <w:pPr>
              <w:jc w:val="right"/>
              <w:ind w:right="280"/>
              <w:spacing w:after="0"/>
              <w:rPr>
                <w:sz w:val="20"/>
                <w:szCs w:val="20"/>
                <w:color w:val="auto"/>
              </w:rPr>
            </w:pPr>
            <w:r>
              <w:rPr>
                <w:rFonts w:ascii="Arial" w:cs="Arial" w:eastAsia="Arial" w:hAnsi="Arial"/>
                <w:sz w:val="17"/>
                <w:szCs w:val="17"/>
                <w:color w:val="auto"/>
              </w:rPr>
              <w:t>2.8%</w:t>
            </w:r>
          </w:p>
        </w:tc>
        <w:tc>
          <w:tcPr>
            <w:tcW w:w="1360" w:type="dxa"/>
            <w:vAlign w:val="bottom"/>
            <w:tcBorders>
              <w:right w:val="single" w:sz="8" w:color="CFF0FC"/>
            </w:tcBorders>
            <w:gridSpan w:val="2"/>
            <w:shd w:val="clear" w:color="auto" w:fill="CFF0FC"/>
          </w:tcPr>
          <w:p>
            <w:pPr>
              <w:jc w:val="right"/>
              <w:ind w:right="400"/>
              <w:spacing w:after="0"/>
              <w:rPr>
                <w:sz w:val="20"/>
                <w:szCs w:val="20"/>
                <w:color w:val="auto"/>
              </w:rPr>
            </w:pPr>
            <w:r>
              <w:rPr>
                <w:rFonts w:ascii="Arial" w:cs="Arial" w:eastAsia="Arial" w:hAnsi="Arial"/>
                <w:sz w:val="17"/>
                <w:szCs w:val="17"/>
                <w:color w:val="auto"/>
              </w:rPr>
              <w:t>—</w:t>
            </w:r>
          </w:p>
        </w:tc>
        <w:tc>
          <w:tcPr>
            <w:tcW w:w="2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5,898</w:t>
            </w:r>
          </w:p>
        </w:tc>
        <w:tc>
          <w:tcPr>
            <w:tcW w:w="20" w:type="dxa"/>
            <w:vAlign w:val="bottom"/>
            <w:shd w:val="clear" w:color="auto" w:fill="CFF0FC"/>
          </w:tcPr>
          <w:p>
            <w:pPr>
              <w:spacing w:after="0"/>
              <w:rPr>
                <w:sz w:val="19"/>
                <w:szCs w:val="19"/>
                <w:color w:val="auto"/>
              </w:rPr>
            </w:pPr>
          </w:p>
        </w:tc>
        <w:tc>
          <w:tcPr>
            <w:tcW w:w="260" w:type="dxa"/>
            <w:vAlign w:val="bottom"/>
            <w:tcBorders>
              <w:right w:val="single" w:sz="8" w:color="CFF0FC"/>
            </w:tcBorders>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n/a</w:t>
            </w:r>
          </w:p>
        </w:tc>
        <w:tc>
          <w:tcPr>
            <w:tcW w:w="0" w:type="dxa"/>
            <w:vAlign w:val="bottom"/>
          </w:tcPr>
          <w:p>
            <w:pPr>
              <w:spacing w:after="0"/>
              <w:rPr>
                <w:sz w:val="1"/>
                <w:szCs w:val="1"/>
                <w:color w:val="auto"/>
              </w:rPr>
            </w:pPr>
          </w:p>
        </w:tc>
      </w:tr>
      <w:tr>
        <w:trPr>
          <w:trHeight w:val="20"/>
        </w:trPr>
        <w:tc>
          <w:tcPr>
            <w:tcW w:w="3320" w:type="dxa"/>
            <w:vAlign w:val="bottom"/>
            <w:gridSpan w:val="2"/>
            <w:vMerge w:val="restart"/>
          </w:tcPr>
          <w:p>
            <w:pPr>
              <w:ind w:left="260"/>
              <w:spacing w:after="0"/>
              <w:rPr>
                <w:sz w:val="20"/>
                <w:szCs w:val="20"/>
                <w:color w:val="auto"/>
              </w:rPr>
            </w:pPr>
            <w:r>
              <w:rPr>
                <w:rFonts w:ascii="Arial" w:cs="Arial" w:eastAsia="Arial" w:hAnsi="Arial"/>
                <w:sz w:val="17"/>
                <w:szCs w:val="17"/>
                <w:color w:val="auto"/>
              </w:rPr>
              <w:t>Total costs and expenses</w:t>
            </w:r>
          </w:p>
        </w:tc>
        <w:tc>
          <w:tcPr>
            <w:tcW w:w="200" w:type="dxa"/>
            <w:vAlign w:val="bottom"/>
          </w:tcPr>
          <w:p>
            <w:pPr>
              <w:spacing w:after="0" w:line="20" w:lineRule="exact"/>
              <w:rPr>
                <w:sz w:val="1"/>
                <w:szCs w:val="1"/>
                <w:color w:val="auto"/>
              </w:rPr>
            </w:pPr>
          </w:p>
        </w:tc>
        <w:tc>
          <w:tcPr>
            <w:tcW w:w="260" w:type="dxa"/>
            <w:vAlign w:val="bottom"/>
            <w:tcBorders>
              <w:left w:val="single" w:sz="8" w:color="auto"/>
            </w:tcBorders>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right w:val="single" w:sz="8" w:color="auto"/>
            </w:tcBorders>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80" w:type="dxa"/>
            <w:vAlign w:val="bottom"/>
            <w:tcBorders>
              <w:right w:val="single" w:sz="8" w:color="auto"/>
            </w:tcBorders>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80" w:type="dxa"/>
            <w:vAlign w:val="bottom"/>
            <w:gridSpan w:val="2"/>
            <w:vMerge w:val="restart"/>
          </w:tcPr>
          <w:p>
            <w:pPr>
              <w:jc w:val="right"/>
              <w:ind w:right="80"/>
              <w:spacing w:after="0"/>
              <w:rPr>
                <w:sz w:val="20"/>
                <w:szCs w:val="20"/>
                <w:color w:val="auto"/>
              </w:rPr>
            </w:pPr>
            <w:r>
              <w:rPr>
                <w:rFonts w:ascii="Arial" w:cs="Arial" w:eastAsia="Arial" w:hAnsi="Arial"/>
                <w:sz w:val="17"/>
                <w:szCs w:val="17"/>
                <w:color w:val="auto"/>
              </w:rPr>
              <w:t>5.8%</w:t>
            </w:r>
          </w:p>
        </w:tc>
        <w:tc>
          <w:tcPr>
            <w:tcW w:w="0" w:type="dxa"/>
            <w:vAlign w:val="bottom"/>
          </w:tcPr>
          <w:p>
            <w:pPr>
              <w:spacing w:after="0" w:line="20" w:lineRule="exact"/>
              <w:rPr>
                <w:sz w:val="1"/>
                <w:szCs w:val="1"/>
                <w:color w:val="auto"/>
              </w:rPr>
            </w:pPr>
          </w:p>
        </w:tc>
      </w:tr>
      <w:tr>
        <w:trPr>
          <w:trHeight w:val="210"/>
        </w:trPr>
        <w:tc>
          <w:tcPr>
            <w:tcW w:w="332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172,434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162,917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4"/>
          </w:tcPr>
          <w:p>
            <w:pPr>
              <w:jc w:val="right"/>
              <w:ind w:right="280"/>
              <w:spacing w:after="0"/>
              <w:rPr>
                <w:sz w:val="20"/>
                <w:szCs w:val="20"/>
                <w:color w:val="auto"/>
              </w:rPr>
            </w:pPr>
            <w:r>
              <w:rPr>
                <w:rFonts w:ascii="Arial" w:cs="Arial" w:eastAsia="Arial" w:hAnsi="Arial"/>
                <w:sz w:val="17"/>
                <w:szCs w:val="17"/>
                <w:color w:val="auto"/>
              </w:rPr>
              <w:t>82.9%</w:t>
            </w:r>
          </w:p>
        </w:tc>
        <w:tc>
          <w:tcPr>
            <w:tcW w:w="1360" w:type="dxa"/>
            <w:vAlign w:val="bottom"/>
            <w:gridSpan w:val="2"/>
          </w:tcPr>
          <w:p>
            <w:pPr>
              <w:jc w:val="right"/>
              <w:ind w:right="240"/>
              <w:spacing w:after="0"/>
              <w:rPr>
                <w:sz w:val="20"/>
                <w:szCs w:val="20"/>
                <w:color w:val="auto"/>
              </w:rPr>
            </w:pPr>
            <w:r>
              <w:rPr>
                <w:rFonts w:ascii="Arial" w:cs="Arial" w:eastAsia="Arial" w:hAnsi="Arial"/>
                <w:sz w:val="17"/>
                <w:szCs w:val="17"/>
                <w:color w:val="auto"/>
              </w:rPr>
              <w:t>97.3%</w:t>
            </w:r>
          </w:p>
        </w:tc>
        <w:tc>
          <w:tcPr>
            <w:tcW w:w="2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9,517</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20" w:type="dxa"/>
            <w:vAlign w:val="bottom"/>
            <w:gridSpan w:val="2"/>
            <w:vMerge w:val="restart"/>
            <w:shd w:val="clear" w:color="auto" w:fill="CFF0FC"/>
          </w:tcPr>
          <w:p>
            <w:pPr>
              <w:spacing w:after="0"/>
              <w:rPr>
                <w:sz w:val="20"/>
                <w:szCs w:val="20"/>
                <w:color w:val="auto"/>
              </w:rPr>
            </w:pPr>
            <w:r>
              <w:rPr>
                <w:rFonts w:ascii="Arial" w:cs="Arial" w:eastAsia="Arial" w:hAnsi="Arial"/>
                <w:sz w:val="17"/>
                <w:szCs w:val="17"/>
                <w:color w:val="auto"/>
              </w:rPr>
              <w:t>Income from operations</w:t>
            </w:r>
          </w:p>
        </w:tc>
        <w:tc>
          <w:tcPr>
            <w:tcW w:w="200" w:type="dxa"/>
            <w:vAlign w:val="bottom"/>
            <w:shd w:val="clear" w:color="auto" w:fill="CFF0FC"/>
          </w:tcPr>
          <w:p>
            <w:pPr>
              <w:spacing w:after="0" w:line="20" w:lineRule="exact"/>
              <w:rPr>
                <w:sz w:val="1"/>
                <w:szCs w:val="1"/>
                <w:color w:val="auto"/>
              </w:rPr>
            </w:pPr>
          </w:p>
        </w:tc>
        <w:tc>
          <w:tcPr>
            <w:tcW w:w="260" w:type="dxa"/>
            <w:vAlign w:val="bottom"/>
            <w:tcBorders>
              <w:left w:val="single" w:sz="8" w:color="auto"/>
            </w:tcBorders>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20" w:type="dxa"/>
            <w:vAlign w:val="bottom"/>
            <w:tcBorders>
              <w:right w:val="single" w:sz="8" w:color="auto"/>
            </w:tcBorders>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80" w:type="dxa"/>
            <w:vAlign w:val="bottom"/>
            <w:tcBorders>
              <w:left w:val="single" w:sz="8" w:color="CFF0FC"/>
              <w:right w:val="single" w:sz="8" w:color="auto"/>
            </w:tcBorders>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 w:type="dxa"/>
            <w:vAlign w:val="bottom"/>
            <w:shd w:val="clear" w:color="auto" w:fill="CFF0FC"/>
          </w:tcPr>
          <w:p>
            <w:pPr>
              <w:spacing w:after="0" w:line="20" w:lineRule="exact"/>
              <w:rPr>
                <w:sz w:val="1"/>
                <w:szCs w:val="1"/>
                <w:color w:val="auto"/>
              </w:rPr>
            </w:pPr>
          </w:p>
        </w:tc>
        <w:tc>
          <w:tcPr>
            <w:tcW w:w="260" w:type="dxa"/>
            <w:vAlign w:val="bottom"/>
            <w:tcBorders>
              <w:right w:val="single" w:sz="8" w:color="CFF0FC"/>
            </w:tcBorders>
            <w:shd w:val="clear" w:color="auto" w:fill="CFF0FC"/>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880" w:type="dxa"/>
            <w:vAlign w:val="bottom"/>
            <w:gridSpan w:val="2"/>
            <w:vMerge w:val="restart"/>
            <w:shd w:val="clear" w:color="auto" w:fill="CFF0FC"/>
          </w:tcPr>
          <w:p>
            <w:pPr>
              <w:jc w:val="right"/>
              <w:ind w:right="80"/>
              <w:spacing w:after="0"/>
              <w:rPr>
                <w:sz w:val="20"/>
                <w:szCs w:val="20"/>
                <w:color w:val="auto"/>
              </w:rPr>
            </w:pPr>
            <w:r>
              <w:rPr>
                <w:rFonts w:ascii="Arial" w:cs="Arial" w:eastAsia="Arial" w:hAnsi="Arial"/>
                <w:sz w:val="17"/>
                <w:szCs w:val="17"/>
                <w:color w:val="auto"/>
              </w:rPr>
              <w:t>687.5%</w:t>
            </w:r>
          </w:p>
        </w:tc>
        <w:tc>
          <w:tcPr>
            <w:tcW w:w="0" w:type="dxa"/>
            <w:vAlign w:val="bottom"/>
          </w:tcPr>
          <w:p>
            <w:pPr>
              <w:spacing w:after="0" w:line="20" w:lineRule="exact"/>
              <w:rPr>
                <w:sz w:val="1"/>
                <w:szCs w:val="1"/>
                <w:color w:val="auto"/>
              </w:rPr>
            </w:pPr>
          </w:p>
        </w:tc>
      </w:tr>
      <w:tr>
        <w:trPr>
          <w:trHeight w:val="210"/>
        </w:trPr>
        <w:tc>
          <w:tcPr>
            <w:tcW w:w="3320" w:type="dxa"/>
            <w:vAlign w:val="bottom"/>
            <w:gridSpan w:val="2"/>
            <w:vMerge w:val="continue"/>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60" w:type="dxa"/>
            <w:vAlign w:val="bottom"/>
            <w:tcBorders>
              <w:left w:val="single" w:sz="8" w:color="CFF0FC"/>
            </w:tcBorders>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35,602</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4,521</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60" w:type="dxa"/>
            <w:vAlign w:val="bottom"/>
            <w:tcBorders>
              <w:right w:val="single" w:sz="8" w:color="CFF0FC"/>
            </w:tcBorders>
            <w:gridSpan w:val="4"/>
            <w:shd w:val="clear" w:color="auto" w:fill="CFF0FC"/>
          </w:tcPr>
          <w:p>
            <w:pPr>
              <w:jc w:val="right"/>
              <w:ind w:right="280"/>
              <w:spacing w:after="0"/>
              <w:rPr>
                <w:sz w:val="20"/>
                <w:szCs w:val="20"/>
                <w:color w:val="auto"/>
              </w:rPr>
            </w:pPr>
            <w:r>
              <w:rPr>
                <w:rFonts w:ascii="Arial" w:cs="Arial" w:eastAsia="Arial" w:hAnsi="Arial"/>
                <w:sz w:val="17"/>
                <w:szCs w:val="17"/>
                <w:color w:val="auto"/>
              </w:rPr>
              <w:t>17.1%</w:t>
            </w:r>
          </w:p>
        </w:tc>
        <w:tc>
          <w:tcPr>
            <w:tcW w:w="1360" w:type="dxa"/>
            <w:vAlign w:val="bottom"/>
            <w:tcBorders>
              <w:right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2.7%</w:t>
            </w:r>
          </w:p>
        </w:tc>
        <w:tc>
          <w:tcPr>
            <w:tcW w:w="28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31,081</w:t>
            </w:r>
          </w:p>
        </w:tc>
        <w:tc>
          <w:tcPr>
            <w:tcW w:w="20" w:type="dxa"/>
            <w:vAlign w:val="bottom"/>
            <w:shd w:val="clear" w:color="auto" w:fill="CFF0FC"/>
          </w:tcPr>
          <w:p>
            <w:pPr>
              <w:spacing w:after="0"/>
              <w:rPr>
                <w:sz w:val="18"/>
                <w:szCs w:val="18"/>
                <w:color w:val="auto"/>
              </w:rPr>
            </w:pPr>
          </w:p>
        </w:tc>
        <w:tc>
          <w:tcPr>
            <w:tcW w:w="260" w:type="dxa"/>
            <w:vAlign w:val="bottom"/>
            <w:tcBorders>
              <w:right w:val="single" w:sz="8" w:color="CFF0FC"/>
            </w:tcBorders>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80" w:type="dxa"/>
            <w:vAlign w:val="bottom"/>
            <w:gridSpan w:val="2"/>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20" w:type="dxa"/>
            <w:vAlign w:val="bottom"/>
            <w:gridSpan w:val="2"/>
          </w:tcPr>
          <w:p>
            <w:pPr>
              <w:spacing w:after="0"/>
              <w:rPr>
                <w:sz w:val="20"/>
                <w:szCs w:val="20"/>
                <w:color w:val="auto"/>
              </w:rPr>
            </w:pPr>
            <w:r>
              <w:rPr>
                <w:rFonts w:ascii="Arial" w:cs="Arial" w:eastAsia="Arial" w:hAnsi="Arial"/>
                <w:sz w:val="17"/>
                <w:szCs w:val="17"/>
                <w:color w:val="auto"/>
              </w:rPr>
              <w:t>Interest expense, net</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31,689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32,226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4"/>
          </w:tcPr>
          <w:p>
            <w:pPr>
              <w:jc w:val="right"/>
              <w:ind w:right="280"/>
              <w:spacing w:after="0"/>
              <w:rPr>
                <w:sz w:val="20"/>
                <w:szCs w:val="20"/>
                <w:color w:val="auto"/>
              </w:rPr>
            </w:pPr>
            <w:r>
              <w:rPr>
                <w:rFonts w:ascii="Arial" w:cs="Arial" w:eastAsia="Arial" w:hAnsi="Arial"/>
                <w:sz w:val="17"/>
                <w:szCs w:val="17"/>
                <w:color w:val="auto"/>
              </w:rPr>
              <w:t>15.2%</w:t>
            </w:r>
          </w:p>
        </w:tc>
        <w:tc>
          <w:tcPr>
            <w:tcW w:w="1360" w:type="dxa"/>
            <w:vAlign w:val="bottom"/>
            <w:gridSpan w:val="2"/>
          </w:tcPr>
          <w:p>
            <w:pPr>
              <w:jc w:val="right"/>
              <w:ind w:right="240"/>
              <w:spacing w:after="0"/>
              <w:rPr>
                <w:sz w:val="20"/>
                <w:szCs w:val="20"/>
                <w:color w:val="auto"/>
              </w:rPr>
            </w:pPr>
            <w:r>
              <w:rPr>
                <w:rFonts w:ascii="Arial" w:cs="Arial" w:eastAsia="Arial" w:hAnsi="Arial"/>
                <w:sz w:val="17"/>
                <w:szCs w:val="17"/>
                <w:color w:val="auto"/>
              </w:rPr>
              <w:t>19.2%</w:t>
            </w:r>
          </w:p>
        </w:tc>
        <w:tc>
          <w:tcPr>
            <w:tcW w:w="280" w:type="dxa"/>
            <w:vAlign w:val="bottom"/>
          </w:tcPr>
          <w:p>
            <w:pPr>
              <w:spacing w:after="0"/>
              <w:rPr>
                <w:sz w:val="18"/>
                <w:szCs w:val="18"/>
                <w:color w:val="auto"/>
              </w:rPr>
            </w:pPr>
          </w:p>
        </w:tc>
        <w:tc>
          <w:tcPr>
            <w:tcW w:w="1020" w:type="dxa"/>
            <w:vAlign w:val="bottom"/>
            <w:gridSpan w:val="3"/>
          </w:tcPr>
          <w:p>
            <w:pPr>
              <w:jc w:val="right"/>
              <w:ind w:right="220"/>
              <w:spacing w:after="0"/>
              <w:rPr>
                <w:sz w:val="20"/>
                <w:szCs w:val="20"/>
                <w:color w:val="auto"/>
              </w:rPr>
            </w:pPr>
            <w:r>
              <w:rPr>
                <w:rFonts w:ascii="Arial" w:cs="Arial" w:eastAsia="Arial" w:hAnsi="Arial"/>
                <w:sz w:val="17"/>
                <w:szCs w:val="17"/>
                <w:color w:val="auto"/>
              </w:rPr>
              <w:t>(537)</w:t>
            </w:r>
          </w:p>
        </w:tc>
        <w:tc>
          <w:tcPr>
            <w:tcW w:w="34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7"/>
                <w:szCs w:val="17"/>
                <w:color w:val="auto"/>
              </w:rPr>
              <w:t>(1.7)%</w:t>
            </w:r>
          </w:p>
        </w:tc>
        <w:tc>
          <w:tcPr>
            <w:tcW w:w="0" w:type="dxa"/>
            <w:vAlign w:val="bottom"/>
          </w:tcPr>
          <w:p>
            <w:pPr>
              <w:spacing w:after="0"/>
              <w:rPr>
                <w:sz w:val="1"/>
                <w:szCs w:val="1"/>
                <w:color w:val="auto"/>
              </w:rPr>
            </w:pPr>
          </w:p>
        </w:tc>
      </w:tr>
      <w:tr>
        <w:trPr>
          <w:trHeight w:val="216"/>
        </w:trPr>
        <w:tc>
          <w:tcPr>
            <w:tcW w:w="332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Loss on extinguishment of debt</w:t>
            </w:r>
          </w:p>
        </w:tc>
        <w:tc>
          <w:tcPr>
            <w:tcW w:w="200" w:type="dxa"/>
            <w:vAlign w:val="bottom"/>
            <w:shd w:val="clear" w:color="auto" w:fill="CFF0FC"/>
          </w:tcPr>
          <w:p>
            <w:pPr>
              <w:spacing w:after="0"/>
              <w:rPr>
                <w:sz w:val="18"/>
                <w:szCs w:val="18"/>
                <w:color w:val="auto"/>
              </w:rPr>
            </w:pPr>
          </w:p>
        </w:tc>
        <w:tc>
          <w:tcPr>
            <w:tcW w:w="260" w:type="dxa"/>
            <w:vAlign w:val="bottom"/>
            <w:tcBorders>
              <w:left w:val="single" w:sz="8" w:color="CFF0FC"/>
            </w:tcBorders>
            <w:shd w:val="clear" w:color="auto" w:fill="CFF0FC"/>
          </w:tcPr>
          <w:p>
            <w:pPr>
              <w:spacing w:after="0"/>
              <w:rPr>
                <w:sz w:val="18"/>
                <w:szCs w:val="18"/>
                <w:color w:val="auto"/>
              </w:rPr>
            </w:pPr>
          </w:p>
        </w:tc>
        <w:tc>
          <w:tcPr>
            <w:tcW w:w="1020" w:type="dxa"/>
            <w:vAlign w:val="bottom"/>
            <w:gridSpan w:val="3"/>
            <w:shd w:val="clear" w:color="auto" w:fill="CFF0FC"/>
          </w:tcPr>
          <w:p>
            <w:pPr>
              <w:jc w:val="right"/>
              <w:ind w:right="260"/>
              <w:spacing w:after="0"/>
              <w:rPr>
                <w:sz w:val="20"/>
                <w:szCs w:val="20"/>
                <w:color w:val="auto"/>
              </w:rPr>
            </w:pPr>
            <w:r>
              <w:rPr>
                <w:rFonts w:ascii="Arial" w:cs="Arial" w:eastAsia="Arial" w:hAnsi="Arial"/>
                <w:sz w:val="17"/>
                <w:szCs w:val="17"/>
                <w:color w:val="auto"/>
              </w:rPr>
              <w:t>—</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10,151</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60" w:type="dxa"/>
            <w:vAlign w:val="bottom"/>
            <w:tcBorders>
              <w:right w:val="single" w:sz="8" w:color="CFF0FC"/>
            </w:tcBorders>
            <w:gridSpan w:val="3"/>
            <w:shd w:val="clear" w:color="auto" w:fill="CFF0FC"/>
          </w:tcPr>
          <w:p>
            <w:pPr>
              <w:jc w:val="right"/>
              <w:ind w:right="440"/>
              <w:spacing w:after="0"/>
              <w:rPr>
                <w:sz w:val="20"/>
                <w:szCs w:val="20"/>
                <w:color w:val="auto"/>
              </w:rPr>
            </w:pPr>
            <w:r>
              <w:rPr>
                <w:rFonts w:ascii="Arial" w:cs="Arial" w:eastAsia="Arial" w:hAnsi="Arial"/>
                <w:sz w:val="17"/>
                <w:szCs w:val="17"/>
                <w:color w:val="auto"/>
              </w:rPr>
              <w:t>—</w:t>
            </w:r>
          </w:p>
        </w:tc>
        <w:tc>
          <w:tcPr>
            <w:tcW w:w="1360" w:type="dxa"/>
            <w:vAlign w:val="bottom"/>
            <w:tcBorders>
              <w:right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6.1%</w:t>
            </w:r>
          </w:p>
        </w:tc>
        <w:tc>
          <w:tcPr>
            <w:tcW w:w="280" w:type="dxa"/>
            <w:vAlign w:val="bottom"/>
            <w:shd w:val="clear" w:color="auto" w:fill="CFF0FC"/>
          </w:tcPr>
          <w:p>
            <w:pPr>
              <w:spacing w:after="0"/>
              <w:rPr>
                <w:sz w:val="18"/>
                <w:szCs w:val="18"/>
                <w:color w:val="auto"/>
              </w:rPr>
            </w:pPr>
          </w:p>
        </w:tc>
        <w:tc>
          <w:tcPr>
            <w:tcW w:w="1020" w:type="dxa"/>
            <w:vAlign w:val="bottom"/>
            <w:tcBorders>
              <w:right w:val="single" w:sz="8" w:color="CFF0FC"/>
            </w:tcBorders>
            <w:gridSpan w:val="3"/>
            <w:shd w:val="clear" w:color="auto" w:fill="CFF0FC"/>
          </w:tcPr>
          <w:p>
            <w:pPr>
              <w:jc w:val="right"/>
              <w:ind w:right="220"/>
              <w:spacing w:after="0"/>
              <w:rPr>
                <w:sz w:val="20"/>
                <w:szCs w:val="20"/>
                <w:color w:val="auto"/>
              </w:rPr>
            </w:pPr>
            <w:r>
              <w:rPr>
                <w:rFonts w:ascii="Arial" w:cs="Arial" w:eastAsia="Arial" w:hAnsi="Arial"/>
                <w:sz w:val="17"/>
                <w:szCs w:val="17"/>
                <w:color w:val="auto"/>
              </w:rPr>
              <w:t>(10,151)</w:t>
            </w:r>
          </w:p>
        </w:tc>
        <w:tc>
          <w:tcPr>
            <w:tcW w:w="34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n/a</w:t>
            </w:r>
          </w:p>
        </w:tc>
        <w:tc>
          <w:tcPr>
            <w:tcW w:w="0" w:type="dxa"/>
            <w:vAlign w:val="bottom"/>
          </w:tcPr>
          <w:p>
            <w:pPr>
              <w:spacing w:after="0"/>
              <w:rPr>
                <w:sz w:val="1"/>
                <w:szCs w:val="1"/>
                <w:color w:val="auto"/>
              </w:rPr>
            </w:pPr>
          </w:p>
        </w:tc>
      </w:tr>
      <w:tr>
        <w:trPr>
          <w:trHeight w:val="216"/>
        </w:trPr>
        <w:tc>
          <w:tcPr>
            <w:tcW w:w="3320" w:type="dxa"/>
            <w:vAlign w:val="bottom"/>
            <w:gridSpan w:val="2"/>
          </w:tcPr>
          <w:p>
            <w:pPr>
              <w:spacing w:after="0"/>
              <w:rPr>
                <w:sz w:val="20"/>
                <w:szCs w:val="20"/>
                <w:color w:val="auto"/>
              </w:rPr>
            </w:pPr>
            <w:r>
              <w:rPr>
                <w:rFonts w:ascii="Arial" w:cs="Arial" w:eastAsia="Arial" w:hAnsi="Arial"/>
                <w:sz w:val="17"/>
                <w:szCs w:val="17"/>
                <w:color w:val="auto"/>
              </w:rPr>
              <w:t>Other income, net</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7"/>
                <w:szCs w:val="17"/>
                <w:color w:val="auto"/>
              </w:rPr>
              <w:t>(5,552)</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7"/>
                <w:szCs w:val="17"/>
                <w:color w:val="auto"/>
              </w:rPr>
              <w:t>(4,059)</w:t>
            </w:r>
          </w:p>
        </w:tc>
        <w:tc>
          <w:tcPr>
            <w:tcW w:w="160" w:type="dxa"/>
            <w:vAlign w:val="bottom"/>
          </w:tcPr>
          <w:p>
            <w:pPr>
              <w:spacing w:after="0"/>
              <w:rPr>
                <w:sz w:val="18"/>
                <w:szCs w:val="18"/>
                <w:color w:val="auto"/>
              </w:rPr>
            </w:pPr>
          </w:p>
        </w:tc>
        <w:tc>
          <w:tcPr>
            <w:tcW w:w="1460" w:type="dxa"/>
            <w:vAlign w:val="bottom"/>
            <w:gridSpan w:val="4"/>
          </w:tcPr>
          <w:p>
            <w:pPr>
              <w:jc w:val="right"/>
              <w:ind w:right="220"/>
              <w:spacing w:after="0"/>
              <w:rPr>
                <w:sz w:val="20"/>
                <w:szCs w:val="20"/>
                <w:color w:val="auto"/>
              </w:rPr>
            </w:pPr>
            <w:r>
              <w:rPr>
                <w:rFonts w:ascii="Arial" w:cs="Arial" w:eastAsia="Arial" w:hAnsi="Arial"/>
                <w:sz w:val="17"/>
                <w:szCs w:val="17"/>
                <w:color w:val="auto"/>
              </w:rPr>
              <w:t>(2.6)%</w:t>
            </w:r>
          </w:p>
        </w:tc>
        <w:tc>
          <w:tcPr>
            <w:tcW w:w="1360" w:type="dxa"/>
            <w:vAlign w:val="bottom"/>
            <w:gridSpan w:val="2"/>
          </w:tcPr>
          <w:p>
            <w:pPr>
              <w:jc w:val="right"/>
              <w:ind w:right="180"/>
              <w:spacing w:after="0"/>
              <w:rPr>
                <w:sz w:val="20"/>
                <w:szCs w:val="20"/>
                <w:color w:val="auto"/>
              </w:rPr>
            </w:pPr>
            <w:r>
              <w:rPr>
                <w:rFonts w:ascii="Arial" w:cs="Arial" w:eastAsia="Arial" w:hAnsi="Arial"/>
                <w:sz w:val="17"/>
                <w:szCs w:val="17"/>
                <w:color w:val="auto"/>
              </w:rPr>
              <w:t>(2.4)%</w:t>
            </w:r>
          </w:p>
        </w:tc>
        <w:tc>
          <w:tcPr>
            <w:tcW w:w="280" w:type="dxa"/>
            <w:vAlign w:val="bottom"/>
          </w:tcPr>
          <w:p>
            <w:pPr>
              <w:spacing w:after="0"/>
              <w:rPr>
                <w:sz w:val="18"/>
                <w:szCs w:val="18"/>
                <w:color w:val="auto"/>
              </w:rPr>
            </w:pPr>
          </w:p>
        </w:tc>
        <w:tc>
          <w:tcPr>
            <w:tcW w:w="1020" w:type="dxa"/>
            <w:vAlign w:val="bottom"/>
            <w:gridSpan w:val="3"/>
          </w:tcPr>
          <w:p>
            <w:pPr>
              <w:jc w:val="right"/>
              <w:ind w:right="220"/>
              <w:spacing w:after="0"/>
              <w:rPr>
                <w:sz w:val="20"/>
                <w:szCs w:val="20"/>
                <w:color w:val="auto"/>
              </w:rPr>
            </w:pPr>
            <w:r>
              <w:rPr>
                <w:rFonts w:ascii="Arial" w:cs="Arial" w:eastAsia="Arial" w:hAnsi="Arial"/>
                <w:sz w:val="17"/>
                <w:szCs w:val="17"/>
                <w:color w:val="auto"/>
              </w:rPr>
              <w:t>(1,493)</w:t>
            </w:r>
          </w:p>
        </w:tc>
        <w:tc>
          <w:tcPr>
            <w:tcW w:w="34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7"/>
                <w:szCs w:val="17"/>
                <w:color w:val="auto"/>
              </w:rPr>
              <w:t>36.8%</w:t>
            </w:r>
          </w:p>
        </w:tc>
        <w:tc>
          <w:tcPr>
            <w:tcW w:w="0" w:type="dxa"/>
            <w:vAlign w:val="bottom"/>
          </w:tcPr>
          <w:p>
            <w:pPr>
              <w:spacing w:after="0"/>
              <w:rPr>
                <w:sz w:val="1"/>
                <w:szCs w:val="1"/>
                <w:color w:val="auto"/>
              </w:rPr>
            </w:pPr>
          </w:p>
        </w:tc>
      </w:tr>
      <w:tr>
        <w:trPr>
          <w:trHeight w:val="20"/>
        </w:trPr>
        <w:tc>
          <w:tcPr>
            <w:tcW w:w="3320" w:type="dxa"/>
            <w:vAlign w:val="bottom"/>
            <w:gridSpan w:val="2"/>
            <w:vMerge w:val="restart"/>
            <w:shd w:val="clear" w:color="auto" w:fill="CFF0FC"/>
          </w:tcPr>
          <w:p>
            <w:pPr>
              <w:spacing w:after="0"/>
              <w:rPr>
                <w:sz w:val="20"/>
                <w:szCs w:val="20"/>
                <w:color w:val="auto"/>
              </w:rPr>
            </w:pPr>
            <w:r>
              <w:rPr>
                <w:rFonts w:ascii="Arial" w:cs="Arial" w:eastAsia="Arial" w:hAnsi="Arial"/>
                <w:sz w:val="17"/>
                <w:szCs w:val="17"/>
                <w:color w:val="auto"/>
              </w:rPr>
              <w:t>Total other expenses</w:t>
            </w:r>
          </w:p>
        </w:tc>
        <w:tc>
          <w:tcPr>
            <w:tcW w:w="200" w:type="dxa"/>
            <w:vAlign w:val="bottom"/>
            <w:shd w:val="clear" w:color="auto" w:fill="CFF0FC"/>
          </w:tcPr>
          <w:p>
            <w:pPr>
              <w:spacing w:after="0" w:line="20" w:lineRule="exact"/>
              <w:rPr>
                <w:sz w:val="1"/>
                <w:szCs w:val="1"/>
                <w:color w:val="auto"/>
              </w:rPr>
            </w:pPr>
          </w:p>
        </w:tc>
        <w:tc>
          <w:tcPr>
            <w:tcW w:w="260" w:type="dxa"/>
            <w:vAlign w:val="bottom"/>
            <w:tcBorders>
              <w:left w:val="single" w:sz="8" w:color="auto"/>
            </w:tcBorders>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20" w:type="dxa"/>
            <w:vAlign w:val="bottom"/>
            <w:tcBorders>
              <w:right w:val="single" w:sz="8" w:color="auto"/>
            </w:tcBorders>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80" w:type="dxa"/>
            <w:vAlign w:val="bottom"/>
            <w:tcBorders>
              <w:left w:val="single" w:sz="8" w:color="CFF0FC"/>
              <w:right w:val="single" w:sz="8" w:color="auto"/>
            </w:tcBorders>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 w:type="dxa"/>
            <w:vAlign w:val="bottom"/>
            <w:vMerge w:val="restart"/>
            <w:shd w:val="clear" w:color="auto" w:fill="CFF0FC"/>
          </w:tcPr>
          <w:p>
            <w:pPr>
              <w:spacing w:after="0" w:line="20" w:lineRule="exact"/>
              <w:rPr>
                <w:sz w:val="1"/>
                <w:szCs w:val="1"/>
                <w:color w:val="auto"/>
              </w:rPr>
            </w:pPr>
          </w:p>
        </w:tc>
        <w:tc>
          <w:tcPr>
            <w:tcW w:w="260" w:type="dxa"/>
            <w:vAlign w:val="bottom"/>
            <w:tcBorders>
              <w:right w:val="single" w:sz="8" w:color="CFF0FC"/>
            </w:tcBorders>
            <w:vMerge w:val="restart"/>
            <w:shd w:val="clear" w:color="auto" w:fill="CFF0FC"/>
          </w:tcPr>
          <w:p>
            <w:pPr>
              <w:spacing w:after="0" w:line="20" w:lineRule="exact"/>
              <w:rPr>
                <w:sz w:val="1"/>
                <w:szCs w:val="1"/>
                <w:color w:val="auto"/>
              </w:rPr>
            </w:pPr>
          </w:p>
        </w:tc>
        <w:tc>
          <w:tcPr>
            <w:tcW w:w="340" w:type="dxa"/>
            <w:vAlign w:val="bottom"/>
            <w:vMerge w:val="restart"/>
            <w:shd w:val="clear" w:color="auto" w:fill="CFF0FC"/>
          </w:tcPr>
          <w:p>
            <w:pPr>
              <w:spacing w:after="0" w:line="20" w:lineRule="exact"/>
              <w:rPr>
                <w:sz w:val="1"/>
                <w:szCs w:val="1"/>
                <w:color w:val="auto"/>
              </w:rPr>
            </w:pPr>
          </w:p>
        </w:tc>
        <w:tc>
          <w:tcPr>
            <w:tcW w:w="880" w:type="dxa"/>
            <w:vAlign w:val="bottom"/>
            <w:gridSpan w:val="2"/>
            <w:vMerge w:val="restart"/>
            <w:shd w:val="clear" w:color="auto" w:fill="CFF0FC"/>
          </w:tcPr>
          <w:p>
            <w:pPr>
              <w:jc w:val="right"/>
              <w:ind w:right="20"/>
              <w:spacing w:after="0"/>
              <w:rPr>
                <w:sz w:val="20"/>
                <w:szCs w:val="20"/>
                <w:color w:val="auto"/>
              </w:rPr>
            </w:pPr>
            <w:r>
              <w:rPr>
                <w:rFonts w:ascii="Arial" w:cs="Arial" w:eastAsia="Arial" w:hAnsi="Arial"/>
                <w:sz w:val="17"/>
                <w:szCs w:val="17"/>
                <w:color w:val="auto"/>
              </w:rPr>
              <w:t>(31.8)%</w:t>
            </w:r>
          </w:p>
        </w:tc>
        <w:tc>
          <w:tcPr>
            <w:tcW w:w="0" w:type="dxa"/>
            <w:vAlign w:val="bottom"/>
          </w:tcPr>
          <w:p>
            <w:pPr>
              <w:spacing w:after="0" w:line="20" w:lineRule="exact"/>
              <w:rPr>
                <w:sz w:val="1"/>
                <w:szCs w:val="1"/>
                <w:color w:val="auto"/>
              </w:rPr>
            </w:pPr>
          </w:p>
        </w:tc>
      </w:tr>
      <w:tr>
        <w:trPr>
          <w:trHeight w:val="210"/>
        </w:trPr>
        <w:tc>
          <w:tcPr>
            <w:tcW w:w="3320" w:type="dxa"/>
            <w:vAlign w:val="bottom"/>
            <w:gridSpan w:val="2"/>
            <w:vMerge w:val="continue"/>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60" w:type="dxa"/>
            <w:vAlign w:val="bottom"/>
            <w:tcBorders>
              <w:left w:val="single" w:sz="8" w:color="CFF0FC"/>
            </w:tcBorders>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26,137</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38,318</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60" w:type="dxa"/>
            <w:vAlign w:val="bottom"/>
            <w:tcBorders>
              <w:right w:val="single" w:sz="8" w:color="CFF0FC"/>
            </w:tcBorders>
            <w:gridSpan w:val="4"/>
            <w:shd w:val="clear" w:color="auto" w:fill="CFF0FC"/>
          </w:tcPr>
          <w:p>
            <w:pPr>
              <w:jc w:val="right"/>
              <w:ind w:right="280"/>
              <w:spacing w:after="0"/>
              <w:rPr>
                <w:sz w:val="20"/>
                <w:szCs w:val="20"/>
                <w:color w:val="auto"/>
              </w:rPr>
            </w:pPr>
            <w:r>
              <w:rPr>
                <w:rFonts w:ascii="Arial" w:cs="Arial" w:eastAsia="Arial" w:hAnsi="Arial"/>
                <w:sz w:val="17"/>
                <w:szCs w:val="17"/>
                <w:color w:val="auto"/>
              </w:rPr>
              <w:t>12.6%</w:t>
            </w:r>
          </w:p>
        </w:tc>
        <w:tc>
          <w:tcPr>
            <w:tcW w:w="1360" w:type="dxa"/>
            <w:vAlign w:val="bottom"/>
            <w:tcBorders>
              <w:right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22.9%</w:t>
            </w:r>
          </w:p>
        </w:tc>
        <w:tc>
          <w:tcPr>
            <w:tcW w:w="28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(12,181)</w:t>
            </w:r>
          </w:p>
        </w:tc>
        <w:tc>
          <w:tcPr>
            <w:tcW w:w="20" w:type="dxa"/>
            <w:vAlign w:val="bottom"/>
            <w:vMerge w:val="continue"/>
            <w:shd w:val="clear" w:color="auto" w:fill="CFF0FC"/>
          </w:tcPr>
          <w:p>
            <w:pPr>
              <w:spacing w:after="0"/>
              <w:rPr>
                <w:sz w:val="18"/>
                <w:szCs w:val="18"/>
                <w:color w:val="auto"/>
              </w:rPr>
            </w:pPr>
          </w:p>
        </w:tc>
        <w:tc>
          <w:tcPr>
            <w:tcW w:w="260" w:type="dxa"/>
            <w:vAlign w:val="bottom"/>
            <w:tcBorders>
              <w:right w:val="single" w:sz="8" w:color="CFF0FC"/>
            </w:tcBorders>
            <w:vMerge w:val="continue"/>
            <w:shd w:val="clear" w:color="auto" w:fill="CFF0FC"/>
          </w:tcPr>
          <w:p>
            <w:pPr>
              <w:spacing w:after="0"/>
              <w:rPr>
                <w:sz w:val="18"/>
                <w:szCs w:val="18"/>
                <w:color w:val="auto"/>
              </w:rPr>
            </w:pPr>
          </w:p>
        </w:tc>
        <w:tc>
          <w:tcPr>
            <w:tcW w:w="340" w:type="dxa"/>
            <w:vAlign w:val="bottom"/>
            <w:vMerge w:val="continue"/>
            <w:shd w:val="clear" w:color="auto" w:fill="CFF0FC"/>
          </w:tcPr>
          <w:p>
            <w:pPr>
              <w:spacing w:after="0"/>
              <w:rPr>
                <w:sz w:val="18"/>
                <w:szCs w:val="18"/>
                <w:color w:val="auto"/>
              </w:rPr>
            </w:pPr>
          </w:p>
        </w:tc>
        <w:tc>
          <w:tcPr>
            <w:tcW w:w="880" w:type="dxa"/>
            <w:vAlign w:val="bottom"/>
            <w:gridSpan w:val="2"/>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3320" w:type="dxa"/>
            <w:vAlign w:val="bottom"/>
            <w:gridSpan w:val="2"/>
          </w:tcPr>
          <w:p>
            <w:pPr>
              <w:spacing w:after="0" w:line="192" w:lineRule="exact"/>
              <w:rPr>
                <w:sz w:val="20"/>
                <w:szCs w:val="20"/>
                <w:color w:val="auto"/>
              </w:rPr>
            </w:pPr>
            <w:r>
              <w:rPr>
                <w:rFonts w:ascii="Arial" w:cs="Arial" w:eastAsia="Arial" w:hAnsi="Arial"/>
                <w:sz w:val="17"/>
                <w:szCs w:val="17"/>
                <w:color w:val="auto"/>
              </w:rPr>
              <w:t>Income (loss) before income tax provision</w:t>
            </w:r>
          </w:p>
        </w:tc>
        <w:tc>
          <w:tcPr>
            <w:tcW w:w="2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38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320" w:type="dxa"/>
            <w:vAlign w:val="bottom"/>
            <w:gridSpan w:val="2"/>
          </w:tcPr>
          <w:p>
            <w:pPr>
              <w:spacing w:after="0"/>
              <w:rPr>
                <w:sz w:val="20"/>
                <w:szCs w:val="20"/>
                <w:color w:val="auto"/>
              </w:rPr>
            </w:pPr>
            <w:r>
              <w:rPr>
                <w:rFonts w:ascii="Arial" w:cs="Arial" w:eastAsia="Arial" w:hAnsi="Arial"/>
                <w:sz w:val="17"/>
                <w:szCs w:val="17"/>
                <w:color w:val="auto"/>
              </w:rPr>
              <w:t>(benefit)</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9,465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7"/>
                <w:szCs w:val="17"/>
                <w:color w:val="auto"/>
              </w:rPr>
              <w:t>(33,797)</w:t>
            </w:r>
          </w:p>
        </w:tc>
        <w:tc>
          <w:tcPr>
            <w:tcW w:w="160" w:type="dxa"/>
            <w:vAlign w:val="bottom"/>
          </w:tcPr>
          <w:p>
            <w:pPr>
              <w:spacing w:after="0"/>
              <w:rPr>
                <w:sz w:val="18"/>
                <w:szCs w:val="18"/>
                <w:color w:val="auto"/>
              </w:rPr>
            </w:pPr>
          </w:p>
        </w:tc>
        <w:tc>
          <w:tcPr>
            <w:tcW w:w="1460" w:type="dxa"/>
            <w:vAlign w:val="bottom"/>
            <w:gridSpan w:val="4"/>
          </w:tcPr>
          <w:p>
            <w:pPr>
              <w:jc w:val="right"/>
              <w:ind w:right="280"/>
              <w:spacing w:after="0"/>
              <w:rPr>
                <w:sz w:val="20"/>
                <w:szCs w:val="20"/>
                <w:color w:val="auto"/>
              </w:rPr>
            </w:pPr>
            <w:r>
              <w:rPr>
                <w:rFonts w:ascii="Arial" w:cs="Arial" w:eastAsia="Arial" w:hAnsi="Arial"/>
                <w:sz w:val="17"/>
                <w:szCs w:val="17"/>
                <w:color w:val="auto"/>
              </w:rPr>
              <w:t>4.5%</w:t>
            </w:r>
          </w:p>
        </w:tc>
        <w:tc>
          <w:tcPr>
            <w:tcW w:w="1360" w:type="dxa"/>
            <w:vAlign w:val="bottom"/>
            <w:gridSpan w:val="2"/>
          </w:tcPr>
          <w:p>
            <w:pPr>
              <w:jc w:val="right"/>
              <w:ind w:right="180"/>
              <w:spacing w:after="0"/>
              <w:rPr>
                <w:sz w:val="20"/>
                <w:szCs w:val="20"/>
                <w:color w:val="auto"/>
              </w:rPr>
            </w:pPr>
            <w:r>
              <w:rPr>
                <w:rFonts w:ascii="Arial" w:cs="Arial" w:eastAsia="Arial" w:hAnsi="Arial"/>
                <w:sz w:val="17"/>
                <w:szCs w:val="17"/>
                <w:color w:val="auto"/>
              </w:rPr>
              <w:t>(20.2)%</w:t>
            </w:r>
          </w:p>
        </w:tc>
        <w:tc>
          <w:tcPr>
            <w:tcW w:w="2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43,262</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7"/>
                <w:szCs w:val="17"/>
                <w:color w:val="auto"/>
              </w:rPr>
              <w:t>128.0%</w:t>
            </w:r>
          </w:p>
        </w:tc>
        <w:tc>
          <w:tcPr>
            <w:tcW w:w="0" w:type="dxa"/>
            <w:vAlign w:val="bottom"/>
          </w:tcPr>
          <w:p>
            <w:pPr>
              <w:spacing w:after="0"/>
              <w:rPr>
                <w:sz w:val="1"/>
                <w:szCs w:val="1"/>
                <w:color w:val="auto"/>
              </w:rPr>
            </w:pPr>
          </w:p>
        </w:tc>
      </w:tr>
      <w:tr>
        <w:trPr>
          <w:trHeight w:val="220"/>
        </w:trPr>
        <w:tc>
          <w:tcPr>
            <w:tcW w:w="332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Income tax provision (benefit)</w:t>
            </w:r>
          </w:p>
        </w:tc>
        <w:tc>
          <w:tcPr>
            <w:tcW w:w="200" w:type="dxa"/>
            <w:vAlign w:val="bottom"/>
            <w:shd w:val="clear" w:color="auto" w:fill="CFF0FC"/>
          </w:tcPr>
          <w:p>
            <w:pPr>
              <w:spacing w:after="0"/>
              <w:rPr>
                <w:sz w:val="19"/>
                <w:szCs w:val="19"/>
                <w:color w:val="auto"/>
              </w:rPr>
            </w:pPr>
          </w:p>
        </w:tc>
        <w:tc>
          <w:tcPr>
            <w:tcW w:w="260" w:type="dxa"/>
            <w:vAlign w:val="bottom"/>
            <w:tcBorders>
              <w:left w:val="single" w:sz="8" w:color="CFF0FC"/>
            </w:tcBorders>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3,054</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(6,844)</w:t>
            </w:r>
          </w:p>
        </w:tc>
        <w:tc>
          <w:tcPr>
            <w:tcW w:w="160" w:type="dxa"/>
            <w:vAlign w:val="bottom"/>
            <w:shd w:val="clear" w:color="auto" w:fill="CFF0FC"/>
          </w:tcPr>
          <w:p>
            <w:pPr>
              <w:spacing w:after="0"/>
              <w:rPr>
                <w:sz w:val="19"/>
                <w:szCs w:val="19"/>
                <w:color w:val="auto"/>
              </w:rPr>
            </w:pPr>
          </w:p>
        </w:tc>
        <w:tc>
          <w:tcPr>
            <w:tcW w:w="1460" w:type="dxa"/>
            <w:vAlign w:val="bottom"/>
            <w:tcBorders>
              <w:right w:val="single" w:sz="8" w:color="CFF0FC"/>
            </w:tcBorders>
            <w:gridSpan w:val="4"/>
            <w:shd w:val="clear" w:color="auto" w:fill="CFF0FC"/>
          </w:tcPr>
          <w:p>
            <w:pPr>
              <w:jc w:val="right"/>
              <w:ind w:right="280"/>
              <w:spacing w:after="0"/>
              <w:rPr>
                <w:sz w:val="20"/>
                <w:szCs w:val="20"/>
                <w:color w:val="auto"/>
              </w:rPr>
            </w:pPr>
            <w:r>
              <w:rPr>
                <w:rFonts w:ascii="Arial" w:cs="Arial" w:eastAsia="Arial" w:hAnsi="Arial"/>
                <w:sz w:val="17"/>
                <w:szCs w:val="17"/>
                <w:color w:val="auto"/>
              </w:rPr>
              <w:t>1.4%</w:t>
            </w:r>
          </w:p>
        </w:tc>
        <w:tc>
          <w:tcPr>
            <w:tcW w:w="1360" w:type="dxa"/>
            <w:vAlign w:val="bottom"/>
            <w:tcBorders>
              <w:right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(4.1)%</w:t>
            </w:r>
          </w:p>
        </w:tc>
        <w:tc>
          <w:tcPr>
            <w:tcW w:w="2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9,898</w:t>
            </w:r>
          </w:p>
        </w:tc>
        <w:tc>
          <w:tcPr>
            <w:tcW w:w="20" w:type="dxa"/>
            <w:vAlign w:val="bottom"/>
            <w:shd w:val="clear" w:color="auto" w:fill="CFF0FC"/>
          </w:tcPr>
          <w:p>
            <w:pPr>
              <w:spacing w:after="0"/>
              <w:rPr>
                <w:sz w:val="19"/>
                <w:szCs w:val="19"/>
                <w:color w:val="auto"/>
              </w:rPr>
            </w:pPr>
          </w:p>
        </w:tc>
        <w:tc>
          <w:tcPr>
            <w:tcW w:w="260" w:type="dxa"/>
            <w:vAlign w:val="bottom"/>
            <w:tcBorders>
              <w:right w:val="single" w:sz="8" w:color="CFF0FC"/>
            </w:tcBorders>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144.6%</w:t>
            </w:r>
          </w:p>
        </w:tc>
        <w:tc>
          <w:tcPr>
            <w:tcW w:w="0" w:type="dxa"/>
            <w:vAlign w:val="bottom"/>
          </w:tcPr>
          <w:p>
            <w:pPr>
              <w:spacing w:after="0"/>
              <w:rPr>
                <w:sz w:val="1"/>
                <w:szCs w:val="1"/>
                <w:color w:val="auto"/>
              </w:rPr>
            </w:pPr>
          </w:p>
        </w:tc>
      </w:tr>
      <w:tr>
        <w:trPr>
          <w:trHeight w:val="20"/>
        </w:trPr>
        <w:tc>
          <w:tcPr>
            <w:tcW w:w="3320" w:type="dxa"/>
            <w:vAlign w:val="bottom"/>
            <w:gridSpan w:val="2"/>
            <w:vMerge w:val="restart"/>
          </w:tcPr>
          <w:p>
            <w:pPr>
              <w:ind w:left="260"/>
              <w:spacing w:after="0"/>
              <w:rPr>
                <w:sz w:val="20"/>
                <w:szCs w:val="20"/>
                <w:color w:val="auto"/>
              </w:rPr>
            </w:pPr>
            <w:r>
              <w:rPr>
                <w:rFonts w:ascii="Arial" w:cs="Arial" w:eastAsia="Arial" w:hAnsi="Arial"/>
                <w:sz w:val="17"/>
                <w:szCs w:val="17"/>
                <w:color w:val="auto"/>
              </w:rPr>
              <w:t>Net income (loss)</w:t>
            </w:r>
          </w:p>
        </w:tc>
        <w:tc>
          <w:tcPr>
            <w:tcW w:w="200" w:type="dxa"/>
            <w:vAlign w:val="bottom"/>
            <w:vMerge w:val="restart"/>
          </w:tcPr>
          <w:p>
            <w:pPr>
              <w:spacing w:after="0" w:line="20" w:lineRule="exact"/>
              <w:rPr>
                <w:sz w:val="1"/>
                <w:szCs w:val="1"/>
                <w:color w:val="auto"/>
              </w:rPr>
            </w:pPr>
          </w:p>
        </w:tc>
        <w:tc>
          <w:tcPr>
            <w:tcW w:w="260" w:type="dxa"/>
            <w:vAlign w:val="bottom"/>
            <w:tcBorders>
              <w:left w:val="single" w:sz="8" w:color="auto"/>
            </w:tcBorders>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right w:val="single" w:sz="8" w:color="auto"/>
            </w:tcBorders>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80" w:type="dxa"/>
            <w:vAlign w:val="bottom"/>
            <w:tcBorders>
              <w:right w:val="single" w:sz="8" w:color="auto"/>
            </w:tcBorders>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80" w:type="dxa"/>
            <w:vAlign w:val="bottom"/>
            <w:gridSpan w:val="2"/>
            <w:vMerge w:val="restart"/>
          </w:tcPr>
          <w:p>
            <w:pPr>
              <w:jc w:val="right"/>
              <w:ind w:right="80"/>
              <w:spacing w:after="0"/>
              <w:rPr>
                <w:sz w:val="20"/>
                <w:szCs w:val="20"/>
                <w:color w:val="auto"/>
              </w:rPr>
            </w:pPr>
            <w:r>
              <w:rPr>
                <w:rFonts w:ascii="Arial" w:cs="Arial" w:eastAsia="Arial" w:hAnsi="Arial"/>
                <w:sz w:val="17"/>
                <w:szCs w:val="17"/>
                <w:color w:val="auto"/>
              </w:rPr>
              <w:t>123.8%</w:t>
            </w:r>
          </w:p>
        </w:tc>
        <w:tc>
          <w:tcPr>
            <w:tcW w:w="0" w:type="dxa"/>
            <w:vAlign w:val="bottom"/>
          </w:tcPr>
          <w:p>
            <w:pPr>
              <w:spacing w:after="0" w:line="20" w:lineRule="exact"/>
              <w:rPr>
                <w:sz w:val="1"/>
                <w:szCs w:val="1"/>
                <w:color w:val="auto"/>
              </w:rPr>
            </w:pPr>
          </w:p>
        </w:tc>
      </w:tr>
      <w:tr>
        <w:trPr>
          <w:trHeight w:val="210"/>
        </w:trPr>
        <w:tc>
          <w:tcPr>
            <w:tcW w:w="3320" w:type="dxa"/>
            <w:vAlign w:val="bottom"/>
            <w:gridSpan w:val="2"/>
            <w:vMerge w:val="continue"/>
          </w:tcPr>
          <w:p>
            <w:pPr>
              <w:spacing w:after="0"/>
              <w:rPr>
                <w:sz w:val="18"/>
                <w:szCs w:val="18"/>
                <w:color w:val="auto"/>
              </w:rPr>
            </w:pPr>
          </w:p>
        </w:tc>
        <w:tc>
          <w:tcPr>
            <w:tcW w:w="200" w:type="dxa"/>
            <w:vAlign w:val="bottom"/>
            <w:vMerge w:val="continue"/>
          </w:tcPr>
          <w:p>
            <w:pPr>
              <w:spacing w:after="0"/>
              <w:rPr>
                <w:sz w:val="18"/>
                <w:szCs w:val="18"/>
                <w:color w:val="auto"/>
              </w:rPr>
            </w:pPr>
          </w:p>
        </w:tc>
        <w:tc>
          <w:tcPr>
            <w:tcW w:w="260" w:type="dxa"/>
            <w:vAlign w:val="bottom"/>
          </w:tcPr>
          <w:p>
            <w:pPr>
              <w:jc w:val="right"/>
              <w:ind w:right="100"/>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6,411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gridSpan w:val="2"/>
          </w:tcPr>
          <w:p>
            <w:pPr>
              <w:jc w:val="right"/>
              <w:ind w:right="90"/>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(26,953)</w:t>
            </w:r>
          </w:p>
        </w:tc>
        <w:tc>
          <w:tcPr>
            <w:tcW w:w="100" w:type="dxa"/>
            <w:vAlign w:val="bottom"/>
            <w:vMerge w:val="continue"/>
          </w:tcPr>
          <w:p>
            <w:pPr>
              <w:spacing w:after="0"/>
              <w:rPr>
                <w:sz w:val="18"/>
                <w:szCs w:val="18"/>
                <w:color w:val="auto"/>
              </w:rPr>
            </w:pPr>
          </w:p>
        </w:tc>
        <w:tc>
          <w:tcPr>
            <w:tcW w:w="160" w:type="dxa"/>
            <w:vAlign w:val="bottom"/>
            <w:vMerge w:val="continue"/>
          </w:tcPr>
          <w:p>
            <w:pPr>
              <w:spacing w:after="0"/>
              <w:rPr>
                <w:sz w:val="18"/>
                <w:szCs w:val="18"/>
                <w:color w:val="auto"/>
              </w:rPr>
            </w:pPr>
          </w:p>
        </w:tc>
        <w:tc>
          <w:tcPr>
            <w:tcW w:w="1460" w:type="dxa"/>
            <w:vAlign w:val="bottom"/>
            <w:gridSpan w:val="4"/>
          </w:tcPr>
          <w:p>
            <w:pPr>
              <w:jc w:val="right"/>
              <w:ind w:right="280"/>
              <w:spacing w:after="0"/>
              <w:rPr>
                <w:sz w:val="20"/>
                <w:szCs w:val="20"/>
                <w:color w:val="auto"/>
              </w:rPr>
            </w:pPr>
            <w:r>
              <w:rPr>
                <w:rFonts w:ascii="Arial" w:cs="Arial" w:eastAsia="Arial" w:hAnsi="Arial"/>
                <w:sz w:val="17"/>
                <w:szCs w:val="17"/>
                <w:color w:val="auto"/>
              </w:rPr>
              <w:t>3.1%</w:t>
            </w:r>
          </w:p>
        </w:tc>
        <w:tc>
          <w:tcPr>
            <w:tcW w:w="1360" w:type="dxa"/>
            <w:vAlign w:val="bottom"/>
            <w:gridSpan w:val="2"/>
          </w:tcPr>
          <w:p>
            <w:pPr>
              <w:jc w:val="right"/>
              <w:ind w:right="180"/>
              <w:spacing w:after="0"/>
              <w:rPr>
                <w:sz w:val="20"/>
                <w:szCs w:val="20"/>
                <w:color w:val="auto"/>
              </w:rPr>
            </w:pPr>
            <w:r>
              <w:rPr>
                <w:rFonts w:ascii="Arial" w:cs="Arial" w:eastAsia="Arial" w:hAnsi="Arial"/>
                <w:sz w:val="17"/>
                <w:szCs w:val="17"/>
                <w:color w:val="auto"/>
              </w:rPr>
              <w:t>(16.1)%</w:t>
            </w:r>
          </w:p>
        </w:tc>
        <w:tc>
          <w:tcPr>
            <w:tcW w:w="280" w:type="dxa"/>
            <w:vAlign w:val="bottom"/>
          </w:tcPr>
          <w:p>
            <w:pPr>
              <w:jc w:val="right"/>
              <w:ind w:right="158"/>
              <w:spacing w:after="0"/>
              <w:rPr>
                <w:sz w:val="20"/>
                <w:szCs w:val="20"/>
                <w:color w:val="auto"/>
              </w:rPr>
            </w:pPr>
            <w:r>
              <w:rPr>
                <w:rFonts w:ascii="Arial" w:cs="Arial" w:eastAsia="Arial" w:hAnsi="Arial"/>
                <w:sz w:val="10"/>
                <w:szCs w:val="10"/>
                <w:color w:val="auto"/>
                <w:w w:val="71"/>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33,364</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100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5"/>
          </w:tcPr>
          <w:p>
            <w:pPr>
              <w:jc w:val="right"/>
              <w:ind w:right="640"/>
              <w:spacing w:after="0"/>
              <w:rPr>
                <w:sz w:val="20"/>
                <w:szCs w:val="20"/>
                <w:color w:val="auto"/>
              </w:rPr>
            </w:pPr>
            <w:r>
              <w:rPr>
                <w:rFonts w:ascii="Arial" w:cs="Arial" w:eastAsia="Arial" w:hAnsi="Arial"/>
                <w:sz w:val="14"/>
                <w:szCs w:val="14"/>
                <w:b w:val="1"/>
                <w:bCs w:val="1"/>
                <w:color w:val="auto"/>
              </w:rPr>
              <w:t>Six Months Ended June 30,</w:t>
            </w:r>
          </w:p>
        </w:tc>
        <w:tc>
          <w:tcPr>
            <w:tcW w:w="2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100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720" w:type="dxa"/>
            <w:vAlign w:val="bottom"/>
            <w:gridSpan w:val="5"/>
            <w:vMerge w:val="restart"/>
          </w:tcPr>
          <w:p>
            <w:pPr>
              <w:jc w:val="right"/>
              <w:ind w:right="820"/>
              <w:spacing w:after="0"/>
              <w:rPr>
                <w:sz w:val="20"/>
                <w:szCs w:val="20"/>
                <w:color w:val="auto"/>
              </w:rPr>
            </w:pPr>
            <w:r>
              <w:rPr>
                <w:rFonts w:ascii="Arial" w:cs="Arial" w:eastAsia="Arial" w:hAnsi="Arial"/>
                <w:sz w:val="14"/>
                <w:szCs w:val="14"/>
                <w:b w:val="1"/>
                <w:bCs w:val="1"/>
                <w:color w:val="auto"/>
              </w:rPr>
              <w:t>Percentage of Revenue</w:t>
            </w:r>
          </w:p>
        </w:tc>
        <w:tc>
          <w:tcPr>
            <w:tcW w:w="280" w:type="dxa"/>
            <w:vAlign w:val="bottom"/>
          </w:tcPr>
          <w:p>
            <w:pPr>
              <w:spacing w:after="0"/>
              <w:rPr>
                <w:sz w:val="11"/>
                <w:szCs w:val="11"/>
                <w:color w:val="auto"/>
              </w:rPr>
            </w:pPr>
          </w:p>
        </w:tc>
        <w:tc>
          <w:tcPr>
            <w:tcW w:w="2060" w:type="dxa"/>
            <w:vAlign w:val="bottom"/>
            <w:gridSpan w:val="5"/>
          </w:tcPr>
          <w:p>
            <w:pPr>
              <w:jc w:val="center"/>
              <w:ind w:right="196"/>
              <w:spacing w:after="0" w:line="133" w:lineRule="exact"/>
              <w:rPr>
                <w:sz w:val="20"/>
                <w:szCs w:val="20"/>
                <w:color w:val="auto"/>
              </w:rPr>
            </w:pPr>
            <w:r>
              <w:rPr>
                <w:rFonts w:ascii="Arial" w:cs="Arial" w:eastAsia="Arial" w:hAnsi="Arial"/>
                <w:sz w:val="14"/>
                <w:szCs w:val="14"/>
                <w:b w:val="1"/>
                <w:bCs w:val="1"/>
                <w:color w:val="auto"/>
                <w:w w:val="89"/>
              </w:rPr>
              <w:t>Increase (Decrease)</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1000" w:type="dxa"/>
            <w:vAlign w:val="bottom"/>
            <w:vMerge w:val="restart"/>
          </w:tcPr>
          <w:p>
            <w:pPr>
              <w:spacing w:after="0"/>
              <w:rPr>
                <w:sz w:val="20"/>
                <w:szCs w:val="20"/>
                <w:color w:val="auto"/>
              </w:rPr>
            </w:pPr>
            <w:r>
              <w:rPr>
                <w:rFonts w:ascii="Arial" w:cs="Arial" w:eastAsia="Arial" w:hAnsi="Arial"/>
                <w:sz w:val="14"/>
                <w:szCs w:val="14"/>
                <w:b w:val="1"/>
                <w:bCs w:val="1"/>
                <w:u w:val="single" w:color="auto"/>
                <w:color w:val="auto"/>
                <w:w w:val="90"/>
              </w:rPr>
              <w:t>(</w:t>
            </w:r>
            <w:r>
              <w:rPr>
                <w:rFonts w:ascii="Arial" w:cs="Arial" w:eastAsia="Arial" w:hAnsi="Arial"/>
                <w:sz w:val="14"/>
                <w:szCs w:val="14"/>
                <w:b w:val="1"/>
                <w:bCs w:val="1"/>
                <w:color w:val="auto"/>
                <w:w w:val="90"/>
              </w:rPr>
              <w:t>$ in thousands)</w:t>
            </w:r>
          </w:p>
        </w:tc>
        <w:tc>
          <w:tcPr>
            <w:tcW w:w="2320" w:type="dxa"/>
            <w:vAlign w:val="bottom"/>
            <w:vMerge w:val="restart"/>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vMerge w:val="restart"/>
          </w:tcPr>
          <w:p>
            <w:pPr>
              <w:jc w:val="right"/>
              <w:ind w:right="216"/>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vMerge w:val="restart"/>
          </w:tcPr>
          <w:p>
            <w:pPr>
              <w:jc w:val="right"/>
              <w:ind w:right="196"/>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720" w:type="dxa"/>
            <w:vAlign w:val="bottom"/>
            <w:gridSpan w:val="5"/>
            <w:vMerge w:val="continue"/>
          </w:tcPr>
          <w:p>
            <w:pPr>
              <w:spacing w:after="0"/>
              <w:rPr>
                <w:sz w:val="14"/>
                <w:szCs w:val="14"/>
                <w:color w:val="auto"/>
              </w:rPr>
            </w:pPr>
          </w:p>
        </w:tc>
        <w:tc>
          <w:tcPr>
            <w:tcW w:w="280" w:type="dxa"/>
            <w:vAlign w:val="bottom"/>
          </w:tcPr>
          <w:p>
            <w:pPr>
              <w:spacing w:after="0"/>
              <w:rPr>
                <w:sz w:val="14"/>
                <w:szCs w:val="14"/>
                <w:color w:val="auto"/>
              </w:rPr>
            </w:pPr>
          </w:p>
        </w:tc>
        <w:tc>
          <w:tcPr>
            <w:tcW w:w="1360" w:type="dxa"/>
            <w:vAlign w:val="bottom"/>
            <w:gridSpan w:val="4"/>
          </w:tcPr>
          <w:p>
            <w:pPr>
              <w:jc w:val="center"/>
              <w:ind w:left="338"/>
              <w:spacing w:after="0"/>
              <w:rPr>
                <w:sz w:val="20"/>
                <w:szCs w:val="20"/>
                <w:color w:val="auto"/>
              </w:rPr>
            </w:pPr>
            <w:r>
              <w:rPr>
                <w:rFonts w:ascii="Arial" w:cs="Arial" w:eastAsia="Arial" w:hAnsi="Arial"/>
                <w:sz w:val="14"/>
                <w:szCs w:val="14"/>
                <w:b w:val="1"/>
                <w:bCs w:val="1"/>
                <w:color w:val="auto"/>
                <w:w w:val="91"/>
              </w:rPr>
              <w:t>2019 vs 2018</w:t>
            </w: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1000" w:type="dxa"/>
            <w:vAlign w:val="bottom"/>
            <w:tcBorders>
              <w:bottom w:val="single" w:sz="8" w:color="auto"/>
            </w:tcBorders>
            <w:vMerge w:val="continue"/>
          </w:tcPr>
          <w:p>
            <w:pPr>
              <w:spacing w:after="0"/>
              <w:rPr>
                <w:sz w:val="12"/>
                <w:szCs w:val="12"/>
                <w:color w:val="auto"/>
              </w:rPr>
            </w:pPr>
          </w:p>
        </w:tc>
        <w:tc>
          <w:tcPr>
            <w:tcW w:w="23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Borders>
              <w:top w:val="single" w:sz="8" w:color="auto"/>
            </w:tcBorders>
          </w:tcPr>
          <w:p>
            <w:pPr>
              <w:jc w:val="right"/>
              <w:ind w:right="204"/>
              <w:spacing w:after="0" w:line="142"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jc w:val="right"/>
              <w:ind w:right="236"/>
              <w:spacing w:after="0" w:line="142" w:lineRule="exact"/>
              <w:rPr>
                <w:sz w:val="20"/>
                <w:szCs w:val="20"/>
                <w:color w:val="auto"/>
              </w:rPr>
            </w:pPr>
            <w:r>
              <w:rPr>
                <w:rFonts w:ascii="Arial" w:cs="Arial" w:eastAsia="Arial" w:hAnsi="Arial"/>
                <w:sz w:val="14"/>
                <w:szCs w:val="14"/>
                <w:b w:val="1"/>
                <w:bCs w:val="1"/>
                <w:color w:val="auto"/>
              </w:rPr>
              <w:t>2018</w:t>
            </w:r>
          </w:p>
        </w:tc>
        <w:tc>
          <w:tcPr>
            <w:tcW w:w="38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ind w:right="378"/>
              <w:spacing w:after="0" w:line="142" w:lineRule="exact"/>
              <w:rPr>
                <w:sz w:val="20"/>
                <w:szCs w:val="20"/>
                <w:color w:val="auto"/>
              </w:rPr>
            </w:pPr>
            <w:r>
              <w:rPr>
                <w:rFonts w:ascii="Arial" w:cs="Arial" w:eastAsia="Arial" w:hAnsi="Arial"/>
                <w:sz w:val="14"/>
                <w:szCs w:val="14"/>
                <w:b w:val="1"/>
                <w:bCs w:val="1"/>
                <w:color w:val="auto"/>
              </w:rPr>
              <w:t>$</w:t>
            </w:r>
          </w:p>
        </w:tc>
        <w:tc>
          <w:tcPr>
            <w:tcW w:w="2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376"/>
              <w:spacing w:after="0" w:line="142"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320" w:type="dxa"/>
            <w:vAlign w:val="bottom"/>
            <w:gridSpan w:val="2"/>
            <w:vMerge w:val="restart"/>
            <w:shd w:val="clear" w:color="auto" w:fill="CFF0FC"/>
          </w:tcPr>
          <w:p>
            <w:pPr>
              <w:spacing w:after="0"/>
              <w:rPr>
                <w:sz w:val="20"/>
                <w:szCs w:val="20"/>
                <w:color w:val="auto"/>
              </w:rPr>
            </w:pPr>
            <w:r>
              <w:rPr>
                <w:rFonts w:ascii="Arial" w:cs="Arial" w:eastAsia="Arial" w:hAnsi="Arial"/>
                <w:sz w:val="18"/>
                <w:szCs w:val="18"/>
                <w:color w:val="auto"/>
              </w:rPr>
              <w:t>Adjusted EBITDA</w:t>
            </w:r>
            <w:r>
              <w:rPr>
                <w:rFonts w:ascii="Arial" w:cs="Arial" w:eastAsia="Arial" w:hAnsi="Arial"/>
                <w:sz w:val="15"/>
                <w:szCs w:val="15"/>
                <w:color w:val="auto"/>
              </w:rPr>
              <w:t>(1)</w:t>
            </w:r>
          </w:p>
        </w:tc>
        <w:tc>
          <w:tcPr>
            <w:tcW w:w="200" w:type="dxa"/>
            <w:vAlign w:val="bottom"/>
            <w:vMerge w:val="restart"/>
            <w:shd w:val="clear" w:color="auto" w:fill="CFF0FC"/>
          </w:tcPr>
          <w:p>
            <w:pPr>
              <w:spacing w:after="0" w:line="20" w:lineRule="exact"/>
              <w:rPr>
                <w:sz w:val="1"/>
                <w:szCs w:val="1"/>
                <w:color w:val="auto"/>
              </w:rPr>
            </w:pPr>
          </w:p>
        </w:tc>
        <w:tc>
          <w:tcPr>
            <w:tcW w:w="260" w:type="dxa"/>
            <w:vAlign w:val="bottom"/>
            <w:tcBorders>
              <w:left w:val="single" w:sz="8" w:color="CFF0FC"/>
            </w:tcBorders>
            <w:shd w:val="clear" w:color="auto" w:fill="000000"/>
          </w:tcPr>
          <w:p>
            <w:pPr>
              <w:spacing w:after="0" w:line="20" w:lineRule="exact"/>
              <w:rPr>
                <w:sz w:val="1"/>
                <w:szCs w:val="1"/>
                <w:color w:val="auto"/>
              </w:rPr>
            </w:pPr>
          </w:p>
        </w:tc>
        <w:tc>
          <w:tcPr>
            <w:tcW w:w="840" w:type="dxa"/>
            <w:vAlign w:val="bottom"/>
            <w:gridSpan w:val="2"/>
            <w:shd w:val="clear" w:color="auto" w:fill="000000"/>
          </w:tcPr>
          <w:p>
            <w:pPr>
              <w:spacing w:after="0" w:line="20" w:lineRule="exact"/>
              <w:rPr>
                <w:sz w:val="1"/>
                <w:szCs w:val="1"/>
                <w:color w:val="auto"/>
              </w:rPr>
            </w:pPr>
          </w:p>
        </w:tc>
        <w:tc>
          <w:tcPr>
            <w:tcW w:w="180" w:type="dxa"/>
            <w:vAlign w:val="bottom"/>
            <w:vMerge w:val="restart"/>
            <w:shd w:val="clear" w:color="auto" w:fill="CFF0FC"/>
          </w:tcPr>
          <w:p>
            <w:pPr>
              <w:spacing w:after="0" w:line="20" w:lineRule="exact"/>
              <w:rPr>
                <w:sz w:val="1"/>
                <w:szCs w:val="1"/>
                <w:color w:val="auto"/>
              </w:rPr>
            </w:pPr>
          </w:p>
        </w:tc>
        <w:tc>
          <w:tcPr>
            <w:tcW w:w="80" w:type="dxa"/>
            <w:vAlign w:val="bottom"/>
            <w:vMerge w:val="restart"/>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60" w:type="dxa"/>
            <w:vAlign w:val="bottom"/>
            <w:gridSpan w:val="2"/>
            <w:shd w:val="clear" w:color="auto" w:fill="000000"/>
          </w:tcPr>
          <w:p>
            <w:pPr>
              <w:spacing w:after="0" w:line="20" w:lineRule="exact"/>
              <w:rPr>
                <w:sz w:val="1"/>
                <w:szCs w:val="1"/>
                <w:color w:val="auto"/>
              </w:rPr>
            </w:pPr>
          </w:p>
        </w:tc>
        <w:tc>
          <w:tcPr>
            <w:tcW w:w="160" w:type="dxa"/>
            <w:vAlign w:val="bottom"/>
            <w:vMerge w:val="restart"/>
            <w:shd w:val="clear" w:color="auto" w:fill="CFF0FC"/>
          </w:tcPr>
          <w:p>
            <w:pPr>
              <w:spacing w:after="0" w:line="20" w:lineRule="exact"/>
              <w:rPr>
                <w:sz w:val="1"/>
                <w:szCs w:val="1"/>
                <w:color w:val="auto"/>
              </w:rPr>
            </w:pPr>
          </w:p>
        </w:tc>
        <w:tc>
          <w:tcPr>
            <w:tcW w:w="100" w:type="dxa"/>
            <w:vAlign w:val="bottom"/>
            <w:vMerge w:val="restart"/>
            <w:shd w:val="clear" w:color="auto" w:fill="CFF0FC"/>
          </w:tcPr>
          <w:p>
            <w:pPr>
              <w:spacing w:after="0" w:line="20" w:lineRule="exact"/>
              <w:rPr>
                <w:sz w:val="1"/>
                <w:szCs w:val="1"/>
                <w:color w:val="auto"/>
              </w:rPr>
            </w:pPr>
          </w:p>
        </w:tc>
        <w:tc>
          <w:tcPr>
            <w:tcW w:w="1040" w:type="dxa"/>
            <w:vAlign w:val="bottom"/>
            <w:gridSpan w:val="2"/>
            <w:shd w:val="clear" w:color="auto" w:fill="000000"/>
          </w:tcPr>
          <w:p>
            <w:pPr>
              <w:spacing w:after="0" w:line="20" w:lineRule="exact"/>
              <w:rPr>
                <w:sz w:val="1"/>
                <w:szCs w:val="1"/>
                <w:color w:val="auto"/>
              </w:rPr>
            </w:pPr>
          </w:p>
        </w:tc>
        <w:tc>
          <w:tcPr>
            <w:tcW w:w="320" w:type="dxa"/>
            <w:vAlign w:val="bottom"/>
            <w:tcBorders>
              <w:right w:val="single" w:sz="8" w:color="CFF0FC"/>
            </w:tcBorders>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80" w:type="dxa"/>
            <w:vAlign w:val="bottom"/>
            <w:tcBorders>
              <w:left w:val="single" w:sz="8" w:color="auto"/>
              <w:right w:val="single" w:sz="8" w:color="CFF0FC"/>
            </w:tcBorders>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60" w:type="dxa"/>
            <w:vAlign w:val="bottom"/>
            <w:gridSpan w:val="2"/>
            <w:shd w:val="clear" w:color="auto" w:fill="000000"/>
          </w:tcPr>
          <w:p>
            <w:pPr>
              <w:spacing w:after="0" w:line="20" w:lineRule="exact"/>
              <w:rPr>
                <w:sz w:val="1"/>
                <w:szCs w:val="1"/>
                <w:color w:val="auto"/>
              </w:rPr>
            </w:pPr>
          </w:p>
        </w:tc>
        <w:tc>
          <w:tcPr>
            <w:tcW w:w="260" w:type="dxa"/>
            <w:vAlign w:val="bottom"/>
            <w:tcBorders>
              <w:right w:val="single" w:sz="8" w:color="CFF0FC"/>
            </w:tcBorders>
            <w:vMerge w:val="restart"/>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0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320" w:type="dxa"/>
            <w:vAlign w:val="bottom"/>
            <w:gridSpan w:val="2"/>
            <w:vMerge w:val="continue"/>
            <w:shd w:val="clear" w:color="auto" w:fill="CFF0FC"/>
          </w:tcPr>
          <w:p>
            <w:pPr>
              <w:spacing w:after="0"/>
              <w:rPr>
                <w:sz w:val="18"/>
                <w:szCs w:val="18"/>
                <w:color w:val="auto"/>
              </w:rPr>
            </w:pPr>
          </w:p>
        </w:tc>
        <w:tc>
          <w:tcPr>
            <w:tcW w:w="200" w:type="dxa"/>
            <w:vAlign w:val="bottom"/>
            <w:vMerge w:val="continue"/>
            <w:shd w:val="clear" w:color="auto" w:fill="CFF0FC"/>
          </w:tcPr>
          <w:p>
            <w:pPr>
              <w:spacing w:after="0"/>
              <w:rPr>
                <w:sz w:val="18"/>
                <w:szCs w:val="18"/>
                <w:color w:val="auto"/>
              </w:rPr>
            </w:pPr>
          </w:p>
        </w:tc>
        <w:tc>
          <w:tcPr>
            <w:tcW w:w="260" w:type="dxa"/>
            <w:vAlign w:val="bottom"/>
            <w:tcBorders>
              <w:left w:val="single" w:sz="8" w:color="CFF0FC"/>
            </w:tcBorders>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110,946</w:t>
            </w:r>
          </w:p>
        </w:tc>
        <w:tc>
          <w:tcPr>
            <w:tcW w:w="180" w:type="dxa"/>
            <w:vAlign w:val="bottom"/>
            <w:vMerge w:val="continue"/>
            <w:shd w:val="clear" w:color="auto" w:fill="CFF0FC"/>
          </w:tcPr>
          <w:p>
            <w:pPr>
              <w:spacing w:after="0"/>
              <w:rPr>
                <w:sz w:val="18"/>
                <w:szCs w:val="18"/>
                <w:color w:val="auto"/>
              </w:rPr>
            </w:pPr>
          </w:p>
        </w:tc>
        <w:tc>
          <w:tcPr>
            <w:tcW w:w="80" w:type="dxa"/>
            <w:vAlign w:val="bottom"/>
            <w:vMerge w:val="continue"/>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88,380</w:t>
            </w:r>
          </w:p>
        </w:tc>
        <w:tc>
          <w:tcPr>
            <w:tcW w:w="160" w:type="dxa"/>
            <w:vAlign w:val="bottom"/>
            <w:vMerge w:val="continue"/>
            <w:shd w:val="clear" w:color="auto" w:fill="CFF0FC"/>
          </w:tcPr>
          <w:p>
            <w:pPr>
              <w:spacing w:after="0"/>
              <w:rPr>
                <w:sz w:val="18"/>
                <w:szCs w:val="18"/>
                <w:color w:val="auto"/>
              </w:rPr>
            </w:pPr>
          </w:p>
        </w:tc>
        <w:tc>
          <w:tcPr>
            <w:tcW w:w="100" w:type="dxa"/>
            <w:vAlign w:val="bottom"/>
            <w:vMerge w:val="continue"/>
            <w:shd w:val="clear" w:color="auto" w:fill="CFF0FC"/>
          </w:tcPr>
          <w:p>
            <w:pPr>
              <w:spacing w:after="0"/>
              <w:rPr>
                <w:sz w:val="18"/>
                <w:szCs w:val="18"/>
                <w:color w:val="auto"/>
              </w:rPr>
            </w:pPr>
          </w:p>
        </w:tc>
        <w:tc>
          <w:tcPr>
            <w:tcW w:w="1360" w:type="dxa"/>
            <w:vAlign w:val="bottom"/>
            <w:tcBorders>
              <w:right w:val="single" w:sz="8" w:color="CFF0FC"/>
            </w:tcBorders>
            <w:gridSpan w:val="3"/>
            <w:shd w:val="clear" w:color="auto" w:fill="CFF0FC"/>
          </w:tcPr>
          <w:p>
            <w:pPr>
              <w:jc w:val="right"/>
              <w:ind w:right="180"/>
              <w:spacing w:after="0"/>
              <w:rPr>
                <w:sz w:val="20"/>
                <w:szCs w:val="20"/>
                <w:color w:val="auto"/>
              </w:rPr>
            </w:pPr>
            <w:r>
              <w:rPr>
                <w:rFonts w:ascii="Arial" w:cs="Arial" w:eastAsia="Arial" w:hAnsi="Arial"/>
                <w:sz w:val="18"/>
                <w:szCs w:val="18"/>
                <w:color w:val="auto"/>
              </w:rPr>
              <w:t>53.3%</w:t>
            </w:r>
          </w:p>
        </w:tc>
        <w:tc>
          <w:tcPr>
            <w:tcW w:w="1360" w:type="dxa"/>
            <w:vAlign w:val="bottom"/>
            <w:tcBorders>
              <w:right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52.8%</w:t>
            </w:r>
          </w:p>
        </w:tc>
        <w:tc>
          <w:tcPr>
            <w:tcW w:w="280" w:type="dxa"/>
            <w:vAlign w:val="bottom"/>
            <w:shd w:val="clear" w:color="auto" w:fill="CFF0FC"/>
          </w:tcPr>
          <w:p>
            <w:pPr>
              <w:jc w:val="right"/>
              <w:ind w:right="118"/>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w w:val="87"/>
              </w:rPr>
              <w:t>22,566</w:t>
            </w:r>
          </w:p>
        </w:tc>
        <w:tc>
          <w:tcPr>
            <w:tcW w:w="260" w:type="dxa"/>
            <w:vAlign w:val="bottom"/>
            <w:tcBorders>
              <w:right w:val="single" w:sz="8" w:color="CFF0FC"/>
            </w:tcBorders>
            <w:vMerge w:val="continue"/>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25.5%</w:t>
            </w:r>
          </w:p>
        </w:tc>
        <w:tc>
          <w:tcPr>
            <w:tcW w:w="0" w:type="dxa"/>
            <w:vAlign w:val="bottom"/>
          </w:tcPr>
          <w:p>
            <w:pPr>
              <w:spacing w:after="0"/>
              <w:rPr>
                <w:sz w:val="1"/>
                <w:szCs w:val="1"/>
                <w:color w:val="auto"/>
              </w:rPr>
            </w:pPr>
          </w:p>
        </w:tc>
      </w:tr>
    </w:tbl>
    <w:p>
      <w:pPr>
        <w:spacing w:after="0" w:line="224" w:lineRule="exact"/>
        <w:rPr>
          <w:sz w:val="20"/>
          <w:szCs w:val="20"/>
          <w:color w:val="auto"/>
        </w:rPr>
      </w:pPr>
    </w:p>
    <w:p>
      <w:pPr>
        <w:ind w:left="960" w:hanging="547"/>
        <w:spacing w:after="0" w:line="253" w:lineRule="auto"/>
        <w:tabs>
          <w:tab w:leader="none" w:pos="960" w:val="left"/>
        </w:tabs>
        <w:numPr>
          <w:ilvl w:val="0"/>
          <w:numId w:val="24"/>
        </w:numPr>
        <w:rPr>
          <w:rFonts w:ascii="Arial" w:cs="Arial" w:eastAsia="Arial" w:hAnsi="Arial"/>
          <w:sz w:val="14"/>
          <w:szCs w:val="14"/>
          <w:color w:val="auto"/>
        </w:rPr>
      </w:pPr>
      <w:r>
        <w:rPr>
          <w:rFonts w:ascii="Arial" w:cs="Arial" w:eastAsia="Arial" w:hAnsi="Arial"/>
          <w:sz w:val="14"/>
          <w:szCs w:val="14"/>
          <w:color w:val="auto"/>
        </w:rPr>
        <w:t>Adjusted EBITDA is a non-GAAP measure. Refer to the section entitled Non-GAAP Financial Data for a reconciliation of Adjusted EBITDA to net income (loss), the most directly comparable GAAP measure, as well as a discussion of why management believes this information is useful to investors and its limitations.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37" w:name="page38"/>
    <w:bookmarkEnd w:id="3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90" w:lineRule="exact"/>
        <w:rPr>
          <w:sz w:val="20"/>
          <w:szCs w:val="20"/>
          <w:color w:val="auto"/>
        </w:rPr>
      </w:pPr>
    </w:p>
    <w:p>
      <w:pPr>
        <w:jc w:val="both"/>
        <w:ind w:firstLine="815"/>
        <w:spacing w:after="0" w:line="264" w:lineRule="auto"/>
        <w:rPr>
          <w:sz w:val="20"/>
          <w:szCs w:val="20"/>
          <w:color w:val="auto"/>
        </w:rPr>
      </w:pPr>
      <w:r>
        <w:rPr>
          <w:rFonts w:ascii="Arial" w:cs="Arial" w:eastAsia="Arial" w:hAnsi="Arial"/>
          <w:sz w:val="18"/>
          <w:szCs w:val="18"/>
          <w:i w:val="1"/>
          <w:iCs w:val="1"/>
          <w:color w:val="auto"/>
        </w:rPr>
        <w:t xml:space="preserve">Service Revenue. </w:t>
      </w:r>
      <w:r>
        <w:rPr>
          <w:rFonts w:ascii="Arial" w:cs="Arial" w:eastAsia="Arial" w:hAnsi="Arial"/>
          <w:sz w:val="18"/>
          <w:szCs w:val="18"/>
          <w:color w:val="auto"/>
        </w:rPr>
        <w:t>Service revenue increased by $35.1 million, or 21.1%, to $201.1 million for the six months ended June 30, 2019 from</w:t>
      </w:r>
      <w:r>
        <w:rPr>
          <w:rFonts w:ascii="Arial" w:cs="Arial" w:eastAsia="Arial" w:hAnsi="Arial"/>
          <w:sz w:val="18"/>
          <w:szCs w:val="18"/>
          <w:i w:val="1"/>
          <w:iCs w:val="1"/>
          <w:color w:val="auto"/>
        </w:rPr>
        <w:t xml:space="preserve"> </w:t>
      </w:r>
      <w:r>
        <w:rPr>
          <w:rFonts w:ascii="Arial" w:cs="Arial" w:eastAsia="Arial" w:hAnsi="Arial"/>
          <w:sz w:val="18"/>
          <w:szCs w:val="18"/>
          <w:color w:val="auto"/>
        </w:rPr>
        <w:t>$166.1 million for the six months ended June 30, 2018, representing 96.7% and 99.2% of total revenue, respectively. The following table depicts service revenue by segment:</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0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4"/>
          </w:tcPr>
          <w:p>
            <w:pPr>
              <w:ind w:left="400"/>
              <w:spacing w:after="0"/>
              <w:rPr>
                <w:sz w:val="20"/>
                <w:szCs w:val="20"/>
                <w:color w:val="auto"/>
              </w:rPr>
            </w:pPr>
            <w:r>
              <w:rPr>
                <w:rFonts w:ascii="Arial" w:cs="Arial" w:eastAsia="Arial" w:hAnsi="Arial"/>
                <w:sz w:val="14"/>
                <w:szCs w:val="14"/>
                <w:b w:val="1"/>
                <w:bCs w:val="1"/>
                <w:color w:val="auto"/>
                <w:w w:val="91"/>
              </w:rPr>
              <w:t>Six Months Ended June 30,</w:t>
            </w:r>
          </w:p>
        </w:tc>
        <w:tc>
          <w:tcPr>
            <w:tcW w:w="3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00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80" w:type="dxa"/>
            <w:vAlign w:val="bottom"/>
            <w:gridSpan w:val="4"/>
            <w:vMerge w:val="restart"/>
          </w:tcPr>
          <w:p>
            <w:pPr>
              <w:ind w:left="500"/>
              <w:spacing w:after="0"/>
              <w:rPr>
                <w:sz w:val="20"/>
                <w:szCs w:val="20"/>
                <w:color w:val="auto"/>
              </w:rPr>
            </w:pPr>
            <w:r>
              <w:rPr>
                <w:rFonts w:ascii="Arial" w:cs="Arial" w:eastAsia="Arial" w:hAnsi="Arial"/>
                <w:sz w:val="14"/>
                <w:szCs w:val="14"/>
                <w:b w:val="1"/>
                <w:bCs w:val="1"/>
                <w:color w:val="auto"/>
              </w:rPr>
              <w:t>Percentage of Revenue</w:t>
            </w: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60" w:type="dxa"/>
            <w:vAlign w:val="bottom"/>
            <w:gridSpan w:val="4"/>
          </w:tcPr>
          <w:p>
            <w:pPr>
              <w:jc w:val="center"/>
              <w:ind w:right="214"/>
              <w:spacing w:after="0" w:line="133" w:lineRule="exact"/>
              <w:rPr>
                <w:sz w:val="20"/>
                <w:szCs w:val="20"/>
                <w:color w:val="auto"/>
              </w:rPr>
            </w:pPr>
            <w:r>
              <w:rPr>
                <w:rFonts w:ascii="Arial" w:cs="Arial" w:eastAsia="Arial" w:hAnsi="Arial"/>
                <w:sz w:val="14"/>
                <w:szCs w:val="14"/>
                <w:b w:val="1"/>
                <w:bCs w:val="1"/>
                <w:color w:val="auto"/>
                <w:w w:val="90"/>
              </w:rPr>
              <w:t>Increase (Decrease)</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1000" w:type="dxa"/>
            <w:vAlign w:val="bottom"/>
            <w:vMerge w:val="restart"/>
          </w:tcPr>
          <w:p>
            <w:pPr>
              <w:spacing w:after="0"/>
              <w:rPr>
                <w:sz w:val="20"/>
                <w:szCs w:val="20"/>
                <w:color w:val="auto"/>
              </w:rPr>
            </w:pPr>
            <w:r>
              <w:rPr>
                <w:rFonts w:ascii="Arial" w:cs="Arial" w:eastAsia="Arial" w:hAnsi="Arial"/>
                <w:sz w:val="14"/>
                <w:szCs w:val="14"/>
                <w:b w:val="1"/>
                <w:bCs w:val="1"/>
                <w:u w:val="single" w:color="auto"/>
                <w:color w:val="auto"/>
                <w:w w:val="90"/>
              </w:rPr>
              <w:t>(</w:t>
            </w:r>
            <w:r>
              <w:rPr>
                <w:rFonts w:ascii="Arial" w:cs="Arial" w:eastAsia="Arial" w:hAnsi="Arial"/>
                <w:sz w:val="14"/>
                <w:szCs w:val="14"/>
                <w:b w:val="1"/>
                <w:bCs w:val="1"/>
                <w:color w:val="auto"/>
                <w:w w:val="90"/>
              </w:rPr>
              <w:t>$ in thousands)</w:t>
            </w:r>
          </w:p>
        </w:tc>
        <w:tc>
          <w:tcPr>
            <w:tcW w:w="2540" w:type="dxa"/>
            <w:vAlign w:val="bottom"/>
            <w:vMerge w:val="restart"/>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vMerge w:val="restart"/>
          </w:tcPr>
          <w:p>
            <w:pPr>
              <w:jc w:val="right"/>
              <w:ind w:right="294"/>
              <w:spacing w:after="0"/>
              <w:rPr>
                <w:sz w:val="20"/>
                <w:szCs w:val="20"/>
                <w:color w:val="auto"/>
              </w:rPr>
            </w:pPr>
            <w:r>
              <w:rPr>
                <w:rFonts w:ascii="Arial" w:cs="Arial" w:eastAsia="Arial" w:hAnsi="Arial"/>
                <w:sz w:val="14"/>
                <w:szCs w:val="14"/>
                <w:b w:val="1"/>
                <w:bCs w:val="1"/>
                <w:color w:val="auto"/>
              </w:rPr>
              <w:t>2019</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vMerge w:val="restart"/>
          </w:tcPr>
          <w:p>
            <w:pPr>
              <w:jc w:val="right"/>
              <w:ind w:right="294"/>
              <w:spacing w:after="0"/>
              <w:rPr>
                <w:sz w:val="20"/>
                <w:szCs w:val="20"/>
                <w:color w:val="auto"/>
              </w:rPr>
            </w:pPr>
            <w:r>
              <w:rPr>
                <w:rFonts w:ascii="Arial" w:cs="Arial" w:eastAsia="Arial" w:hAnsi="Arial"/>
                <w:sz w:val="14"/>
                <w:szCs w:val="14"/>
                <w:b w:val="1"/>
                <w:bCs w:val="1"/>
                <w:color w:val="auto"/>
              </w:rPr>
              <w:t>2018</w:t>
            </w:r>
          </w:p>
        </w:tc>
        <w:tc>
          <w:tcPr>
            <w:tcW w:w="260" w:type="dxa"/>
            <w:vAlign w:val="bottom"/>
          </w:tcPr>
          <w:p>
            <w:pPr>
              <w:spacing w:after="0"/>
              <w:rPr>
                <w:sz w:val="14"/>
                <w:szCs w:val="14"/>
                <w:color w:val="auto"/>
              </w:rPr>
            </w:pPr>
          </w:p>
        </w:tc>
        <w:tc>
          <w:tcPr>
            <w:tcW w:w="2080" w:type="dxa"/>
            <w:vAlign w:val="bottom"/>
            <w:tcBorders>
              <w:bottom w:val="single" w:sz="8" w:color="auto"/>
            </w:tcBorders>
            <w:gridSpan w:val="4"/>
            <w:vMerge w:val="continue"/>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jc w:val="center"/>
              <w:ind w:left="299"/>
              <w:spacing w:after="0"/>
              <w:rPr>
                <w:sz w:val="20"/>
                <w:szCs w:val="20"/>
                <w:color w:val="auto"/>
              </w:rPr>
            </w:pPr>
            <w:r>
              <w:rPr>
                <w:rFonts w:ascii="Arial" w:cs="Arial" w:eastAsia="Arial" w:hAnsi="Arial"/>
                <w:sz w:val="14"/>
                <w:szCs w:val="14"/>
                <w:b w:val="1"/>
                <w:bCs w:val="1"/>
                <w:color w:val="auto"/>
                <w:w w:val="91"/>
              </w:rPr>
              <w:t>2019 vs 2018</w:t>
            </w:r>
          </w:p>
        </w:tc>
        <w:tc>
          <w:tcPr>
            <w:tcW w:w="7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000" w:type="dxa"/>
            <w:vAlign w:val="bottom"/>
            <w:tcBorders>
              <w:bottom w:val="single" w:sz="8" w:color="auto"/>
            </w:tcBorders>
            <w:vMerge w:val="continue"/>
          </w:tcPr>
          <w:p>
            <w:pPr>
              <w:spacing w:after="0"/>
              <w:rPr>
                <w:sz w:val="14"/>
                <w:szCs w:val="14"/>
                <w:color w:val="auto"/>
              </w:rPr>
            </w:pPr>
          </w:p>
        </w:tc>
        <w:tc>
          <w:tcPr>
            <w:tcW w:w="25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ind w:left="380"/>
              <w:spacing w:after="0" w:line="142" w:lineRule="exact"/>
              <w:rPr>
                <w:sz w:val="20"/>
                <w:szCs w:val="20"/>
                <w:color w:val="auto"/>
              </w:rPr>
            </w:pPr>
            <w:r>
              <w:rPr>
                <w:rFonts w:ascii="Arial" w:cs="Arial" w:eastAsia="Arial" w:hAnsi="Arial"/>
                <w:sz w:val="14"/>
                <w:szCs w:val="14"/>
                <w:b w:val="1"/>
                <w:bCs w:val="1"/>
                <w:color w:val="auto"/>
                <w:w w:val="96"/>
              </w:rPr>
              <w:t>2019</w:t>
            </w:r>
          </w:p>
        </w:tc>
        <w:tc>
          <w:tcPr>
            <w:tcW w:w="1380" w:type="dxa"/>
            <w:vAlign w:val="bottom"/>
            <w:gridSpan w:val="3"/>
          </w:tcPr>
          <w:p>
            <w:pPr>
              <w:jc w:val="right"/>
              <w:ind w:right="60"/>
              <w:spacing w:after="0" w:line="142" w:lineRule="exact"/>
              <w:rPr>
                <w:sz w:val="20"/>
                <w:szCs w:val="20"/>
                <w:color w:val="auto"/>
              </w:rPr>
            </w:pPr>
            <w:r>
              <w:rPr>
                <w:rFonts w:ascii="Arial" w:cs="Arial" w:eastAsia="Arial" w:hAnsi="Arial"/>
                <w:sz w:val="14"/>
                <w:szCs w:val="14"/>
                <w:b w:val="1"/>
                <w:bCs w:val="1"/>
                <w:color w:val="auto"/>
              </w:rPr>
              <w:t>2018</w:t>
            </w: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jc w:val="right"/>
              <w:ind w:right="419"/>
              <w:spacing w:after="0" w:line="142"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jc w:val="right"/>
              <w:ind w:right="374"/>
              <w:spacing w:after="0" w:line="142"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354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b w:val="1"/>
                <w:bCs w:val="1"/>
                <w:color w:val="auto"/>
              </w:rPr>
              <w:t>Service Revenue</w:t>
            </w:r>
          </w:p>
        </w:tc>
        <w:tc>
          <w:tcPr>
            <w:tcW w:w="22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320" w:type="dxa"/>
            <w:vAlign w:val="bottom"/>
            <w:tcBorders>
              <w:top w:val="single" w:sz="8" w:color="CFF0FC"/>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34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40" w:type="dxa"/>
            <w:vAlign w:val="bottom"/>
            <w:gridSpan w:val="2"/>
          </w:tcPr>
          <w:p>
            <w:pPr>
              <w:ind w:left="260"/>
              <w:spacing w:after="0"/>
              <w:rPr>
                <w:sz w:val="20"/>
                <w:szCs w:val="20"/>
                <w:color w:val="auto"/>
              </w:rPr>
            </w:pPr>
            <w:r>
              <w:rPr>
                <w:rFonts w:ascii="Arial" w:cs="Arial" w:eastAsia="Arial" w:hAnsi="Arial"/>
                <w:sz w:val="18"/>
                <w:szCs w:val="18"/>
                <w:color w:val="auto"/>
              </w:rPr>
              <w:t>Commercial Services</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130,679</w:t>
            </w:r>
          </w:p>
        </w:tc>
        <w:tc>
          <w:tcPr>
            <w:tcW w:w="4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92,218</w:t>
            </w: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w w:val="93"/>
              </w:rPr>
              <w:t>62.8%</w:t>
            </w:r>
          </w:p>
        </w:tc>
        <w:tc>
          <w:tcPr>
            <w:tcW w:w="720" w:type="dxa"/>
            <w:vAlign w:val="bottom"/>
          </w:tcPr>
          <w:p>
            <w:pPr>
              <w:spacing w:after="0"/>
              <w:rPr>
                <w:sz w:val="19"/>
                <w:szCs w:val="19"/>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w w:val="90"/>
              </w:rPr>
              <w:t>55.1%</w:t>
            </w: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38,461</w:t>
            </w: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41.7%</w:t>
            </w:r>
          </w:p>
        </w:tc>
        <w:tc>
          <w:tcPr>
            <w:tcW w:w="0" w:type="dxa"/>
            <w:vAlign w:val="bottom"/>
          </w:tcPr>
          <w:p>
            <w:pPr>
              <w:spacing w:after="0"/>
              <w:rPr>
                <w:sz w:val="1"/>
                <w:szCs w:val="1"/>
                <w:color w:val="auto"/>
              </w:rPr>
            </w:pPr>
          </w:p>
        </w:tc>
      </w:tr>
      <w:tr>
        <w:trPr>
          <w:trHeight w:val="230"/>
        </w:trPr>
        <w:tc>
          <w:tcPr>
            <w:tcW w:w="35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Government Solutions</w:t>
            </w: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70,448</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73,832</w:t>
            </w:r>
          </w:p>
        </w:tc>
        <w:tc>
          <w:tcPr>
            <w:tcW w:w="2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w w:val="93"/>
              </w:rPr>
              <w:t>33.9%</w:t>
            </w:r>
          </w:p>
        </w:tc>
        <w:tc>
          <w:tcPr>
            <w:tcW w:w="72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w w:val="90"/>
              </w:rPr>
              <w:t>44.1%</w:t>
            </w:r>
          </w:p>
        </w:tc>
        <w:tc>
          <w:tcPr>
            <w:tcW w:w="28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(3,384)</w:t>
            </w:r>
          </w:p>
        </w:tc>
        <w:tc>
          <w:tcPr>
            <w:tcW w:w="3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0"/>
        </w:trPr>
        <w:tc>
          <w:tcPr>
            <w:tcW w:w="3540" w:type="dxa"/>
            <w:vAlign w:val="bottom"/>
            <w:gridSpan w:val="2"/>
            <w:vMerge w:val="restart"/>
          </w:tcPr>
          <w:p>
            <w:pPr>
              <w:spacing w:after="0"/>
              <w:rPr>
                <w:sz w:val="20"/>
                <w:szCs w:val="20"/>
                <w:color w:val="auto"/>
              </w:rPr>
            </w:pPr>
            <w:r>
              <w:rPr>
                <w:rFonts w:ascii="Arial" w:cs="Arial" w:eastAsia="Arial" w:hAnsi="Arial"/>
                <w:sz w:val="18"/>
                <w:szCs w:val="18"/>
                <w:color w:val="auto"/>
              </w:rPr>
              <w:t>Total Service Revenue</w:t>
            </w: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21.1%</w:t>
            </w:r>
          </w:p>
        </w:tc>
        <w:tc>
          <w:tcPr>
            <w:tcW w:w="0" w:type="dxa"/>
            <w:vAlign w:val="bottom"/>
          </w:tcPr>
          <w:p>
            <w:pPr>
              <w:spacing w:after="0" w:line="20" w:lineRule="exact"/>
              <w:rPr>
                <w:sz w:val="1"/>
                <w:szCs w:val="1"/>
                <w:color w:val="auto"/>
              </w:rPr>
            </w:pPr>
          </w:p>
        </w:tc>
      </w:tr>
      <w:tr>
        <w:trPr>
          <w:trHeight w:val="223"/>
        </w:trPr>
        <w:tc>
          <w:tcPr>
            <w:tcW w:w="3540" w:type="dxa"/>
            <w:vAlign w:val="bottom"/>
            <w:gridSpan w:val="2"/>
            <w:vMerge w:val="continue"/>
          </w:tcPr>
          <w:p>
            <w:pPr>
              <w:spacing w:after="0"/>
              <w:rPr>
                <w:sz w:val="19"/>
                <w:szCs w:val="19"/>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201,127</w:t>
            </w:r>
          </w:p>
        </w:tc>
        <w:tc>
          <w:tcPr>
            <w:tcW w:w="240" w:type="dxa"/>
            <w:vAlign w:val="bottom"/>
            <w:vMerge w:val="continue"/>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166,050</w:t>
            </w: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w w:val="93"/>
              </w:rPr>
              <w:t>96.7%</w:t>
            </w:r>
          </w:p>
        </w:tc>
        <w:tc>
          <w:tcPr>
            <w:tcW w:w="720" w:type="dxa"/>
            <w:vAlign w:val="bottom"/>
          </w:tcPr>
          <w:p>
            <w:pPr>
              <w:spacing w:after="0"/>
              <w:rPr>
                <w:sz w:val="19"/>
                <w:szCs w:val="19"/>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w w:val="90"/>
              </w:rPr>
              <w:t>99.2%</w:t>
            </w: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35,077</w:t>
            </w: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firstLine="815"/>
        <w:spacing w:after="0" w:line="257" w:lineRule="auto"/>
        <w:rPr>
          <w:sz w:val="20"/>
          <w:szCs w:val="20"/>
          <w:color w:val="auto"/>
        </w:rPr>
      </w:pPr>
      <w:r>
        <w:rPr>
          <w:rFonts w:ascii="Arial" w:cs="Arial" w:eastAsia="Arial" w:hAnsi="Arial"/>
          <w:sz w:val="18"/>
          <w:szCs w:val="18"/>
          <w:color w:val="auto"/>
        </w:rPr>
        <w:t>Commercial Services service revenue includes toll and violation management revenues from commercial fleet and rental car companies. Service revenue increased by $38.5 million, or 41.7%, from $92.2 million for the six months ended June 30, 2018 to $130.7 million for the six months ended June 30, 2019. We acquired HTA, a toll and violation processor, on March 1, 2018, and EPC, a European violations processor, on April 6, 2018. These acquisitions contributed $21.6 million to year over year service revenue growth. The remaining increase was mainly due to a $16.0 million increase resulting from improved volumes in both billable days and tolls processed across our tolling products.</w:t>
      </w:r>
    </w:p>
    <w:p>
      <w:pPr>
        <w:spacing w:after="0" w:line="161" w:lineRule="exact"/>
        <w:rPr>
          <w:sz w:val="20"/>
          <w:szCs w:val="20"/>
          <w:color w:val="auto"/>
        </w:rPr>
      </w:pPr>
    </w:p>
    <w:p>
      <w:pPr>
        <w:jc w:val="both"/>
        <w:ind w:firstLine="815"/>
        <w:spacing w:after="0" w:line="270" w:lineRule="auto"/>
        <w:rPr>
          <w:sz w:val="20"/>
          <w:szCs w:val="20"/>
          <w:color w:val="auto"/>
        </w:rPr>
      </w:pPr>
      <w:r>
        <w:rPr>
          <w:rFonts w:ascii="Arial" w:cs="Arial" w:eastAsia="Arial" w:hAnsi="Arial"/>
          <w:sz w:val="17"/>
          <w:szCs w:val="17"/>
          <w:color w:val="auto"/>
        </w:rPr>
        <w:t>Government Solutions service revenue includes revenue from red-light, speed, school bus arm and bus lane photo enforcement systems. Service revenue decreased by $3.4 million, or 4.6%, to $70.4 million for the six months ended June 30, 2019 from $73.8 million for the six months ended June 30, 2018. Our red-light photo enforcement service revenue declined $4.0 million year over year. This was primarily due to a $1.5 million decline from the loss of our Miami program and $0.7 million due to the loss of Texas programs on June 1, 2019 due to a legislative change that banned most red-light photo enforcement programs in the state. The loss of most of our red-light programs in Texas will negatively impact service revenue for the next four quarters. The remaining decline results from lower price per system in variable contracts. Pricing of red-light photo enforcement programs can be impacted by timing of transaction volume in our variable contracts as well as the pricing of contract renewals. These declines were offset by speed program revenue, which grew approximately $2.4 million due to increases in the total number of camera systems installed and higher average pricing. We believe that school zone speed programs will continue to be a growth product in fiscal 2019.</w:t>
      </w:r>
    </w:p>
    <w:p>
      <w:pPr>
        <w:spacing w:after="0" w:line="141" w:lineRule="exact"/>
        <w:rPr>
          <w:sz w:val="20"/>
          <w:szCs w:val="20"/>
          <w:color w:val="auto"/>
        </w:rPr>
      </w:pPr>
    </w:p>
    <w:p>
      <w:pPr>
        <w:jc w:val="both"/>
        <w:ind w:firstLine="815"/>
        <w:spacing w:after="0" w:line="273" w:lineRule="auto"/>
        <w:rPr>
          <w:sz w:val="20"/>
          <w:szCs w:val="20"/>
          <w:color w:val="auto"/>
        </w:rPr>
      </w:pPr>
      <w:r>
        <w:rPr>
          <w:rFonts w:ascii="Arial" w:cs="Arial" w:eastAsia="Arial" w:hAnsi="Arial"/>
          <w:sz w:val="17"/>
          <w:szCs w:val="17"/>
          <w:color w:val="auto"/>
        </w:rPr>
        <w:t>Our previous reporting of installed camera systems included systems connected to suspended programs or spare systems at client locations. We re-evaluated our metric during the first quarter of 2019, and are reporting only installed camera systems that are generating revenue, as we believe this is a more meaningful presentation. There were an average of 4,620 camera systems installed during the six months ended June 30, 2019 compared to an average of 4,232 for the same period in 2018. The increase in camera systems was primarily due to new installations of school bus arm systems and to a lesser extent the expansion of speed enforcement systems with existing customers. This increase was partially offset by a decline in red-light photo enforcement systems primarily due to the loss of Miami and Texas programs noted above.</w:t>
      </w:r>
    </w:p>
    <w:p>
      <w:pPr>
        <w:spacing w:after="0" w:line="138" w:lineRule="exact"/>
        <w:rPr>
          <w:sz w:val="20"/>
          <w:szCs w:val="20"/>
          <w:color w:val="auto"/>
        </w:rPr>
      </w:pPr>
    </w:p>
    <w:p>
      <w:pPr>
        <w:jc w:val="both"/>
        <w:ind w:firstLine="815"/>
        <w:spacing w:after="0" w:line="259" w:lineRule="auto"/>
        <w:rPr>
          <w:sz w:val="20"/>
          <w:szCs w:val="20"/>
          <w:color w:val="auto"/>
        </w:rPr>
      </w:pPr>
      <w:r>
        <w:rPr>
          <w:rFonts w:ascii="Arial" w:cs="Arial" w:eastAsia="Arial" w:hAnsi="Arial"/>
          <w:sz w:val="18"/>
          <w:szCs w:val="18"/>
          <w:i w:val="1"/>
          <w:iCs w:val="1"/>
          <w:color w:val="auto"/>
        </w:rPr>
        <w:t xml:space="preserve">Product Sales. </w:t>
      </w:r>
      <w:r>
        <w:rPr>
          <w:rFonts w:ascii="Arial" w:cs="Arial" w:eastAsia="Arial" w:hAnsi="Arial"/>
          <w:sz w:val="18"/>
          <w:szCs w:val="18"/>
          <w:color w:val="auto"/>
        </w:rPr>
        <w:t>Product sales include revenue generated from Government Solutions customers who purchased their equipment. Product sales</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increased by $5.5 million, from $1.4 million for the six months ended June 30, 2018 to $6.9 million for the same period in 2019. The increase is primarily driven by sales to a single customer who is in the process of expanding their existing school zone speed program. We anticipate continued growth in product sales for the remainder of 2019.</w:t>
      </w:r>
    </w:p>
    <w:p>
      <w:pPr>
        <w:spacing w:after="0" w:line="160" w:lineRule="exact"/>
        <w:rPr>
          <w:sz w:val="20"/>
          <w:szCs w:val="20"/>
          <w:color w:val="auto"/>
        </w:rPr>
      </w:pPr>
    </w:p>
    <w:p>
      <w:pPr>
        <w:jc w:val="both"/>
        <w:ind w:firstLine="815"/>
        <w:spacing w:after="0" w:line="264" w:lineRule="auto"/>
        <w:rPr>
          <w:sz w:val="20"/>
          <w:szCs w:val="20"/>
          <w:color w:val="auto"/>
        </w:rPr>
      </w:pPr>
      <w:r>
        <w:rPr>
          <w:rFonts w:ascii="Arial" w:cs="Arial" w:eastAsia="Arial" w:hAnsi="Arial"/>
          <w:sz w:val="18"/>
          <w:szCs w:val="18"/>
          <w:i w:val="1"/>
          <w:iCs w:val="1"/>
          <w:color w:val="auto"/>
        </w:rPr>
        <w:t xml:space="preserve">Cost of Service Revenue. </w:t>
      </w:r>
      <w:r>
        <w:rPr>
          <w:rFonts w:ascii="Arial" w:cs="Arial" w:eastAsia="Arial" w:hAnsi="Arial"/>
          <w:sz w:val="18"/>
          <w:szCs w:val="18"/>
          <w:color w:val="auto"/>
        </w:rPr>
        <w:t>Cost of service revenue increased by $0.5 million, to $3.0 million for the six months ended June 30, 2019 from</w:t>
      </w:r>
      <w:r>
        <w:rPr>
          <w:rFonts w:ascii="Arial" w:cs="Arial" w:eastAsia="Arial" w:hAnsi="Arial"/>
          <w:sz w:val="18"/>
          <w:szCs w:val="18"/>
          <w:i w:val="1"/>
          <w:iCs w:val="1"/>
          <w:color w:val="auto"/>
        </w:rPr>
        <w:t xml:space="preserve"> </w:t>
      </w:r>
      <w:r>
        <w:rPr>
          <w:rFonts w:ascii="Arial" w:cs="Arial" w:eastAsia="Arial" w:hAnsi="Arial"/>
          <w:sz w:val="18"/>
          <w:szCs w:val="18"/>
          <w:color w:val="auto"/>
        </w:rPr>
        <w:t>$2.5 million for the six months ended June 30, 2018. The increase is primarily due to the inclusion of EPC operations for the entire period in the six months ended June 30, 2019 compared to only three months in the prior period.</w:t>
      </w:r>
    </w:p>
    <w:p>
      <w:pPr>
        <w:spacing w:after="0" w:line="141" w:lineRule="exact"/>
        <w:rPr>
          <w:sz w:val="20"/>
          <w:szCs w:val="20"/>
          <w:color w:val="auto"/>
        </w:rPr>
      </w:pPr>
    </w:p>
    <w:p>
      <w:pPr>
        <w:jc w:val="both"/>
        <w:ind w:firstLine="815"/>
        <w:spacing w:after="0" w:line="277" w:lineRule="auto"/>
        <w:rPr>
          <w:sz w:val="20"/>
          <w:szCs w:val="20"/>
          <w:color w:val="auto"/>
        </w:rPr>
      </w:pPr>
      <w:r>
        <w:rPr>
          <w:rFonts w:ascii="Arial" w:cs="Arial" w:eastAsia="Arial" w:hAnsi="Arial"/>
          <w:sz w:val="18"/>
          <w:szCs w:val="18"/>
          <w:i w:val="1"/>
          <w:iCs w:val="1"/>
          <w:color w:val="auto"/>
        </w:rPr>
        <w:t xml:space="preserve">Cost of Product Sales. </w:t>
      </w:r>
      <w:r>
        <w:rPr>
          <w:rFonts w:ascii="Arial" w:cs="Arial" w:eastAsia="Arial" w:hAnsi="Arial"/>
          <w:sz w:val="18"/>
          <w:szCs w:val="18"/>
          <w:color w:val="auto"/>
        </w:rPr>
        <w:t>Cost of product sales increased by $2.1 million from $1.1 million in the six months ended June 30, 2018 to $3.2 million in</w:t>
      </w:r>
      <w:r>
        <w:rPr>
          <w:rFonts w:ascii="Arial" w:cs="Arial" w:eastAsia="Arial" w:hAnsi="Arial"/>
          <w:sz w:val="18"/>
          <w:szCs w:val="18"/>
          <w:i w:val="1"/>
          <w:iCs w:val="1"/>
          <w:color w:val="auto"/>
        </w:rPr>
        <w:t xml:space="preserve"> </w:t>
      </w:r>
      <w:r>
        <w:rPr>
          <w:rFonts w:ascii="Arial" w:cs="Arial" w:eastAsia="Arial" w:hAnsi="Arial"/>
          <w:sz w:val="18"/>
          <w:szCs w:val="18"/>
          <w:color w:val="auto"/>
        </w:rPr>
        <w:t>the same period in 2019, and was consistent with the change in product sales.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38" w:name="page39"/>
    <w:bookmarkEnd w:id="3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90" w:lineRule="exact"/>
        <w:rPr>
          <w:sz w:val="20"/>
          <w:szCs w:val="20"/>
          <w:color w:val="auto"/>
        </w:rPr>
      </w:pPr>
    </w:p>
    <w:p>
      <w:pPr>
        <w:jc w:val="both"/>
        <w:ind w:firstLine="815"/>
        <w:spacing w:after="0" w:line="276" w:lineRule="auto"/>
        <w:rPr>
          <w:sz w:val="20"/>
          <w:szCs w:val="20"/>
          <w:color w:val="auto"/>
        </w:rPr>
      </w:pPr>
      <w:r>
        <w:rPr>
          <w:rFonts w:ascii="Arial" w:cs="Arial" w:eastAsia="Arial" w:hAnsi="Arial"/>
          <w:sz w:val="17"/>
          <w:szCs w:val="17"/>
          <w:i w:val="1"/>
          <w:iCs w:val="1"/>
          <w:color w:val="auto"/>
        </w:rPr>
        <w:t xml:space="preserve">Operating Expenses. </w:t>
      </w:r>
      <w:r>
        <w:rPr>
          <w:rFonts w:ascii="Arial" w:cs="Arial" w:eastAsia="Arial" w:hAnsi="Arial"/>
          <w:sz w:val="17"/>
          <w:szCs w:val="17"/>
          <w:color w:val="auto"/>
        </w:rPr>
        <w:t>Operating expenses increased by $8.7 million, or 16.5 %, from $52.5 million for the six months ended June 30, 2018 to</w:t>
      </w:r>
      <w:r>
        <w:rPr>
          <w:rFonts w:ascii="Arial" w:cs="Arial" w:eastAsia="Arial" w:hAnsi="Arial"/>
          <w:sz w:val="17"/>
          <w:szCs w:val="17"/>
          <w:i w:val="1"/>
          <w:iCs w:val="1"/>
          <w:color w:val="auto"/>
        </w:rPr>
        <w:t xml:space="preserve"> </w:t>
      </w:r>
      <w:r>
        <w:rPr>
          <w:rFonts w:ascii="Arial" w:cs="Arial" w:eastAsia="Arial" w:hAnsi="Arial"/>
          <w:sz w:val="17"/>
          <w:szCs w:val="17"/>
          <w:color w:val="auto"/>
        </w:rPr>
        <w:t>$61.1 million for the six months ended June 30, 2019. The increase is primarily due to the inclusion of HTA and EPC operations for the entire six month period ended June 30, 2019 compared to four months of expenses for HTA and three months for EPC during the six months ended June 30, 2018. Operating expenses as a percentage of revenue decreased from 31.3% to 29.4% for the six months ended June 30, 2018 and 2019, respectively, reflecting management's focus on operational efficiency. Operating expenses by segment appear in the table below:</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0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480" w:type="dxa"/>
            <w:vAlign w:val="bottom"/>
            <w:tcBorders>
              <w:bottom w:val="single" w:sz="8" w:color="auto"/>
            </w:tcBorders>
            <w:gridSpan w:val="4"/>
          </w:tcPr>
          <w:p>
            <w:pPr>
              <w:jc w:val="right"/>
              <w:ind w:right="520"/>
              <w:spacing w:after="0"/>
              <w:rPr>
                <w:sz w:val="20"/>
                <w:szCs w:val="20"/>
                <w:color w:val="auto"/>
              </w:rPr>
            </w:pPr>
            <w:r>
              <w:rPr>
                <w:rFonts w:ascii="Arial" w:cs="Arial" w:eastAsia="Arial" w:hAnsi="Arial"/>
                <w:sz w:val="14"/>
                <w:szCs w:val="14"/>
                <w:b w:val="1"/>
                <w:bCs w:val="1"/>
                <w:color w:val="auto"/>
              </w:rPr>
              <w:t>Six Months Ended June 30,</w:t>
            </w:r>
          </w:p>
        </w:tc>
        <w:tc>
          <w:tcPr>
            <w:tcW w:w="2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000" w:type="dxa"/>
            <w:vAlign w:val="bottom"/>
          </w:tcPr>
          <w:p>
            <w:pPr>
              <w:spacing w:after="0"/>
              <w:rPr>
                <w:sz w:val="11"/>
                <w:szCs w:val="11"/>
                <w:color w:val="auto"/>
              </w:rPr>
            </w:pPr>
          </w:p>
        </w:tc>
        <w:tc>
          <w:tcPr>
            <w:tcW w:w="2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80" w:type="dxa"/>
            <w:vAlign w:val="bottom"/>
            <w:gridSpan w:val="4"/>
            <w:vMerge w:val="restart"/>
          </w:tcPr>
          <w:p>
            <w:pPr>
              <w:jc w:val="right"/>
              <w:ind w:right="700"/>
              <w:spacing w:after="0"/>
              <w:rPr>
                <w:sz w:val="20"/>
                <w:szCs w:val="20"/>
                <w:color w:val="auto"/>
              </w:rPr>
            </w:pPr>
            <w:r>
              <w:rPr>
                <w:rFonts w:ascii="Arial" w:cs="Arial" w:eastAsia="Arial" w:hAnsi="Arial"/>
                <w:sz w:val="14"/>
                <w:szCs w:val="14"/>
                <w:b w:val="1"/>
                <w:bCs w:val="1"/>
                <w:color w:val="auto"/>
              </w:rPr>
              <w:t>Percentage of Revenue</w:t>
            </w:r>
          </w:p>
        </w:tc>
        <w:tc>
          <w:tcPr>
            <w:tcW w:w="260" w:type="dxa"/>
            <w:vAlign w:val="bottom"/>
          </w:tcPr>
          <w:p>
            <w:pPr>
              <w:spacing w:after="0"/>
              <w:rPr>
                <w:sz w:val="11"/>
                <w:szCs w:val="11"/>
                <w:color w:val="auto"/>
              </w:rPr>
            </w:pPr>
          </w:p>
        </w:tc>
        <w:tc>
          <w:tcPr>
            <w:tcW w:w="1860" w:type="dxa"/>
            <w:vAlign w:val="bottom"/>
            <w:gridSpan w:val="4"/>
          </w:tcPr>
          <w:p>
            <w:pPr>
              <w:jc w:val="center"/>
              <w:ind w:right="193"/>
              <w:spacing w:after="0" w:line="133" w:lineRule="exact"/>
              <w:rPr>
                <w:sz w:val="20"/>
                <w:szCs w:val="20"/>
                <w:color w:val="auto"/>
              </w:rPr>
            </w:pPr>
            <w:r>
              <w:rPr>
                <w:rFonts w:ascii="Arial" w:cs="Arial" w:eastAsia="Arial" w:hAnsi="Arial"/>
                <w:sz w:val="14"/>
                <w:szCs w:val="14"/>
                <w:b w:val="1"/>
                <w:bCs w:val="1"/>
                <w:color w:val="auto"/>
                <w:w w:val="89"/>
              </w:rPr>
              <w:t>Increase (Decrease)</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1000" w:type="dxa"/>
            <w:vAlign w:val="bottom"/>
            <w:vMerge w:val="restart"/>
          </w:tcPr>
          <w:p>
            <w:pPr>
              <w:spacing w:after="0"/>
              <w:rPr>
                <w:sz w:val="20"/>
                <w:szCs w:val="20"/>
                <w:color w:val="auto"/>
              </w:rPr>
            </w:pPr>
            <w:r>
              <w:rPr>
                <w:rFonts w:ascii="Arial" w:cs="Arial" w:eastAsia="Arial" w:hAnsi="Arial"/>
                <w:sz w:val="14"/>
                <w:szCs w:val="14"/>
                <w:b w:val="1"/>
                <w:bCs w:val="1"/>
                <w:u w:val="single" w:color="auto"/>
                <w:color w:val="auto"/>
                <w:w w:val="90"/>
              </w:rPr>
              <w:t>(</w:t>
            </w:r>
            <w:r>
              <w:rPr>
                <w:rFonts w:ascii="Arial" w:cs="Arial" w:eastAsia="Arial" w:hAnsi="Arial"/>
                <w:sz w:val="14"/>
                <w:szCs w:val="14"/>
                <w:b w:val="1"/>
                <w:bCs w:val="1"/>
                <w:color w:val="auto"/>
                <w:w w:val="90"/>
              </w:rPr>
              <w:t>$ in thousands)</w:t>
            </w:r>
          </w:p>
        </w:tc>
        <w:tc>
          <w:tcPr>
            <w:tcW w:w="2720" w:type="dxa"/>
            <w:vAlign w:val="bottom"/>
            <w:vMerge w:val="restart"/>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vMerge w:val="restart"/>
          </w:tcPr>
          <w:p>
            <w:pPr>
              <w:jc w:val="right"/>
              <w:ind w:right="233"/>
              <w:spacing w:after="0"/>
              <w:rPr>
                <w:sz w:val="20"/>
                <w:szCs w:val="20"/>
                <w:color w:val="auto"/>
              </w:rPr>
            </w:pPr>
            <w:r>
              <w:rPr>
                <w:rFonts w:ascii="Arial" w:cs="Arial" w:eastAsia="Arial" w:hAnsi="Arial"/>
                <w:sz w:val="14"/>
                <w:szCs w:val="14"/>
                <w:b w:val="1"/>
                <w:bCs w:val="1"/>
                <w:color w:val="auto"/>
              </w:rPr>
              <w:t>2019</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vMerge w:val="restart"/>
          </w:tcPr>
          <w:p>
            <w:pPr>
              <w:jc w:val="right"/>
              <w:ind w:right="253"/>
              <w:spacing w:after="0"/>
              <w:rPr>
                <w:sz w:val="20"/>
                <w:szCs w:val="20"/>
                <w:color w:val="auto"/>
              </w:rPr>
            </w:pPr>
            <w:r>
              <w:rPr>
                <w:rFonts w:ascii="Arial" w:cs="Arial" w:eastAsia="Arial" w:hAnsi="Arial"/>
                <w:sz w:val="14"/>
                <w:szCs w:val="14"/>
                <w:b w:val="1"/>
                <w:bCs w:val="1"/>
                <w:color w:val="auto"/>
              </w:rPr>
              <w:t>2018</w:t>
            </w:r>
          </w:p>
        </w:tc>
        <w:tc>
          <w:tcPr>
            <w:tcW w:w="240" w:type="dxa"/>
            <w:vAlign w:val="bottom"/>
          </w:tcPr>
          <w:p>
            <w:pPr>
              <w:spacing w:after="0"/>
              <w:rPr>
                <w:sz w:val="14"/>
                <w:szCs w:val="14"/>
                <w:color w:val="auto"/>
              </w:rPr>
            </w:pPr>
          </w:p>
        </w:tc>
        <w:tc>
          <w:tcPr>
            <w:tcW w:w="2480" w:type="dxa"/>
            <w:vAlign w:val="bottom"/>
            <w:gridSpan w:val="4"/>
            <w:vMerge w:val="continue"/>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gridSpan w:val="3"/>
          </w:tcPr>
          <w:p>
            <w:pPr>
              <w:jc w:val="center"/>
              <w:ind w:left="257"/>
              <w:spacing w:after="0"/>
              <w:rPr>
                <w:sz w:val="20"/>
                <w:szCs w:val="20"/>
                <w:color w:val="auto"/>
              </w:rPr>
            </w:pPr>
            <w:r>
              <w:rPr>
                <w:rFonts w:ascii="Arial" w:cs="Arial" w:eastAsia="Arial" w:hAnsi="Arial"/>
                <w:sz w:val="14"/>
                <w:szCs w:val="14"/>
                <w:b w:val="1"/>
                <w:bCs w:val="1"/>
                <w:color w:val="auto"/>
                <w:w w:val="91"/>
              </w:rPr>
              <w:t>2019 vs 2018</w:t>
            </w: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000" w:type="dxa"/>
            <w:vAlign w:val="bottom"/>
            <w:tcBorders>
              <w:bottom w:val="single" w:sz="8" w:color="auto"/>
            </w:tcBorders>
            <w:vMerge w:val="continue"/>
          </w:tcPr>
          <w:p>
            <w:pPr>
              <w:spacing w:after="0"/>
              <w:rPr>
                <w:sz w:val="14"/>
                <w:szCs w:val="14"/>
                <w:color w:val="auto"/>
              </w:rPr>
            </w:pPr>
          </w:p>
        </w:tc>
        <w:tc>
          <w:tcPr>
            <w:tcW w:w="2720" w:type="dxa"/>
            <w:vAlign w:val="bottom"/>
            <w:vMerge w:val="continue"/>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Borders>
              <w:top w:val="single" w:sz="8" w:color="auto"/>
            </w:tcBorders>
          </w:tcPr>
          <w:p>
            <w:pPr>
              <w:jc w:val="right"/>
              <w:ind w:right="257"/>
              <w:spacing w:after="0" w:line="142" w:lineRule="exact"/>
              <w:rPr>
                <w:sz w:val="20"/>
                <w:szCs w:val="20"/>
                <w:color w:val="auto"/>
              </w:rPr>
            </w:pPr>
            <w:r>
              <w:rPr>
                <w:rFonts w:ascii="Arial" w:cs="Arial" w:eastAsia="Arial" w:hAnsi="Arial"/>
                <w:sz w:val="14"/>
                <w:szCs w:val="14"/>
                <w:b w:val="1"/>
                <w:bCs w:val="1"/>
                <w:color w:val="auto"/>
              </w:rPr>
              <w:t>2019</w:t>
            </w:r>
          </w:p>
        </w:tc>
        <w:tc>
          <w:tcPr>
            <w:tcW w:w="30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jc w:val="right"/>
              <w:ind w:right="253"/>
              <w:spacing w:after="0" w:line="142" w:lineRule="exact"/>
              <w:rPr>
                <w:sz w:val="20"/>
                <w:szCs w:val="20"/>
                <w:color w:val="auto"/>
              </w:rPr>
            </w:pPr>
            <w:r>
              <w:rPr>
                <w:rFonts w:ascii="Arial" w:cs="Arial" w:eastAsia="Arial" w:hAnsi="Arial"/>
                <w:sz w:val="14"/>
                <w:szCs w:val="14"/>
                <w:b w:val="1"/>
                <w:bCs w:val="1"/>
                <w:color w:val="auto"/>
              </w:rPr>
              <w:t>2018</w:t>
            </w:r>
          </w:p>
        </w:tc>
        <w:tc>
          <w:tcPr>
            <w:tcW w:w="30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jc w:val="right"/>
              <w:ind w:right="357"/>
              <w:spacing w:after="0" w:line="142" w:lineRule="exact"/>
              <w:rPr>
                <w:sz w:val="20"/>
                <w:szCs w:val="20"/>
                <w:color w:val="auto"/>
              </w:rPr>
            </w:pPr>
            <w:r>
              <w:rPr>
                <w:rFonts w:ascii="Arial" w:cs="Arial" w:eastAsia="Arial" w:hAnsi="Arial"/>
                <w:sz w:val="14"/>
                <w:szCs w:val="14"/>
                <w:b w:val="1"/>
                <w:bCs w:val="1"/>
                <w:color w:val="auto"/>
              </w:rPr>
              <w:t>$</w:t>
            </w:r>
          </w:p>
        </w:tc>
        <w:tc>
          <w:tcPr>
            <w:tcW w:w="24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jc w:val="right"/>
              <w:ind w:right="333"/>
              <w:spacing w:after="0" w:line="142"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372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b w:val="1"/>
                <w:bCs w:val="1"/>
                <w:color w:val="auto"/>
              </w:rPr>
              <w:t>Operating Expenses</w:t>
            </w:r>
          </w:p>
        </w:tc>
        <w:tc>
          <w:tcPr>
            <w:tcW w:w="52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300" w:type="dxa"/>
            <w:vAlign w:val="bottom"/>
            <w:tcBorders>
              <w:top w:val="single" w:sz="8" w:color="CFF0FC"/>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30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68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20" w:type="dxa"/>
            <w:vAlign w:val="bottom"/>
            <w:gridSpan w:val="2"/>
          </w:tcPr>
          <w:p>
            <w:pPr>
              <w:ind w:left="260"/>
              <w:spacing w:after="0"/>
              <w:rPr>
                <w:sz w:val="20"/>
                <w:szCs w:val="20"/>
                <w:color w:val="auto"/>
              </w:rPr>
            </w:pPr>
            <w:r>
              <w:rPr>
                <w:rFonts w:ascii="Arial" w:cs="Arial" w:eastAsia="Arial" w:hAnsi="Arial"/>
                <w:sz w:val="18"/>
                <w:szCs w:val="18"/>
                <w:color w:val="auto"/>
              </w:rPr>
              <w:t>Commercial Services</w:t>
            </w:r>
          </w:p>
        </w:tc>
        <w:tc>
          <w:tcPr>
            <w:tcW w:w="7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31,818</w:t>
            </w:r>
          </w:p>
        </w:tc>
        <w:tc>
          <w:tcPr>
            <w:tcW w:w="4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23,630</w:t>
            </w:r>
          </w:p>
        </w:tc>
        <w:tc>
          <w:tcPr>
            <w:tcW w:w="24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15.3%</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14.1%</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8,188</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34.7%</w:t>
            </w:r>
          </w:p>
        </w:tc>
        <w:tc>
          <w:tcPr>
            <w:tcW w:w="0" w:type="dxa"/>
            <w:vAlign w:val="bottom"/>
          </w:tcPr>
          <w:p>
            <w:pPr>
              <w:spacing w:after="0"/>
              <w:rPr>
                <w:sz w:val="1"/>
                <w:szCs w:val="1"/>
                <w:color w:val="auto"/>
              </w:rPr>
            </w:pPr>
          </w:p>
        </w:tc>
      </w:tr>
      <w:tr>
        <w:trPr>
          <w:trHeight w:val="230"/>
        </w:trPr>
        <w:tc>
          <w:tcPr>
            <w:tcW w:w="372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Government Solutions</w:t>
            </w:r>
          </w:p>
        </w:tc>
        <w:tc>
          <w:tcPr>
            <w:tcW w:w="5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28,839</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28,851</w:t>
            </w:r>
          </w:p>
        </w:tc>
        <w:tc>
          <w:tcPr>
            <w:tcW w:w="2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13.9%</w:t>
            </w:r>
          </w:p>
        </w:tc>
        <w:tc>
          <w:tcPr>
            <w:tcW w:w="12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17.2%</w:t>
            </w:r>
          </w:p>
        </w:tc>
        <w:tc>
          <w:tcPr>
            <w:tcW w:w="26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(12)</w:t>
            </w:r>
          </w:p>
        </w:tc>
        <w:tc>
          <w:tcPr>
            <w:tcW w:w="32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09"/>
        </w:trPr>
        <w:tc>
          <w:tcPr>
            <w:tcW w:w="3720" w:type="dxa"/>
            <w:vAlign w:val="bottom"/>
            <w:gridSpan w:val="2"/>
          </w:tcPr>
          <w:p>
            <w:pPr>
              <w:spacing w:after="0"/>
              <w:rPr>
                <w:sz w:val="20"/>
                <w:szCs w:val="20"/>
                <w:color w:val="auto"/>
              </w:rPr>
            </w:pPr>
            <w:r>
              <w:rPr>
                <w:rFonts w:ascii="Arial" w:cs="Arial" w:eastAsia="Arial" w:hAnsi="Arial"/>
                <w:sz w:val="18"/>
                <w:szCs w:val="18"/>
                <w:color w:val="auto"/>
              </w:rPr>
              <w:t>Total operating expenses before stock-based</w:t>
            </w:r>
          </w:p>
        </w:tc>
        <w:tc>
          <w:tcPr>
            <w:tcW w:w="5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20" w:type="dxa"/>
            <w:vAlign w:val="bottom"/>
            <w:gridSpan w:val="2"/>
          </w:tcPr>
          <w:p>
            <w:pPr>
              <w:spacing w:after="0"/>
              <w:rPr>
                <w:sz w:val="20"/>
                <w:szCs w:val="20"/>
                <w:color w:val="auto"/>
              </w:rPr>
            </w:pPr>
            <w:r>
              <w:rPr>
                <w:rFonts w:ascii="Arial" w:cs="Arial" w:eastAsia="Arial" w:hAnsi="Arial"/>
                <w:sz w:val="18"/>
                <w:szCs w:val="18"/>
                <w:color w:val="auto"/>
              </w:rPr>
              <w:t>compensation</w:t>
            </w:r>
          </w:p>
        </w:tc>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60,657</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52,481</w:t>
            </w:r>
          </w:p>
        </w:tc>
        <w:tc>
          <w:tcPr>
            <w:tcW w:w="240" w:type="dxa"/>
            <w:vAlign w:val="bottom"/>
          </w:tcPr>
          <w:p>
            <w:pPr>
              <w:spacing w:after="0"/>
              <w:rPr>
                <w:sz w:val="20"/>
                <w:szCs w:val="20"/>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29.2%</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31.3%</w:t>
            </w:r>
          </w:p>
        </w:tc>
        <w:tc>
          <w:tcPr>
            <w:tcW w:w="2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8,176</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30"/>
        </w:trPr>
        <w:tc>
          <w:tcPr>
            <w:tcW w:w="37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Stock-based compensation</w:t>
            </w:r>
          </w:p>
        </w:tc>
        <w:tc>
          <w:tcPr>
            <w:tcW w:w="5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476</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0.2%</w:t>
            </w:r>
          </w:p>
        </w:tc>
        <w:tc>
          <w:tcPr>
            <w:tcW w:w="124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476</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0"/>
        </w:trPr>
        <w:tc>
          <w:tcPr>
            <w:tcW w:w="3720" w:type="dxa"/>
            <w:vAlign w:val="bottom"/>
            <w:gridSpan w:val="2"/>
            <w:vMerge w:val="restart"/>
          </w:tcPr>
          <w:p>
            <w:pPr>
              <w:spacing w:after="0"/>
              <w:rPr>
                <w:sz w:val="20"/>
                <w:szCs w:val="20"/>
                <w:color w:val="auto"/>
              </w:rPr>
            </w:pPr>
            <w:r>
              <w:rPr>
                <w:rFonts w:ascii="Arial" w:cs="Arial" w:eastAsia="Arial" w:hAnsi="Arial"/>
                <w:sz w:val="18"/>
                <w:szCs w:val="18"/>
                <w:color w:val="auto"/>
              </w:rPr>
              <w:t>Total Operating Expenses</w:t>
            </w:r>
          </w:p>
        </w:tc>
        <w:tc>
          <w:tcPr>
            <w:tcW w:w="520" w:type="dxa"/>
            <w:vAlign w:val="bottom"/>
            <w:vMerge w:val="restart"/>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16.5%</w:t>
            </w:r>
          </w:p>
        </w:tc>
        <w:tc>
          <w:tcPr>
            <w:tcW w:w="0" w:type="dxa"/>
            <w:vAlign w:val="bottom"/>
          </w:tcPr>
          <w:p>
            <w:pPr>
              <w:spacing w:after="0" w:line="20" w:lineRule="exact"/>
              <w:rPr>
                <w:sz w:val="1"/>
                <w:szCs w:val="1"/>
                <w:color w:val="auto"/>
              </w:rPr>
            </w:pPr>
          </w:p>
        </w:tc>
      </w:tr>
      <w:tr>
        <w:trPr>
          <w:trHeight w:val="223"/>
        </w:trPr>
        <w:tc>
          <w:tcPr>
            <w:tcW w:w="3720" w:type="dxa"/>
            <w:vAlign w:val="bottom"/>
            <w:gridSpan w:val="2"/>
            <w:vMerge w:val="continue"/>
          </w:tcPr>
          <w:p>
            <w:pPr>
              <w:spacing w:after="0"/>
              <w:rPr>
                <w:sz w:val="19"/>
                <w:szCs w:val="19"/>
                <w:color w:val="auto"/>
              </w:rPr>
            </w:pPr>
          </w:p>
        </w:tc>
        <w:tc>
          <w:tcPr>
            <w:tcW w:w="520" w:type="dxa"/>
            <w:vAlign w:val="bottom"/>
            <w:vMerge w:val="continue"/>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61,133</w:t>
            </w:r>
          </w:p>
        </w:tc>
        <w:tc>
          <w:tcPr>
            <w:tcW w:w="240" w:type="dxa"/>
            <w:vAlign w:val="bottom"/>
            <w:vMerge w:val="continue"/>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52,481</w:t>
            </w:r>
          </w:p>
        </w:tc>
        <w:tc>
          <w:tcPr>
            <w:tcW w:w="24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29.4%</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31.3%</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8,652</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firstLine="815"/>
        <w:spacing w:after="0" w:line="255" w:lineRule="auto"/>
        <w:rPr>
          <w:sz w:val="20"/>
          <w:szCs w:val="20"/>
          <w:color w:val="auto"/>
        </w:rPr>
      </w:pPr>
      <w:r>
        <w:rPr>
          <w:rFonts w:ascii="Arial" w:cs="Arial" w:eastAsia="Arial" w:hAnsi="Arial"/>
          <w:sz w:val="18"/>
          <w:szCs w:val="18"/>
          <w:i w:val="1"/>
          <w:iCs w:val="1"/>
          <w:color w:val="auto"/>
        </w:rPr>
        <w:t xml:space="preserve">Selling, General and Administrative Expenses. </w:t>
      </w:r>
      <w:r>
        <w:rPr>
          <w:rFonts w:ascii="Arial" w:cs="Arial" w:eastAsia="Arial" w:hAnsi="Arial"/>
          <w:sz w:val="18"/>
          <w:szCs w:val="18"/>
          <w:color w:val="auto"/>
        </w:rPr>
        <w:t>Selling, general and administrative expenses for the six months ended June 30, 2019 decreased by</w:t>
      </w:r>
      <w:r>
        <w:rPr>
          <w:rFonts w:ascii="Arial" w:cs="Arial" w:eastAsia="Arial" w:hAnsi="Arial"/>
          <w:sz w:val="18"/>
          <w:szCs w:val="18"/>
          <w:i w:val="1"/>
          <w:iCs w:val="1"/>
          <w:color w:val="auto"/>
        </w:rPr>
        <w:t xml:space="preserve"> </w:t>
      </w:r>
      <w:r>
        <w:rPr>
          <w:rFonts w:ascii="Arial" w:cs="Arial" w:eastAsia="Arial" w:hAnsi="Arial"/>
          <w:sz w:val="18"/>
          <w:szCs w:val="18"/>
          <w:color w:val="auto"/>
        </w:rPr>
        <w:t>$19.5 million to $41.4 million, compared to $60.9 million for the six months ended June 30, 2018. The decrease was primarily related to expenses in the six months ended June 30, 2018 for which there were no comparable amounts in the current period. During the six months ended June 30, 2018, we incurred $23.9 million of transaction expenses related to the acquisitions of HTA and EPC of which $19.1 million is included in Commercial Services and $4.8 million is included in Corporate, $7.1 million of other non-recurring expenses primarily associated with integration and $2.7 million paid to Advisors under the previous corporate advisory services agreement described above.</w:t>
      </w:r>
    </w:p>
    <w:p>
      <w:pPr>
        <w:spacing w:after="0" w:line="220" w:lineRule="exact"/>
        <w:rPr>
          <w:sz w:val="20"/>
          <w:szCs w:val="20"/>
          <w:color w:val="auto"/>
        </w:rPr>
      </w:pPr>
    </w:p>
    <w:p>
      <w:pPr>
        <w:jc w:val="both"/>
        <w:ind w:firstLine="815"/>
        <w:spacing w:after="0" w:line="308" w:lineRule="auto"/>
        <w:rPr>
          <w:sz w:val="20"/>
          <w:szCs w:val="20"/>
          <w:color w:val="auto"/>
        </w:rPr>
      </w:pPr>
      <w:r>
        <w:rPr>
          <w:rFonts w:ascii="Arial" w:cs="Arial" w:eastAsia="Arial" w:hAnsi="Arial"/>
          <w:sz w:val="17"/>
          <w:szCs w:val="17"/>
          <w:color w:val="auto"/>
        </w:rPr>
        <w:t>Selling, general and administrative expenses as a percentage of revenue decreased from 36.4% to 19.9% for the six months ended June 30, 2018 and 2019, respectively, as a result of items noted above. Selling, general and administrative expenses by segment appear in the table below:</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0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380" w:type="dxa"/>
            <w:vAlign w:val="bottom"/>
            <w:tcBorders>
              <w:bottom w:val="single" w:sz="8" w:color="auto"/>
            </w:tcBorders>
            <w:gridSpan w:val="4"/>
          </w:tcPr>
          <w:p>
            <w:pPr>
              <w:jc w:val="right"/>
              <w:ind w:right="440"/>
              <w:spacing w:after="0"/>
              <w:rPr>
                <w:sz w:val="20"/>
                <w:szCs w:val="20"/>
                <w:color w:val="auto"/>
              </w:rPr>
            </w:pPr>
            <w:r>
              <w:rPr>
                <w:rFonts w:ascii="Arial" w:cs="Arial" w:eastAsia="Arial" w:hAnsi="Arial"/>
                <w:sz w:val="14"/>
                <w:szCs w:val="14"/>
                <w:b w:val="1"/>
                <w:bCs w:val="1"/>
                <w:color w:val="auto"/>
              </w:rPr>
              <w:t>Six Months Ended June 30,</w:t>
            </w:r>
          </w:p>
        </w:tc>
        <w:tc>
          <w:tcPr>
            <w:tcW w:w="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000" w:type="dxa"/>
            <w:vAlign w:val="bottom"/>
          </w:tcPr>
          <w:p>
            <w:pPr>
              <w:spacing w:after="0"/>
              <w:rPr>
                <w:sz w:val="11"/>
                <w:szCs w:val="11"/>
                <w:color w:val="auto"/>
              </w:rPr>
            </w:pPr>
          </w:p>
        </w:tc>
        <w:tc>
          <w:tcPr>
            <w:tcW w:w="30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380" w:type="dxa"/>
            <w:vAlign w:val="bottom"/>
            <w:gridSpan w:val="4"/>
            <w:vMerge w:val="restart"/>
          </w:tcPr>
          <w:p>
            <w:pPr>
              <w:jc w:val="right"/>
              <w:ind w:right="600"/>
              <w:spacing w:after="0"/>
              <w:rPr>
                <w:sz w:val="20"/>
                <w:szCs w:val="20"/>
                <w:color w:val="auto"/>
              </w:rPr>
            </w:pPr>
            <w:r>
              <w:rPr>
                <w:rFonts w:ascii="Arial" w:cs="Arial" w:eastAsia="Arial" w:hAnsi="Arial"/>
                <w:sz w:val="14"/>
                <w:szCs w:val="14"/>
                <w:b w:val="1"/>
                <w:bCs w:val="1"/>
                <w:color w:val="auto"/>
              </w:rPr>
              <w:t>Percentage of Revenue</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80" w:type="dxa"/>
            <w:vAlign w:val="bottom"/>
            <w:gridSpan w:val="4"/>
          </w:tcPr>
          <w:p>
            <w:pPr>
              <w:jc w:val="center"/>
              <w:ind w:right="153"/>
              <w:spacing w:after="0" w:line="133" w:lineRule="exact"/>
              <w:rPr>
                <w:sz w:val="20"/>
                <w:szCs w:val="20"/>
                <w:color w:val="auto"/>
              </w:rPr>
            </w:pPr>
            <w:r>
              <w:rPr>
                <w:rFonts w:ascii="Arial" w:cs="Arial" w:eastAsia="Arial" w:hAnsi="Arial"/>
                <w:sz w:val="14"/>
                <w:szCs w:val="14"/>
                <w:b w:val="1"/>
                <w:bCs w:val="1"/>
                <w:color w:val="auto"/>
                <w:w w:val="90"/>
              </w:rPr>
              <w:t>Increase (Decrease)</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1000" w:type="dxa"/>
            <w:vAlign w:val="bottom"/>
            <w:vMerge w:val="restart"/>
          </w:tcPr>
          <w:p>
            <w:pPr>
              <w:spacing w:after="0"/>
              <w:rPr>
                <w:sz w:val="20"/>
                <w:szCs w:val="20"/>
                <w:color w:val="auto"/>
              </w:rPr>
            </w:pPr>
            <w:r>
              <w:rPr>
                <w:rFonts w:ascii="Arial" w:cs="Arial" w:eastAsia="Arial" w:hAnsi="Arial"/>
                <w:sz w:val="14"/>
                <w:szCs w:val="14"/>
                <w:b w:val="1"/>
                <w:bCs w:val="1"/>
                <w:u w:val="single" w:color="auto"/>
                <w:color w:val="auto"/>
                <w:w w:val="90"/>
              </w:rPr>
              <w:t>(</w:t>
            </w:r>
            <w:r>
              <w:rPr>
                <w:rFonts w:ascii="Arial" w:cs="Arial" w:eastAsia="Arial" w:hAnsi="Arial"/>
                <w:sz w:val="14"/>
                <w:szCs w:val="14"/>
                <w:b w:val="1"/>
                <w:bCs w:val="1"/>
                <w:color w:val="auto"/>
                <w:w w:val="90"/>
              </w:rPr>
              <w:t>$ in thousands)</w:t>
            </w:r>
          </w:p>
        </w:tc>
        <w:tc>
          <w:tcPr>
            <w:tcW w:w="3040" w:type="dxa"/>
            <w:vAlign w:val="bottom"/>
            <w:vMerge w:val="restart"/>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vMerge w:val="restart"/>
          </w:tcPr>
          <w:p>
            <w:pPr>
              <w:jc w:val="right"/>
              <w:ind w:right="233"/>
              <w:spacing w:after="0"/>
              <w:rPr>
                <w:sz w:val="20"/>
                <w:szCs w:val="20"/>
                <w:color w:val="auto"/>
              </w:rPr>
            </w:pPr>
            <w:r>
              <w:rPr>
                <w:rFonts w:ascii="Arial" w:cs="Arial" w:eastAsia="Arial" w:hAnsi="Arial"/>
                <w:sz w:val="14"/>
                <w:szCs w:val="14"/>
                <w:b w:val="1"/>
                <w:bCs w:val="1"/>
                <w:color w:val="auto"/>
              </w:rPr>
              <w:t>2019</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vMerge w:val="restart"/>
          </w:tcPr>
          <w:p>
            <w:pPr>
              <w:jc w:val="right"/>
              <w:ind w:right="233"/>
              <w:spacing w:after="0"/>
              <w:rPr>
                <w:sz w:val="20"/>
                <w:szCs w:val="20"/>
                <w:color w:val="auto"/>
              </w:rPr>
            </w:pPr>
            <w:r>
              <w:rPr>
                <w:rFonts w:ascii="Arial" w:cs="Arial" w:eastAsia="Arial" w:hAnsi="Arial"/>
                <w:sz w:val="14"/>
                <w:szCs w:val="14"/>
                <w:b w:val="1"/>
                <w:bCs w:val="1"/>
                <w:color w:val="auto"/>
              </w:rPr>
              <w:t>2018</w:t>
            </w:r>
          </w:p>
        </w:tc>
        <w:tc>
          <w:tcPr>
            <w:tcW w:w="240" w:type="dxa"/>
            <w:vAlign w:val="bottom"/>
          </w:tcPr>
          <w:p>
            <w:pPr>
              <w:spacing w:after="0"/>
              <w:rPr>
                <w:sz w:val="14"/>
                <w:szCs w:val="14"/>
                <w:color w:val="auto"/>
              </w:rPr>
            </w:pPr>
          </w:p>
        </w:tc>
        <w:tc>
          <w:tcPr>
            <w:tcW w:w="2380" w:type="dxa"/>
            <w:vAlign w:val="bottom"/>
            <w:gridSpan w:val="4"/>
            <w:vMerge w:val="continue"/>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gridSpan w:val="3"/>
          </w:tcPr>
          <w:p>
            <w:pPr>
              <w:jc w:val="center"/>
              <w:ind w:left="276"/>
              <w:spacing w:after="0"/>
              <w:rPr>
                <w:sz w:val="20"/>
                <w:szCs w:val="20"/>
                <w:color w:val="auto"/>
              </w:rPr>
            </w:pPr>
            <w:r>
              <w:rPr>
                <w:rFonts w:ascii="Arial" w:cs="Arial" w:eastAsia="Arial" w:hAnsi="Arial"/>
                <w:sz w:val="14"/>
                <w:szCs w:val="14"/>
                <w:b w:val="1"/>
                <w:bCs w:val="1"/>
                <w:color w:val="auto"/>
                <w:w w:val="91"/>
              </w:rPr>
              <w:t>2019 vs 2018</w:t>
            </w: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000" w:type="dxa"/>
            <w:vAlign w:val="bottom"/>
            <w:tcBorders>
              <w:bottom w:val="single" w:sz="8" w:color="auto"/>
            </w:tcBorders>
            <w:vMerge w:val="continue"/>
          </w:tcPr>
          <w:p>
            <w:pPr>
              <w:spacing w:after="0"/>
              <w:rPr>
                <w:sz w:val="14"/>
                <w:szCs w:val="14"/>
                <w:color w:val="auto"/>
              </w:rPr>
            </w:pPr>
          </w:p>
        </w:tc>
        <w:tc>
          <w:tcPr>
            <w:tcW w:w="304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Borders>
              <w:top w:val="single" w:sz="8" w:color="auto"/>
            </w:tcBorders>
          </w:tcPr>
          <w:p>
            <w:pPr>
              <w:jc w:val="right"/>
              <w:ind w:right="256"/>
              <w:spacing w:after="0" w:line="142" w:lineRule="exact"/>
              <w:rPr>
                <w:sz w:val="20"/>
                <w:szCs w:val="20"/>
                <w:color w:val="auto"/>
              </w:rPr>
            </w:pPr>
            <w:r>
              <w:rPr>
                <w:rFonts w:ascii="Arial" w:cs="Arial" w:eastAsia="Arial" w:hAnsi="Arial"/>
                <w:sz w:val="14"/>
                <w:szCs w:val="14"/>
                <w:b w:val="1"/>
                <w:bCs w:val="1"/>
                <w:color w:val="auto"/>
              </w:rPr>
              <w:t>2019</w:t>
            </w:r>
          </w:p>
        </w:tc>
        <w:tc>
          <w:tcPr>
            <w:tcW w:w="28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jc w:val="right"/>
              <w:ind w:right="336"/>
              <w:spacing w:after="0" w:line="142" w:lineRule="exact"/>
              <w:rPr>
                <w:sz w:val="20"/>
                <w:szCs w:val="20"/>
                <w:color w:val="auto"/>
              </w:rPr>
            </w:pPr>
            <w:r>
              <w:rPr>
                <w:rFonts w:ascii="Arial" w:cs="Arial" w:eastAsia="Arial" w:hAnsi="Arial"/>
                <w:sz w:val="14"/>
                <w:szCs w:val="14"/>
                <w:b w:val="1"/>
                <w:bCs w:val="1"/>
                <w:color w:val="auto"/>
              </w:rPr>
              <w:t>$</w:t>
            </w:r>
          </w:p>
        </w:tc>
        <w:tc>
          <w:tcPr>
            <w:tcW w:w="24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jc w:val="right"/>
              <w:ind w:right="333"/>
              <w:spacing w:after="0" w:line="142"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404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b w:val="1"/>
                <w:bCs w:val="1"/>
                <w:color w:val="auto"/>
              </w:rPr>
              <w:t>Selling, General and Administrative Expenses</w:t>
            </w:r>
          </w:p>
        </w:tc>
        <w:tc>
          <w:tcPr>
            <w:tcW w:w="28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CFF0FC"/>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40" w:type="dxa"/>
            <w:vAlign w:val="bottom"/>
            <w:gridSpan w:val="2"/>
          </w:tcPr>
          <w:p>
            <w:pPr>
              <w:ind w:left="260"/>
              <w:spacing w:after="0"/>
              <w:rPr>
                <w:sz w:val="20"/>
                <w:szCs w:val="20"/>
                <w:color w:val="auto"/>
              </w:rPr>
            </w:pPr>
            <w:r>
              <w:rPr>
                <w:rFonts w:ascii="Arial" w:cs="Arial" w:eastAsia="Arial" w:hAnsi="Arial"/>
                <w:sz w:val="18"/>
                <w:szCs w:val="18"/>
                <w:color w:val="auto"/>
              </w:rPr>
              <w:t>Commercial Services</w:t>
            </w:r>
          </w:p>
        </w:tc>
        <w:tc>
          <w:tcPr>
            <w:tcW w:w="48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20,391</w:t>
            </w:r>
          </w:p>
        </w:tc>
        <w:tc>
          <w:tcPr>
            <w:tcW w:w="44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32,552</w:t>
            </w:r>
          </w:p>
        </w:tc>
        <w:tc>
          <w:tcPr>
            <w:tcW w:w="240" w:type="dxa"/>
            <w:vAlign w:val="bottom"/>
          </w:tcPr>
          <w:p>
            <w:pPr>
              <w:spacing w:after="0"/>
              <w:rPr>
                <w:sz w:val="19"/>
                <w:szCs w:val="19"/>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9.8%</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19.5%</w:t>
            </w:r>
          </w:p>
        </w:tc>
        <w:tc>
          <w:tcPr>
            <w:tcW w:w="30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(12,161)</w:t>
            </w:r>
          </w:p>
        </w:tc>
        <w:tc>
          <w:tcPr>
            <w:tcW w:w="32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(37.4)%</w:t>
            </w:r>
          </w:p>
        </w:tc>
        <w:tc>
          <w:tcPr>
            <w:tcW w:w="0" w:type="dxa"/>
            <w:vAlign w:val="bottom"/>
          </w:tcPr>
          <w:p>
            <w:pPr>
              <w:spacing w:after="0"/>
              <w:rPr>
                <w:sz w:val="1"/>
                <w:szCs w:val="1"/>
                <w:color w:val="auto"/>
              </w:rPr>
            </w:pPr>
          </w:p>
        </w:tc>
      </w:tr>
      <w:tr>
        <w:trPr>
          <w:trHeight w:val="230"/>
        </w:trPr>
        <w:tc>
          <w:tcPr>
            <w:tcW w:w="40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Government Solutions</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15,411</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13,345</w:t>
            </w:r>
          </w:p>
        </w:tc>
        <w:tc>
          <w:tcPr>
            <w:tcW w:w="2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7.4%</w:t>
            </w: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8.0%</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2,066</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30"/>
        </w:trPr>
        <w:tc>
          <w:tcPr>
            <w:tcW w:w="4040" w:type="dxa"/>
            <w:vAlign w:val="bottom"/>
            <w:gridSpan w:val="2"/>
          </w:tcPr>
          <w:p>
            <w:pPr>
              <w:ind w:left="260"/>
              <w:spacing w:after="0"/>
              <w:rPr>
                <w:sz w:val="20"/>
                <w:szCs w:val="20"/>
                <w:color w:val="auto"/>
              </w:rPr>
            </w:pPr>
            <w:r>
              <w:rPr>
                <w:rFonts w:ascii="Arial" w:cs="Arial" w:eastAsia="Arial" w:hAnsi="Arial"/>
                <w:sz w:val="18"/>
                <w:szCs w:val="18"/>
                <w:color w:val="auto"/>
              </w:rPr>
              <w:t>Corporate</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1,135</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14,967</w:t>
            </w:r>
          </w:p>
        </w:tc>
        <w:tc>
          <w:tcPr>
            <w:tcW w:w="240" w:type="dxa"/>
            <w:vAlign w:val="bottom"/>
          </w:tcPr>
          <w:p>
            <w:pPr>
              <w:spacing w:after="0"/>
              <w:rPr>
                <w:sz w:val="19"/>
                <w:szCs w:val="19"/>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0.5%</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8.9%</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(13,832)</w:t>
            </w:r>
          </w:p>
        </w:tc>
        <w:tc>
          <w:tcPr>
            <w:tcW w:w="32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(92.4)%</w:t>
            </w:r>
          </w:p>
        </w:tc>
        <w:tc>
          <w:tcPr>
            <w:tcW w:w="0" w:type="dxa"/>
            <w:vAlign w:val="bottom"/>
          </w:tcPr>
          <w:p>
            <w:pPr>
              <w:spacing w:after="0"/>
              <w:rPr>
                <w:sz w:val="1"/>
                <w:szCs w:val="1"/>
                <w:color w:val="auto"/>
              </w:rPr>
            </w:pPr>
          </w:p>
        </w:tc>
      </w:tr>
      <w:tr>
        <w:trPr>
          <w:trHeight w:val="209"/>
        </w:trPr>
        <w:tc>
          <w:tcPr>
            <w:tcW w:w="404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 selling, general and administrative</w:t>
            </w:r>
          </w:p>
        </w:tc>
        <w:tc>
          <w:tcPr>
            <w:tcW w:w="28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CFF0FC"/>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320" w:type="dxa"/>
            <w:vAlign w:val="bottom"/>
            <w:tcBorders>
              <w:top w:val="single" w:sz="8" w:color="CFF0FC"/>
            </w:tcBorders>
            <w:shd w:val="clear" w:color="auto" w:fill="CFF0FC"/>
          </w:tcPr>
          <w:p>
            <w:pPr>
              <w:spacing w:after="0"/>
              <w:rPr>
                <w:sz w:val="18"/>
                <w:szCs w:val="18"/>
                <w:color w:val="auto"/>
              </w:rPr>
            </w:pPr>
          </w:p>
        </w:tc>
        <w:tc>
          <w:tcPr>
            <w:tcW w:w="62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expenses before stock-based compensation</w:t>
            </w:r>
          </w:p>
        </w:tc>
        <w:tc>
          <w:tcPr>
            <w:tcW w:w="2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36,937</w:t>
            </w:r>
          </w:p>
        </w:tc>
        <w:tc>
          <w:tcPr>
            <w:tcW w:w="2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60,864</w:t>
            </w:r>
          </w:p>
        </w:tc>
        <w:tc>
          <w:tcPr>
            <w:tcW w:w="240" w:type="dxa"/>
            <w:vAlign w:val="bottom"/>
            <w:shd w:val="clear" w:color="auto" w:fill="CFF0FC"/>
          </w:tcPr>
          <w:p>
            <w:pPr>
              <w:spacing w:after="0"/>
              <w:rPr>
                <w:sz w:val="20"/>
                <w:szCs w:val="20"/>
                <w:color w:val="auto"/>
              </w:rPr>
            </w:pPr>
          </w:p>
        </w:tc>
        <w:tc>
          <w:tcPr>
            <w:tcW w:w="12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17.7%</w:t>
            </w: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36.4%</w:t>
            </w:r>
          </w:p>
        </w:tc>
        <w:tc>
          <w:tcPr>
            <w:tcW w:w="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(23,927)</w:t>
            </w:r>
          </w:p>
        </w:tc>
        <w:tc>
          <w:tcPr>
            <w:tcW w:w="32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(39.3)%</w:t>
            </w:r>
          </w:p>
        </w:tc>
        <w:tc>
          <w:tcPr>
            <w:tcW w:w="0" w:type="dxa"/>
            <w:vAlign w:val="bottom"/>
          </w:tcPr>
          <w:p>
            <w:pPr>
              <w:spacing w:after="0"/>
              <w:rPr>
                <w:sz w:val="1"/>
                <w:szCs w:val="1"/>
                <w:color w:val="auto"/>
              </w:rPr>
            </w:pPr>
          </w:p>
        </w:tc>
      </w:tr>
      <w:tr>
        <w:trPr>
          <w:trHeight w:val="230"/>
        </w:trPr>
        <w:tc>
          <w:tcPr>
            <w:tcW w:w="4040" w:type="dxa"/>
            <w:vAlign w:val="bottom"/>
            <w:gridSpan w:val="2"/>
          </w:tcPr>
          <w:p>
            <w:pPr>
              <w:spacing w:after="0"/>
              <w:rPr>
                <w:sz w:val="20"/>
                <w:szCs w:val="20"/>
                <w:color w:val="auto"/>
              </w:rPr>
            </w:pPr>
            <w:r>
              <w:rPr>
                <w:rFonts w:ascii="Arial" w:cs="Arial" w:eastAsia="Arial" w:hAnsi="Arial"/>
                <w:sz w:val="18"/>
                <w:szCs w:val="18"/>
                <w:color w:val="auto"/>
              </w:rPr>
              <w:t>Stock-based compensation</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4,479</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2.2%</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4,479</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0"/>
        </w:trPr>
        <w:tc>
          <w:tcPr>
            <w:tcW w:w="4040" w:type="dxa"/>
            <w:vAlign w:val="bottom"/>
            <w:gridSpan w:val="2"/>
            <w:vMerge w:val="restart"/>
            <w:shd w:val="clear" w:color="auto" w:fill="CFF0FC"/>
          </w:tcPr>
          <w:p>
            <w:pPr>
              <w:spacing w:after="0"/>
              <w:rPr>
                <w:sz w:val="20"/>
                <w:szCs w:val="20"/>
                <w:color w:val="auto"/>
              </w:rPr>
            </w:pPr>
            <w:r>
              <w:rPr>
                <w:rFonts w:ascii="Arial" w:cs="Arial" w:eastAsia="Arial" w:hAnsi="Arial"/>
                <w:sz w:val="18"/>
                <w:szCs w:val="18"/>
                <w:color w:val="auto"/>
                <w:w w:val="97"/>
              </w:rPr>
              <w:t>Total Selling, General and Administrative Expenses</w:t>
            </w:r>
          </w:p>
        </w:tc>
        <w:tc>
          <w:tcPr>
            <w:tcW w:w="280" w:type="dxa"/>
            <w:vAlign w:val="bottom"/>
            <w:vMerge w:val="restart"/>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vMerge w:val="restart"/>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FF0FC"/>
          </w:tcPr>
          <w:p>
            <w:pPr>
              <w:jc w:val="right"/>
              <w:ind w:right="100"/>
              <w:spacing w:after="0"/>
              <w:rPr>
                <w:sz w:val="20"/>
                <w:szCs w:val="20"/>
                <w:color w:val="auto"/>
              </w:rPr>
            </w:pPr>
            <w:r>
              <w:rPr>
                <w:rFonts w:ascii="Arial" w:cs="Arial" w:eastAsia="Arial" w:hAnsi="Arial"/>
                <w:sz w:val="16"/>
                <w:szCs w:val="16"/>
                <w:color w:val="auto"/>
                <w:w w:val="74"/>
              </w:rPr>
              <w:t>)</w:t>
            </w:r>
          </w:p>
        </w:tc>
        <w:tc>
          <w:tcPr>
            <w:tcW w:w="320" w:type="dxa"/>
            <w:vAlign w:val="bottom"/>
            <w:vMerge w:val="restart"/>
            <w:shd w:val="clear" w:color="auto" w:fill="CFF0FC"/>
          </w:tcPr>
          <w:p>
            <w:pPr>
              <w:spacing w:after="0" w:line="20" w:lineRule="exact"/>
              <w:rPr>
                <w:sz w:val="1"/>
                <w:szCs w:val="1"/>
                <w:color w:val="auto"/>
              </w:rPr>
            </w:pPr>
          </w:p>
        </w:tc>
        <w:tc>
          <w:tcPr>
            <w:tcW w:w="840" w:type="dxa"/>
            <w:vAlign w:val="bottom"/>
            <w:gridSpan w:val="2"/>
            <w:vMerge w:val="restart"/>
            <w:shd w:val="clear" w:color="auto" w:fill="CFF0FC"/>
          </w:tcPr>
          <w:p>
            <w:pPr>
              <w:jc w:val="right"/>
              <w:ind w:right="20"/>
              <w:spacing w:after="0"/>
              <w:rPr>
                <w:sz w:val="20"/>
                <w:szCs w:val="20"/>
                <w:color w:val="auto"/>
              </w:rPr>
            </w:pPr>
            <w:r>
              <w:rPr>
                <w:rFonts w:ascii="Arial" w:cs="Arial" w:eastAsia="Arial" w:hAnsi="Arial"/>
                <w:sz w:val="18"/>
                <w:szCs w:val="18"/>
                <w:color w:val="auto"/>
              </w:rPr>
              <w:t>(32.0)%</w:t>
            </w:r>
          </w:p>
        </w:tc>
        <w:tc>
          <w:tcPr>
            <w:tcW w:w="0" w:type="dxa"/>
            <w:vAlign w:val="bottom"/>
          </w:tcPr>
          <w:p>
            <w:pPr>
              <w:spacing w:after="0" w:line="20" w:lineRule="exact"/>
              <w:rPr>
                <w:sz w:val="1"/>
                <w:szCs w:val="1"/>
                <w:color w:val="auto"/>
              </w:rPr>
            </w:pPr>
          </w:p>
        </w:tc>
      </w:tr>
      <w:tr>
        <w:trPr>
          <w:trHeight w:val="223"/>
        </w:trPr>
        <w:tc>
          <w:tcPr>
            <w:tcW w:w="4040" w:type="dxa"/>
            <w:vAlign w:val="bottom"/>
            <w:gridSpan w:val="2"/>
            <w:vMerge w:val="continue"/>
            <w:shd w:val="clear" w:color="auto" w:fill="CFF0FC"/>
          </w:tcPr>
          <w:p>
            <w:pPr>
              <w:spacing w:after="0"/>
              <w:rPr>
                <w:sz w:val="19"/>
                <w:szCs w:val="19"/>
                <w:color w:val="auto"/>
              </w:rPr>
            </w:pPr>
          </w:p>
        </w:tc>
        <w:tc>
          <w:tcPr>
            <w:tcW w:w="280" w:type="dxa"/>
            <w:vAlign w:val="bottom"/>
            <w:vMerge w:val="continue"/>
            <w:shd w:val="clear" w:color="auto" w:fill="CFF0FC"/>
          </w:tcPr>
          <w:p>
            <w:pPr>
              <w:spacing w:after="0"/>
              <w:rPr>
                <w:sz w:val="19"/>
                <w:szCs w:val="19"/>
                <w:color w:val="auto"/>
              </w:rPr>
            </w:pP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41,416</w:t>
            </w:r>
          </w:p>
        </w:tc>
        <w:tc>
          <w:tcPr>
            <w:tcW w:w="240" w:type="dxa"/>
            <w:vAlign w:val="bottom"/>
            <w:vMerge w:val="continue"/>
            <w:shd w:val="clear" w:color="auto" w:fill="CFF0FC"/>
          </w:tcPr>
          <w:p>
            <w:pPr>
              <w:spacing w:after="0"/>
              <w:rPr>
                <w:sz w:val="19"/>
                <w:szCs w:val="19"/>
                <w:color w:val="auto"/>
              </w:rPr>
            </w:pP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60,864</w:t>
            </w:r>
          </w:p>
        </w:tc>
        <w:tc>
          <w:tcPr>
            <w:tcW w:w="2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19.9%</w:t>
            </w: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36.4%</w:t>
            </w:r>
          </w:p>
        </w:tc>
        <w:tc>
          <w:tcPr>
            <w:tcW w:w="80" w:type="dxa"/>
            <w:vAlign w:val="bottom"/>
            <w:vMerge w:val="continue"/>
            <w:shd w:val="clear" w:color="auto" w:fill="CFF0FC"/>
          </w:tcPr>
          <w:p>
            <w:pPr>
              <w:spacing w:after="0"/>
              <w:rPr>
                <w:sz w:val="19"/>
                <w:szCs w:val="19"/>
                <w:color w:val="auto"/>
              </w:rPr>
            </w:pP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(19,448</w:t>
            </w:r>
          </w:p>
        </w:tc>
        <w:tc>
          <w:tcPr>
            <w:tcW w:w="240" w:type="dxa"/>
            <w:vAlign w:val="bottom"/>
            <w:vMerge w:val="continue"/>
            <w:shd w:val="clear" w:color="auto" w:fill="CFF0FC"/>
          </w:tcPr>
          <w:p>
            <w:pPr>
              <w:spacing w:after="0"/>
              <w:rPr>
                <w:sz w:val="19"/>
                <w:szCs w:val="19"/>
                <w:color w:val="auto"/>
              </w:rPr>
            </w:pPr>
          </w:p>
        </w:tc>
        <w:tc>
          <w:tcPr>
            <w:tcW w:w="320" w:type="dxa"/>
            <w:vAlign w:val="bottom"/>
            <w:vMerge w:val="continue"/>
            <w:shd w:val="clear" w:color="auto" w:fill="CFF0FC"/>
          </w:tcPr>
          <w:p>
            <w:pPr>
              <w:spacing w:after="0"/>
              <w:rPr>
                <w:sz w:val="19"/>
                <w:szCs w:val="19"/>
                <w:color w:val="auto"/>
              </w:rPr>
            </w:pPr>
          </w:p>
        </w:tc>
        <w:tc>
          <w:tcPr>
            <w:tcW w:w="840" w:type="dxa"/>
            <w:vAlign w:val="bottom"/>
            <w:gridSpan w:val="2"/>
            <w:vMerge w:val="continue"/>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00" w:type="dxa"/>
            <w:vAlign w:val="bottom"/>
            <w:tcBorders>
              <w:top w:val="single" w:sz="8" w:color="CFF0FC"/>
            </w:tcBorders>
          </w:tcPr>
          <w:p>
            <w:pPr>
              <w:spacing w:after="0" w:line="20" w:lineRule="exact"/>
              <w:rPr>
                <w:sz w:val="1"/>
                <w:szCs w:val="1"/>
                <w:color w:val="auto"/>
              </w:rPr>
            </w:pPr>
          </w:p>
        </w:tc>
        <w:tc>
          <w:tcPr>
            <w:tcW w:w="304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62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firstLine="815"/>
        <w:spacing w:after="0" w:line="259" w:lineRule="auto"/>
        <w:rPr>
          <w:sz w:val="20"/>
          <w:szCs w:val="20"/>
          <w:color w:val="auto"/>
        </w:rPr>
      </w:pPr>
      <w:r>
        <w:rPr>
          <w:rFonts w:ascii="Arial" w:cs="Arial" w:eastAsia="Arial" w:hAnsi="Arial"/>
          <w:sz w:val="18"/>
          <w:szCs w:val="18"/>
          <w:i w:val="1"/>
          <w:iCs w:val="1"/>
          <w:color w:val="auto"/>
        </w:rPr>
        <w:t xml:space="preserve">Depreciation, Amortization and Gain or Loss on Disposal of Assets, Net. </w:t>
      </w:r>
      <w:r>
        <w:rPr>
          <w:rFonts w:ascii="Arial" w:cs="Arial" w:eastAsia="Arial" w:hAnsi="Arial"/>
          <w:sz w:val="18"/>
          <w:szCs w:val="18"/>
          <w:color w:val="auto"/>
        </w:rPr>
        <w:t>Depreciation, amortization and gain or loss on disposal of assets, net,</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increased by $11.8 million, or 25.5%, from $46.0 million for the six months ended June 30, 2018 to $57.8 million for the same period in 2019. The increase is primarily due to the inclusion of amortization expense resulting from the HTA and EPC acquisitions for the entire six month period ended June 30, 2019 compared to partial periods in the 2018 period.</w:t>
      </w:r>
    </w:p>
    <w:p>
      <w:pPr>
        <w:spacing w:after="0" w:line="214" w:lineRule="exact"/>
        <w:rPr>
          <w:sz w:val="20"/>
          <w:szCs w:val="20"/>
          <w:color w:val="auto"/>
        </w:rPr>
      </w:pPr>
    </w:p>
    <w:p>
      <w:pPr>
        <w:jc w:val="both"/>
        <w:ind w:firstLine="815"/>
        <w:spacing w:after="0" w:line="264" w:lineRule="auto"/>
        <w:rPr>
          <w:sz w:val="20"/>
          <w:szCs w:val="20"/>
          <w:color w:val="auto"/>
        </w:rPr>
      </w:pPr>
      <w:r>
        <w:rPr>
          <w:rFonts w:ascii="Arial" w:cs="Arial" w:eastAsia="Arial" w:hAnsi="Arial"/>
          <w:sz w:val="18"/>
          <w:szCs w:val="18"/>
          <w:i w:val="1"/>
          <w:iCs w:val="1"/>
          <w:color w:val="auto"/>
        </w:rPr>
        <w:t xml:space="preserve">Impairment of Property and Equipment. </w:t>
      </w:r>
      <w:r>
        <w:rPr>
          <w:rFonts w:ascii="Arial" w:cs="Arial" w:eastAsia="Arial" w:hAnsi="Arial"/>
          <w:sz w:val="18"/>
          <w:szCs w:val="18"/>
          <w:color w:val="auto"/>
        </w:rPr>
        <w:t>Impairment of property and equipment for the six months ended June 30, 2019 includes a $5.9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impairment charge as a result of a legislation ban of most red-light photo enforcement programs in Texas on June 1, 2019, which was in the Government Solutions segment.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39" w:name="page40"/>
    <w:bookmarkEnd w:id="3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90" w:lineRule="exact"/>
        <w:rPr>
          <w:sz w:val="20"/>
          <w:szCs w:val="20"/>
          <w:color w:val="auto"/>
        </w:rPr>
      </w:pPr>
    </w:p>
    <w:p>
      <w:pPr>
        <w:jc w:val="both"/>
        <w:ind w:right="20" w:firstLine="815"/>
        <w:spacing w:after="0" w:line="264" w:lineRule="auto"/>
        <w:rPr>
          <w:sz w:val="20"/>
          <w:szCs w:val="20"/>
          <w:color w:val="auto"/>
        </w:rPr>
      </w:pPr>
      <w:r>
        <w:rPr>
          <w:rFonts w:ascii="Arial" w:cs="Arial" w:eastAsia="Arial" w:hAnsi="Arial"/>
          <w:sz w:val="18"/>
          <w:szCs w:val="18"/>
          <w:i w:val="1"/>
          <w:iCs w:val="1"/>
          <w:color w:val="auto"/>
        </w:rPr>
        <w:t xml:space="preserve">Interest Expense, Net. </w:t>
      </w:r>
      <w:r>
        <w:rPr>
          <w:rFonts w:ascii="Arial" w:cs="Arial" w:eastAsia="Arial" w:hAnsi="Arial"/>
          <w:sz w:val="18"/>
          <w:szCs w:val="18"/>
          <w:color w:val="auto"/>
        </w:rPr>
        <w:t>Interest expense, net decreased by $0.5 million from $32.2 million for the six months ended June 30, 2018 to</w:t>
      </w:r>
      <w:r>
        <w:rPr>
          <w:rFonts w:ascii="Arial" w:cs="Arial" w:eastAsia="Arial" w:hAnsi="Arial"/>
          <w:sz w:val="18"/>
          <w:szCs w:val="18"/>
          <w:i w:val="1"/>
          <w:iCs w:val="1"/>
          <w:color w:val="auto"/>
        </w:rPr>
        <w:t xml:space="preserve"> </w:t>
      </w:r>
      <w:r>
        <w:rPr>
          <w:rFonts w:ascii="Arial" w:cs="Arial" w:eastAsia="Arial" w:hAnsi="Arial"/>
          <w:sz w:val="18"/>
          <w:szCs w:val="18"/>
          <w:color w:val="auto"/>
        </w:rPr>
        <w:t>$31.7 million for the same period in 2019. The decrease is due to higher average debt balances for the majority of the six month period ended June 30, 2018. See “—</w:t>
      </w:r>
      <w:r>
        <w:rPr>
          <w:rFonts w:ascii="Arial" w:cs="Arial" w:eastAsia="Arial" w:hAnsi="Arial"/>
          <w:sz w:val="18"/>
          <w:szCs w:val="18"/>
          <w:i w:val="1"/>
          <w:iCs w:val="1"/>
          <w:color w:val="auto"/>
        </w:rPr>
        <w:t>Liquidity and Capital Resources</w:t>
      </w:r>
      <w:r>
        <w:rPr>
          <w:rFonts w:ascii="Arial" w:cs="Arial" w:eastAsia="Arial" w:hAnsi="Arial"/>
          <w:sz w:val="18"/>
          <w:szCs w:val="18"/>
          <w:color w:val="auto"/>
        </w:rPr>
        <w:t>.”</w:t>
      </w:r>
    </w:p>
    <w:p>
      <w:pPr>
        <w:spacing w:after="0" w:line="154" w:lineRule="exact"/>
        <w:rPr>
          <w:sz w:val="20"/>
          <w:szCs w:val="20"/>
          <w:color w:val="auto"/>
        </w:rPr>
      </w:pPr>
    </w:p>
    <w:p>
      <w:pPr>
        <w:jc w:val="both"/>
        <w:ind w:right="20" w:firstLine="815"/>
        <w:spacing w:after="0" w:line="259" w:lineRule="auto"/>
        <w:rPr>
          <w:sz w:val="20"/>
          <w:szCs w:val="20"/>
          <w:color w:val="auto"/>
        </w:rPr>
      </w:pPr>
      <w:r>
        <w:rPr>
          <w:rFonts w:ascii="Arial" w:cs="Arial" w:eastAsia="Arial" w:hAnsi="Arial"/>
          <w:sz w:val="18"/>
          <w:szCs w:val="18"/>
          <w:i w:val="1"/>
          <w:iCs w:val="1"/>
          <w:color w:val="auto"/>
        </w:rPr>
        <w:t xml:space="preserve">Loss on Extinguishment of Debt. </w:t>
      </w:r>
      <w:r>
        <w:rPr>
          <w:rFonts w:ascii="Arial" w:cs="Arial" w:eastAsia="Arial" w:hAnsi="Arial"/>
          <w:sz w:val="18"/>
          <w:szCs w:val="18"/>
          <w:color w:val="auto"/>
        </w:rPr>
        <w:t>Loss on extinguishment of debt of $10.2 million in the six months ended June 30, 2018 was a result of the 2017</w:t>
      </w:r>
      <w:r>
        <w:rPr>
          <w:rFonts w:ascii="Arial" w:cs="Arial" w:eastAsia="Arial" w:hAnsi="Arial"/>
          <w:sz w:val="18"/>
          <w:szCs w:val="18"/>
          <w:i w:val="1"/>
          <w:iCs w:val="1"/>
          <w:color w:val="auto"/>
        </w:rPr>
        <w:t xml:space="preserve"> </w:t>
      </w:r>
      <w:r>
        <w:rPr>
          <w:rFonts w:ascii="Arial" w:cs="Arial" w:eastAsia="Arial" w:hAnsi="Arial"/>
          <w:sz w:val="18"/>
          <w:szCs w:val="18"/>
          <w:color w:val="auto"/>
        </w:rPr>
        <w:t>Credit Facilities replaced with the 2018 Credit Facilities in connection with the HTA acquisition. The loss consisted of a $3.8 million prepayment penalty on the Old Term Loan balances, a $2.0 million write-off of preexisting deferred financing costs, and $4.4 million of lender and third-party costs associated with the issuance of the 2018 Credit Facilities. See “—</w:t>
      </w:r>
      <w:r>
        <w:rPr>
          <w:rFonts w:ascii="Arial" w:cs="Arial" w:eastAsia="Arial" w:hAnsi="Arial"/>
          <w:sz w:val="18"/>
          <w:szCs w:val="18"/>
          <w:i w:val="1"/>
          <w:iCs w:val="1"/>
          <w:color w:val="auto"/>
        </w:rPr>
        <w:t>Liquidity and Capital Resources</w:t>
      </w:r>
      <w:r>
        <w:rPr>
          <w:rFonts w:ascii="Arial" w:cs="Arial" w:eastAsia="Arial" w:hAnsi="Arial"/>
          <w:sz w:val="18"/>
          <w:szCs w:val="18"/>
          <w:color w:val="auto"/>
        </w:rPr>
        <w:t>.”</w:t>
      </w:r>
    </w:p>
    <w:p>
      <w:pPr>
        <w:spacing w:after="0" w:line="146" w:lineRule="exact"/>
        <w:rPr>
          <w:sz w:val="20"/>
          <w:szCs w:val="20"/>
          <w:color w:val="auto"/>
        </w:rPr>
      </w:pPr>
    </w:p>
    <w:p>
      <w:pPr>
        <w:jc w:val="both"/>
        <w:ind w:right="20" w:firstLine="815"/>
        <w:spacing w:after="0" w:line="259" w:lineRule="auto"/>
        <w:rPr>
          <w:sz w:val="20"/>
          <w:szCs w:val="20"/>
          <w:color w:val="auto"/>
        </w:rPr>
      </w:pPr>
      <w:r>
        <w:rPr>
          <w:rFonts w:ascii="Arial" w:cs="Arial" w:eastAsia="Arial" w:hAnsi="Arial"/>
          <w:sz w:val="18"/>
          <w:szCs w:val="18"/>
          <w:i w:val="1"/>
          <w:iCs w:val="1"/>
          <w:color w:val="auto"/>
        </w:rPr>
        <w:t xml:space="preserve">Other Income, Net. </w:t>
      </w:r>
      <w:r>
        <w:rPr>
          <w:rFonts w:ascii="Arial" w:cs="Arial" w:eastAsia="Arial" w:hAnsi="Arial"/>
          <w:sz w:val="18"/>
          <w:szCs w:val="18"/>
          <w:color w:val="auto"/>
        </w:rPr>
        <w:t>Other income, net for the six months ended June 30, 2019 was $5.6 million compared to $4.1 million in the six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June 30, 2018. The is primarily due to the increased purchasing card rebates resulting from the inclusion of HTA operations for the entire period in the six months ended June 30, 2019 compared to four months in the 2018 period. We pay a high volume of tolls on behalf of our customers with purchasing cards which generate rebates based on volume, payment terms and rebate frequency.</w:t>
      </w:r>
    </w:p>
    <w:p>
      <w:pPr>
        <w:spacing w:after="0" w:line="146" w:lineRule="exact"/>
        <w:rPr>
          <w:sz w:val="20"/>
          <w:szCs w:val="20"/>
          <w:color w:val="auto"/>
        </w:rPr>
      </w:pPr>
    </w:p>
    <w:p>
      <w:pPr>
        <w:jc w:val="both"/>
        <w:ind w:right="20" w:firstLine="815"/>
        <w:spacing w:after="0" w:line="279" w:lineRule="auto"/>
        <w:rPr>
          <w:sz w:val="20"/>
          <w:szCs w:val="20"/>
          <w:color w:val="auto"/>
        </w:rPr>
      </w:pPr>
      <w:r>
        <w:rPr>
          <w:rFonts w:ascii="Arial" w:cs="Arial" w:eastAsia="Arial" w:hAnsi="Arial"/>
          <w:sz w:val="17"/>
          <w:szCs w:val="17"/>
          <w:i w:val="1"/>
          <w:iCs w:val="1"/>
          <w:color w:val="auto"/>
        </w:rPr>
        <w:t xml:space="preserve">Income Tax Provision (Benefit). </w:t>
      </w:r>
      <w:r>
        <w:rPr>
          <w:rFonts w:ascii="Arial" w:cs="Arial" w:eastAsia="Arial" w:hAnsi="Arial"/>
          <w:sz w:val="17"/>
          <w:szCs w:val="17"/>
          <w:color w:val="auto"/>
        </w:rPr>
        <w:t>Income tax provision (benefit) increased by $9.9 million from $(6.9) million, representing an effective tax rate</w:t>
      </w:r>
      <w:r>
        <w:rPr>
          <w:rFonts w:ascii="Arial" w:cs="Arial" w:eastAsia="Arial" w:hAnsi="Arial"/>
          <w:sz w:val="17"/>
          <w:szCs w:val="17"/>
          <w:i w:val="1"/>
          <w:iCs w:val="1"/>
          <w:color w:val="auto"/>
        </w:rPr>
        <w:t xml:space="preserve"> </w:t>
      </w:r>
      <w:r>
        <w:rPr>
          <w:rFonts w:ascii="Arial" w:cs="Arial" w:eastAsia="Arial" w:hAnsi="Arial"/>
          <w:sz w:val="17"/>
          <w:szCs w:val="17"/>
          <w:color w:val="auto"/>
        </w:rPr>
        <w:t>of (20.3%), for the six months ended June 30, 2018 to a tax of $3.1 million, representing an effective tax rate of 32.3% for the same period in 2019. The effective tax rate change was primarily due to higher pretax income across multiple jurisdictions, and an increase in permanent differences between book and taxable income, including the 162(m) executive compensation limitation and the Global Intangible Low Tax Income inclusion.</w:t>
      </w:r>
    </w:p>
    <w:p>
      <w:pPr>
        <w:spacing w:after="0" w:line="144" w:lineRule="exact"/>
        <w:rPr>
          <w:sz w:val="20"/>
          <w:szCs w:val="20"/>
          <w:color w:val="auto"/>
        </w:rPr>
      </w:pPr>
    </w:p>
    <w:p>
      <w:pPr>
        <w:jc w:val="both"/>
        <w:ind w:right="20" w:firstLine="815"/>
        <w:spacing w:after="0" w:line="257" w:lineRule="auto"/>
        <w:rPr>
          <w:sz w:val="20"/>
          <w:szCs w:val="20"/>
          <w:color w:val="auto"/>
        </w:rPr>
      </w:pPr>
      <w:r>
        <w:rPr>
          <w:rFonts w:ascii="Arial" w:cs="Arial" w:eastAsia="Arial" w:hAnsi="Arial"/>
          <w:sz w:val="18"/>
          <w:szCs w:val="18"/>
          <w:i w:val="1"/>
          <w:iCs w:val="1"/>
          <w:color w:val="auto"/>
        </w:rPr>
        <w:t xml:space="preserve">Net Income (Loss). </w:t>
      </w:r>
      <w:r>
        <w:rPr>
          <w:rFonts w:ascii="Arial" w:cs="Arial" w:eastAsia="Arial" w:hAnsi="Arial"/>
          <w:sz w:val="18"/>
          <w:szCs w:val="18"/>
          <w:color w:val="auto"/>
        </w:rPr>
        <w:t>We had net income of $6.4 million for the six months ended June 30, 2019, as compared to a net loss of $27.0 million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six months ended June 30, 2018. The increase in net income was primarily due to expenses in the 2018 period related to an aggregate of $43.9 million of acquisition, refinancing (including loss on extinguishment of debt) and integration costs associated with the HTA and EPC acquisitions for which there no comparable amounts in the six months ended June 30, 2019. This increase was partially offset by related amortization expense and an impairment charge, noted above.</w:t>
      </w:r>
    </w:p>
    <w:p>
      <w:pPr>
        <w:spacing w:after="0" w:line="148" w:lineRule="exact"/>
        <w:rPr>
          <w:sz w:val="20"/>
          <w:szCs w:val="20"/>
          <w:color w:val="auto"/>
        </w:rPr>
      </w:pPr>
    </w:p>
    <w:p>
      <w:pPr>
        <w:jc w:val="both"/>
        <w:ind w:right="20" w:firstLine="815"/>
        <w:spacing w:after="0" w:line="264" w:lineRule="auto"/>
        <w:rPr>
          <w:sz w:val="20"/>
          <w:szCs w:val="20"/>
          <w:color w:val="auto"/>
        </w:rPr>
      </w:pPr>
      <w:r>
        <w:rPr>
          <w:rFonts w:ascii="Arial" w:cs="Arial" w:eastAsia="Arial" w:hAnsi="Arial"/>
          <w:sz w:val="18"/>
          <w:szCs w:val="18"/>
          <w:i w:val="1"/>
          <w:iCs w:val="1"/>
          <w:color w:val="auto"/>
        </w:rPr>
        <w:t xml:space="preserve">Adjusted EBITDA. </w:t>
      </w:r>
      <w:r>
        <w:rPr>
          <w:rFonts w:ascii="Arial" w:cs="Arial" w:eastAsia="Arial" w:hAnsi="Arial"/>
          <w:sz w:val="18"/>
          <w:szCs w:val="18"/>
          <w:color w:val="auto"/>
        </w:rPr>
        <w:t>For the six months ended June 30, 2019 adjusted EBITDA was $110.9 million, an increase of $22.6 million or 25.5 % from</w:t>
      </w:r>
      <w:r>
        <w:rPr>
          <w:rFonts w:ascii="Arial" w:cs="Arial" w:eastAsia="Arial" w:hAnsi="Arial"/>
          <w:sz w:val="18"/>
          <w:szCs w:val="18"/>
          <w:i w:val="1"/>
          <w:iCs w:val="1"/>
          <w:color w:val="auto"/>
        </w:rPr>
        <w:t xml:space="preserve"> </w:t>
      </w:r>
      <w:r>
        <w:rPr>
          <w:rFonts w:ascii="Arial" w:cs="Arial" w:eastAsia="Arial" w:hAnsi="Arial"/>
          <w:sz w:val="18"/>
          <w:szCs w:val="18"/>
          <w:color w:val="auto"/>
        </w:rPr>
        <w:t>the six months ended June 30, 2018. The growth was in line with the income statement activity discussed above, adjusted for certain transactions and non-recurring expenses.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02" w:lineRule="exact"/>
        <w:rPr>
          <w:sz w:val="20"/>
          <w:szCs w:val="20"/>
          <w:color w:val="auto"/>
        </w:rPr>
      </w:pPr>
    </w:p>
    <w:p>
      <w:pPr>
        <w:ind w:left="820"/>
        <w:spacing w:after="0"/>
        <w:rPr>
          <w:sz w:val="20"/>
          <w:szCs w:val="20"/>
          <w:color w:val="auto"/>
        </w:rPr>
      </w:pPr>
      <w:r>
        <w:rPr>
          <w:rFonts w:ascii="Arial" w:cs="Arial" w:eastAsia="Arial" w:hAnsi="Arial"/>
          <w:sz w:val="18"/>
          <w:szCs w:val="18"/>
          <w:color w:val="auto"/>
        </w:rPr>
        <w:t>Our principal sources of liquidity are cash flow from operations, long-term borrowings and borrowings under revolving credit facilities.</w:t>
      </w:r>
    </w:p>
    <w:p>
      <w:pPr>
        <w:spacing w:after="0" w:line="185" w:lineRule="exact"/>
        <w:rPr>
          <w:sz w:val="20"/>
          <w:szCs w:val="20"/>
          <w:color w:val="auto"/>
        </w:rPr>
      </w:pPr>
    </w:p>
    <w:p>
      <w:pPr>
        <w:ind w:left="820"/>
        <w:spacing w:after="0"/>
        <w:rPr>
          <w:sz w:val="20"/>
          <w:szCs w:val="20"/>
          <w:color w:val="auto"/>
        </w:rPr>
      </w:pPr>
      <w:r>
        <w:rPr>
          <w:rFonts w:ascii="Arial" w:cs="Arial" w:eastAsia="Arial" w:hAnsi="Arial"/>
          <w:sz w:val="18"/>
          <w:szCs w:val="18"/>
          <w:color w:val="auto"/>
        </w:rPr>
        <w:t>We have incurred significant long-term debt, as described below, to fund the ATS Merger and the HTA acquisition.</w:t>
      </w:r>
    </w:p>
    <w:p>
      <w:pPr>
        <w:spacing w:after="0" w:line="185" w:lineRule="exact"/>
        <w:rPr>
          <w:sz w:val="20"/>
          <w:szCs w:val="20"/>
          <w:color w:val="auto"/>
        </w:rPr>
      </w:pPr>
    </w:p>
    <w:p>
      <w:pPr>
        <w:jc w:val="both"/>
        <w:ind w:right="20" w:firstLine="815"/>
        <w:spacing w:after="0" w:line="255" w:lineRule="auto"/>
        <w:rPr>
          <w:sz w:val="20"/>
          <w:szCs w:val="20"/>
          <w:color w:val="auto"/>
        </w:rPr>
      </w:pPr>
      <w:r>
        <w:rPr>
          <w:rFonts w:ascii="Arial" w:cs="Arial" w:eastAsia="Arial" w:hAnsi="Arial"/>
          <w:sz w:val="18"/>
          <w:szCs w:val="18"/>
          <w:color w:val="auto"/>
        </w:rPr>
        <w:t>We believe that the existing cash and cash equivalents and cash flows provided by operating activities will be sufficient to meet operating cash requirements and service debt obligations for at least the next 12 months. Our ability to generate sufficient cash from our operating activities depends on our future performance, which is subject to general economic, political, financial, competitive and other factors beyond our control. In addition, our future capital expenditures and other cash requirements could be higher than currently expected due to various factors, including any expansion of our business that it undertakes, including strategic acquisitions. Should we pursue additional strategic acquisitions, we may need to raise additional capital, which may be in the form of additional long-term debt, which may not be available to us on favorable terms, borrowings on the revolver under the 2018 Credit Facilities (defined below), equity financings or at all.</w:t>
      </w:r>
    </w:p>
    <w:p>
      <w:pPr>
        <w:spacing w:after="0" w:line="162" w:lineRule="exact"/>
        <w:rPr>
          <w:sz w:val="20"/>
          <w:szCs w:val="20"/>
          <w:color w:val="auto"/>
        </w:rPr>
      </w:pPr>
    </w:p>
    <w:p>
      <w:pPr>
        <w:jc w:val="both"/>
        <w:ind w:right="20" w:firstLine="815"/>
        <w:spacing w:after="0" w:line="277" w:lineRule="auto"/>
        <w:rPr>
          <w:sz w:val="20"/>
          <w:szCs w:val="20"/>
          <w:color w:val="auto"/>
        </w:rPr>
      </w:pPr>
      <w:r>
        <w:rPr>
          <w:rFonts w:ascii="Arial" w:cs="Arial" w:eastAsia="Arial" w:hAnsi="Arial"/>
          <w:sz w:val="18"/>
          <w:szCs w:val="18"/>
          <w:color w:val="auto"/>
        </w:rPr>
        <w:t>We have the ability to borrow under our revolving credit facility to meet obligations as they come due. At June 30, 2019, we had $74.9 million available for borrowing, net of letters of credit, under the New Revolver (defined below).</w:t>
      </w:r>
    </w:p>
    <w:p>
      <w:pPr>
        <w:spacing w:after="0" w:line="130" w:lineRule="exact"/>
        <w:rPr>
          <w:sz w:val="20"/>
          <w:szCs w:val="20"/>
          <w:color w:val="auto"/>
        </w:rPr>
      </w:pPr>
    </w:p>
    <w:p>
      <w:pPr>
        <w:ind w:left="820"/>
        <w:spacing w:after="0"/>
        <w:rPr>
          <w:sz w:val="20"/>
          <w:szCs w:val="20"/>
          <w:color w:val="auto"/>
        </w:rPr>
      </w:pPr>
      <w:r>
        <w:rPr>
          <w:rFonts w:ascii="Arial" w:cs="Arial" w:eastAsia="Arial" w:hAnsi="Arial"/>
          <w:sz w:val="18"/>
          <w:szCs w:val="18"/>
          <w:color w:val="auto"/>
        </w:rPr>
        <w:t>The following table sets forth certain captions within our condensed consolidated statements of cash flows for the respective periods: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00" w:type="dxa"/>
            <w:vAlign w:val="bottom"/>
            <w:vMerge w:val="restart"/>
          </w:tcPr>
          <w:p>
            <w:pPr>
              <w:spacing w:after="0"/>
              <w:rPr>
                <w:sz w:val="20"/>
                <w:szCs w:val="20"/>
                <w:color w:val="auto"/>
              </w:rPr>
            </w:pPr>
            <w:r>
              <w:rPr>
                <w:rFonts w:ascii="Arial" w:cs="Arial" w:eastAsia="Arial" w:hAnsi="Arial"/>
                <w:sz w:val="14"/>
                <w:szCs w:val="14"/>
                <w:b w:val="1"/>
                <w:bCs w:val="1"/>
                <w:u w:val="single" w:color="auto"/>
                <w:color w:val="auto"/>
                <w:w w:val="90"/>
              </w:rPr>
              <w:t>(</w:t>
            </w:r>
            <w:r>
              <w:rPr>
                <w:rFonts w:ascii="Arial" w:cs="Arial" w:eastAsia="Arial" w:hAnsi="Arial"/>
                <w:sz w:val="14"/>
                <w:szCs w:val="14"/>
                <w:b w:val="1"/>
                <w:bCs w:val="1"/>
                <w:color w:val="auto"/>
                <w:w w:val="90"/>
              </w:rPr>
              <w:t>$ in thousands)</w:t>
            </w:r>
          </w:p>
        </w:tc>
        <w:tc>
          <w:tcPr>
            <w:tcW w:w="3640" w:type="dxa"/>
            <w:vAlign w:val="bottom"/>
            <w:vMerge w:val="restart"/>
          </w:tcPr>
          <w:p>
            <w:pPr>
              <w:spacing w:after="0"/>
              <w:rPr>
                <w:sz w:val="14"/>
                <w:szCs w:val="14"/>
                <w:color w:val="auto"/>
              </w:rPr>
            </w:pPr>
          </w:p>
        </w:tc>
        <w:tc>
          <w:tcPr>
            <w:tcW w:w="3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0" w:type="dxa"/>
            <w:vAlign w:val="bottom"/>
            <w:gridSpan w:val="5"/>
          </w:tcPr>
          <w:p>
            <w:pPr>
              <w:jc w:val="right"/>
              <w:ind w:right="1000"/>
              <w:spacing w:after="0"/>
              <w:rPr>
                <w:sz w:val="20"/>
                <w:szCs w:val="20"/>
                <w:color w:val="auto"/>
              </w:rPr>
            </w:pPr>
            <w:r>
              <w:rPr>
                <w:rFonts w:ascii="Arial" w:cs="Arial" w:eastAsia="Arial" w:hAnsi="Arial"/>
                <w:sz w:val="14"/>
                <w:szCs w:val="14"/>
                <w:b w:val="1"/>
                <w:bCs w:val="1"/>
                <w:color w:val="auto"/>
              </w:rPr>
              <w:t>Six Months Ended June 30,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000" w:type="dxa"/>
            <w:vAlign w:val="bottom"/>
            <w:tcBorders>
              <w:bottom w:val="single" w:sz="8" w:color="auto"/>
            </w:tcBorders>
            <w:vMerge w:val="continue"/>
          </w:tcPr>
          <w:p>
            <w:pPr>
              <w:spacing w:after="0"/>
              <w:rPr>
                <w:sz w:val="14"/>
                <w:szCs w:val="14"/>
                <w:color w:val="auto"/>
              </w:rPr>
            </w:pPr>
          </w:p>
        </w:tc>
        <w:tc>
          <w:tcPr>
            <w:tcW w:w="3640" w:type="dxa"/>
            <w:vAlign w:val="bottom"/>
            <w:vMerge w:val="continue"/>
          </w:tcPr>
          <w:p>
            <w:pPr>
              <w:spacing w:after="0"/>
              <w:rPr>
                <w:sz w:val="14"/>
                <w:szCs w:val="14"/>
                <w:color w:val="auto"/>
              </w:rPr>
            </w:pPr>
          </w:p>
        </w:tc>
        <w:tc>
          <w:tcPr>
            <w:tcW w:w="3220" w:type="dxa"/>
            <w:vAlign w:val="bottom"/>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jc w:val="right"/>
              <w:ind w:right="577"/>
              <w:spacing w:after="0" w:line="142" w:lineRule="exact"/>
              <w:rPr>
                <w:sz w:val="20"/>
                <w:szCs w:val="20"/>
                <w:color w:val="auto"/>
              </w:rPr>
            </w:pPr>
            <w:r>
              <w:rPr>
                <w:rFonts w:ascii="Arial" w:cs="Arial" w:eastAsia="Arial" w:hAnsi="Arial"/>
                <w:sz w:val="14"/>
                <w:szCs w:val="14"/>
                <w:b w:val="1"/>
                <w:bCs w:val="1"/>
                <w:color w:val="auto"/>
              </w:rPr>
              <w:t>2019</w:t>
            </w:r>
          </w:p>
        </w:tc>
        <w:tc>
          <w:tcPr>
            <w:tcW w:w="280" w:type="dxa"/>
            <w:vAlign w:val="bottom"/>
            <w:tcBorders>
              <w:top w:val="single" w:sz="8" w:color="auto"/>
            </w:tcBorders>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jc w:val="right"/>
              <w:ind w:right="574"/>
              <w:spacing w:after="0" w:line="142" w:lineRule="exact"/>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464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Net cash provided by operating activities</w:t>
            </w:r>
          </w:p>
        </w:tc>
        <w:tc>
          <w:tcPr>
            <w:tcW w:w="3220" w:type="dxa"/>
            <w:vAlign w:val="bottom"/>
            <w:tcBorders>
              <w:top w:val="single" w:sz="8" w:color="CFF0FC"/>
            </w:tcBorders>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45,781</w:t>
            </w:r>
          </w:p>
        </w:tc>
        <w:tc>
          <w:tcPr>
            <w:tcW w:w="280" w:type="dxa"/>
            <w:vAlign w:val="bottom"/>
            <w:tcBorders>
              <w:top w:val="single" w:sz="8" w:color="CFF0FC"/>
            </w:tcBorders>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jc w:val="right"/>
              <w:ind w:right="205"/>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12,534</w:t>
            </w:r>
          </w:p>
        </w:tc>
        <w:tc>
          <w:tcPr>
            <w:tcW w:w="120" w:type="dxa"/>
            <w:vAlign w:val="bottom"/>
            <w:tcBorders>
              <w:top w:val="single" w:sz="8" w:color="CFF0FC"/>
            </w:tcBorders>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40" w:type="dxa"/>
            <w:vAlign w:val="bottom"/>
            <w:gridSpan w:val="2"/>
          </w:tcPr>
          <w:p>
            <w:pPr>
              <w:spacing w:after="0"/>
              <w:rPr>
                <w:sz w:val="20"/>
                <w:szCs w:val="20"/>
                <w:color w:val="auto"/>
              </w:rPr>
            </w:pPr>
            <w:r>
              <w:rPr>
                <w:rFonts w:ascii="Arial" w:cs="Arial" w:eastAsia="Arial" w:hAnsi="Arial"/>
                <w:sz w:val="18"/>
                <w:szCs w:val="18"/>
                <w:color w:val="auto"/>
              </w:rPr>
              <w:t>Net cash used in investing activities</w:t>
            </w:r>
          </w:p>
        </w:tc>
        <w:tc>
          <w:tcPr>
            <w:tcW w:w="3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(14,178)</w:t>
            </w:r>
          </w:p>
        </w:tc>
        <w:tc>
          <w:tcPr>
            <w:tcW w:w="360" w:type="dxa"/>
            <w:vAlign w:val="bottom"/>
          </w:tcPr>
          <w:p>
            <w:pPr>
              <w:spacing w:after="0"/>
              <w:rPr>
                <w:sz w:val="19"/>
                <w:szCs w:val="19"/>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(536,468)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Net cash (used in) provided by financing activities</w:t>
            </w:r>
          </w:p>
        </w:tc>
        <w:tc>
          <w:tcPr>
            <w:tcW w:w="3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(4,704)</w:t>
            </w: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545,626</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100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3220" w:type="dxa"/>
            <w:vAlign w:val="bottom"/>
          </w:tcPr>
          <w:p>
            <w:pPr>
              <w:jc w:val="right"/>
              <w:ind w:right="1970"/>
              <w:spacing w:after="0"/>
              <w:rPr>
                <w:sz w:val="20"/>
                <w:szCs w:val="20"/>
                <w:color w:val="auto"/>
              </w:rPr>
            </w:pPr>
            <w:r>
              <w:rPr>
                <w:rFonts w:ascii="Arial" w:cs="Arial" w:eastAsia="Arial" w:hAnsi="Arial"/>
                <w:sz w:val="18"/>
                <w:szCs w:val="18"/>
                <w:color w:val="auto"/>
              </w:rPr>
              <w:t>40</w:t>
            </w: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000" w:type="dxa"/>
            <w:vAlign w:val="bottom"/>
            <w:tcBorders>
              <w:bottom w:val="single" w:sz="8" w:color="9A9A9A"/>
            </w:tcBorders>
          </w:tcPr>
          <w:p>
            <w:pPr>
              <w:spacing w:after="0"/>
              <w:rPr>
                <w:sz w:val="10"/>
                <w:szCs w:val="10"/>
                <w:color w:val="auto"/>
              </w:rPr>
            </w:pPr>
          </w:p>
        </w:tc>
        <w:tc>
          <w:tcPr>
            <w:tcW w:w="3640" w:type="dxa"/>
            <w:vAlign w:val="bottom"/>
            <w:tcBorders>
              <w:bottom w:val="single" w:sz="8" w:color="9A9A9A"/>
            </w:tcBorders>
          </w:tcPr>
          <w:p>
            <w:pPr>
              <w:spacing w:after="0"/>
              <w:rPr>
                <w:sz w:val="10"/>
                <w:szCs w:val="10"/>
                <w:color w:val="auto"/>
              </w:rPr>
            </w:pPr>
          </w:p>
        </w:tc>
        <w:tc>
          <w:tcPr>
            <w:tcW w:w="322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30" w:right="219" w:bottom="1440" w:gutter="0" w:footer="0" w:header="0"/>
        </w:sectPr>
      </w:pPr>
    </w:p>
    <w:bookmarkStart w:id="40" w:name="page41"/>
    <w:bookmarkEnd w:id="4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Operating Activities</w:t>
      </w:r>
    </w:p>
    <w:p>
      <w:pPr>
        <w:spacing w:after="0" w:line="185" w:lineRule="exact"/>
        <w:rPr>
          <w:sz w:val="20"/>
          <w:szCs w:val="20"/>
          <w:color w:val="auto"/>
        </w:rPr>
      </w:pPr>
    </w:p>
    <w:p>
      <w:pPr>
        <w:jc w:val="both"/>
        <w:ind w:firstLine="815"/>
        <w:spacing w:after="0" w:line="277" w:lineRule="auto"/>
        <w:rPr>
          <w:sz w:val="20"/>
          <w:szCs w:val="20"/>
          <w:color w:val="auto"/>
        </w:rPr>
      </w:pPr>
      <w:r>
        <w:rPr>
          <w:rFonts w:ascii="Arial" w:cs="Arial" w:eastAsia="Arial" w:hAnsi="Arial"/>
          <w:sz w:val="18"/>
          <w:szCs w:val="18"/>
          <w:color w:val="auto"/>
        </w:rPr>
        <w:t>Cash provided by operating activities increased $33.2 million from $12.5 million for the six months ended June 30, 2018 to $45.8 million for same period in 2019.</w:t>
      </w:r>
    </w:p>
    <w:p>
      <w:pPr>
        <w:spacing w:after="0" w:line="143" w:lineRule="exact"/>
        <w:rPr>
          <w:sz w:val="20"/>
          <w:szCs w:val="20"/>
          <w:color w:val="auto"/>
        </w:rPr>
      </w:pPr>
    </w:p>
    <w:p>
      <w:pPr>
        <w:jc w:val="both"/>
        <w:ind w:firstLine="815"/>
        <w:spacing w:after="0" w:line="257" w:lineRule="auto"/>
        <w:rPr>
          <w:sz w:val="20"/>
          <w:szCs w:val="20"/>
          <w:color w:val="auto"/>
        </w:rPr>
      </w:pPr>
      <w:r>
        <w:rPr>
          <w:rFonts w:ascii="Arial" w:cs="Arial" w:eastAsia="Arial" w:hAnsi="Arial"/>
          <w:sz w:val="18"/>
          <w:szCs w:val="18"/>
          <w:color w:val="auto"/>
        </w:rPr>
        <w:t>The change in cash provided by operating activities year over year was primarily due to net income increase of $33.4 million from a loss of $27.0 million in the six months ended June 30, 2018 to income of $6.4 million in the six months ended June 30, 2019. The growth in net income was driven by the inclusion of the results of HTA and EPC operations for the full six month period in 2019 versus only partial periods in the 2018 period. It is also attributable to $31.1 million of transaction and other non-recurring expenses and $10.2 million non-cash loss on extinguishment of debt in the six months ended June 30, 2018 for which there is no comparable amounts in the current period.</w:t>
      </w:r>
    </w:p>
    <w:p>
      <w:pPr>
        <w:spacing w:after="0" w:line="148" w:lineRule="exact"/>
        <w:rPr>
          <w:sz w:val="20"/>
          <w:szCs w:val="20"/>
          <w:color w:val="auto"/>
        </w:rPr>
      </w:pPr>
    </w:p>
    <w:p>
      <w:pPr>
        <w:jc w:val="both"/>
        <w:ind w:firstLine="815"/>
        <w:spacing w:after="0" w:line="257" w:lineRule="auto"/>
        <w:rPr>
          <w:sz w:val="20"/>
          <w:szCs w:val="20"/>
          <w:color w:val="auto"/>
        </w:rPr>
      </w:pPr>
      <w:r>
        <w:rPr>
          <w:rFonts w:ascii="Arial" w:cs="Arial" w:eastAsia="Arial" w:hAnsi="Arial"/>
          <w:sz w:val="18"/>
          <w:szCs w:val="18"/>
          <w:color w:val="auto"/>
        </w:rPr>
        <w:t>Adjustments to reconcile net income (loss) to net cash provided by operations increased by $11.9 million. The increase is primarily due to inclusion of the amortization of intangibles associated with the HTA and EPC acquisitions for the full six month period in 2019 versus partial periods in the 2018 period. The $10.2 million loss on extinguishment of debt in the six months ended June 30, 2018 for which there is no comparable amount in the current period was offset by a $5.9 million impairment charge and the $5.0 million stock-based compensation amounts in the 2019 period for which there were no comparable amounts in the prior period.</w:t>
      </w:r>
    </w:p>
    <w:p>
      <w:pPr>
        <w:spacing w:after="0" w:line="148" w:lineRule="exact"/>
        <w:rPr>
          <w:sz w:val="20"/>
          <w:szCs w:val="20"/>
          <w:color w:val="auto"/>
        </w:rPr>
      </w:pPr>
    </w:p>
    <w:p>
      <w:pPr>
        <w:jc w:val="both"/>
        <w:ind w:firstLine="815"/>
        <w:spacing w:after="0" w:line="257" w:lineRule="auto"/>
        <w:rPr>
          <w:sz w:val="20"/>
          <w:szCs w:val="20"/>
          <w:color w:val="auto"/>
        </w:rPr>
      </w:pPr>
      <w:r>
        <w:rPr>
          <w:rFonts w:ascii="Arial" w:cs="Arial" w:eastAsia="Arial" w:hAnsi="Arial"/>
          <w:sz w:val="18"/>
          <w:szCs w:val="18"/>
          <w:color w:val="auto"/>
        </w:rPr>
        <w:t>The aggregate change in operating assets and liabilities represents an aggregate decrease of $12.0 million for the six months ended June 30, 2019 versus the 2018 period. The decrease was primarily driven by a net increase in accounts receivables and unbilled receivables of $10.5 million during the 2019 period due to the timing of billings and customer collections. Additionally, prepaid and other current assets increased $3.4 million due to the timing of payments. These amounts were partially offset by a net increase in accounts payable and other liabilities of $1.6 million due to the nature and timing of vendor payments.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Investing Activities</w:t>
      </w:r>
    </w:p>
    <w:p>
      <w:pPr>
        <w:spacing w:after="0" w:line="185" w:lineRule="exact"/>
        <w:rPr>
          <w:sz w:val="20"/>
          <w:szCs w:val="20"/>
          <w:color w:val="auto"/>
        </w:rPr>
      </w:pPr>
    </w:p>
    <w:p>
      <w:pPr>
        <w:jc w:val="both"/>
        <w:ind w:firstLine="815"/>
        <w:spacing w:after="0" w:line="276" w:lineRule="auto"/>
        <w:rPr>
          <w:sz w:val="20"/>
          <w:szCs w:val="20"/>
          <w:color w:val="auto"/>
        </w:rPr>
      </w:pPr>
      <w:r>
        <w:rPr>
          <w:rFonts w:ascii="Arial" w:cs="Arial" w:eastAsia="Arial" w:hAnsi="Arial"/>
          <w:sz w:val="17"/>
          <w:szCs w:val="17"/>
          <w:color w:val="auto"/>
        </w:rPr>
        <w:t>Cash used in investing activities was $(14.2) million and $(536.5) million for the six months ended June 30, 2019 and June 30, 2018, respectively. The change in cash used in investing activities year over year was primarily due to net cash paid in connection with the HTA and EPC acquisitions during the six months ended June 30, 2018. Cash consideration for the HTA acquisition was $531.7 million net of $3.0 million of cash acquired, and for EPC it was $2.6 million, net of $9.0 million of cash acquired. Additionally, purchases of installation and service parts and property, plant and equipment increased from $11.1 million in the six months ended June 30, 2018 to $14.2 million in the six months ended June 30, 2019.</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Financing Activities</w:t>
      </w:r>
    </w:p>
    <w:p>
      <w:pPr>
        <w:spacing w:after="0" w:line="198" w:lineRule="exact"/>
        <w:rPr>
          <w:sz w:val="20"/>
          <w:szCs w:val="20"/>
          <w:color w:val="auto"/>
        </w:rPr>
      </w:pPr>
    </w:p>
    <w:p>
      <w:pPr>
        <w:jc w:val="both"/>
        <w:ind w:firstLine="815"/>
        <w:spacing w:after="0" w:line="264" w:lineRule="auto"/>
        <w:rPr>
          <w:sz w:val="20"/>
          <w:szCs w:val="20"/>
          <w:color w:val="auto"/>
        </w:rPr>
      </w:pPr>
      <w:r>
        <w:rPr>
          <w:rFonts w:ascii="Arial" w:cs="Arial" w:eastAsia="Arial" w:hAnsi="Arial"/>
          <w:sz w:val="18"/>
          <w:szCs w:val="18"/>
          <w:color w:val="auto"/>
        </w:rPr>
        <w:t>Cash (used in) provided by financing activities was $(4.7) million and $545.6 million for the six months ended June 30, 2019 and June 30, 2018, respectively. The change in cash (used in) provided by financing activities year over year was primarily due to the Company entering into the 2018 Credit Facilities during the six months ended June 30, 2018, which included the repayment of the 2017 Credit Facilities.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w:t>
      </w:r>
    </w:p>
    <w:p>
      <w:pPr>
        <w:spacing w:after="0" w:line="185" w:lineRule="exact"/>
        <w:rPr>
          <w:sz w:val="20"/>
          <w:szCs w:val="20"/>
          <w:color w:val="auto"/>
        </w:rPr>
      </w:pPr>
    </w:p>
    <w:p>
      <w:pPr>
        <w:jc w:val="both"/>
        <w:ind w:firstLine="815"/>
        <w:spacing w:after="0" w:line="255" w:lineRule="auto"/>
        <w:rPr>
          <w:sz w:val="20"/>
          <w:szCs w:val="20"/>
          <w:color w:val="auto"/>
        </w:rPr>
      </w:pPr>
      <w:r>
        <w:rPr>
          <w:rFonts w:ascii="Arial" w:cs="Arial" w:eastAsia="Arial" w:hAnsi="Arial"/>
          <w:sz w:val="18"/>
          <w:szCs w:val="18"/>
          <w:color w:val="auto"/>
        </w:rPr>
        <w:t>In connection with the HTA acquisition, we entered into a First Lien Term Loan Credit Agreement (the “</w:t>
      </w:r>
      <w:r>
        <w:rPr>
          <w:rFonts w:ascii="Arial" w:cs="Arial" w:eastAsia="Arial" w:hAnsi="Arial"/>
          <w:sz w:val="18"/>
          <w:szCs w:val="18"/>
          <w:b w:val="1"/>
          <w:bCs w:val="1"/>
          <w:i w:val="1"/>
          <w:iCs w:val="1"/>
          <w:color w:val="auto"/>
        </w:rPr>
        <w:t>New First Lien Term Loan</w:t>
      </w:r>
      <w:r>
        <w:rPr>
          <w:rFonts w:ascii="Arial" w:cs="Arial" w:eastAsia="Arial" w:hAnsi="Arial"/>
          <w:sz w:val="18"/>
          <w:szCs w:val="18"/>
          <w:color w:val="auto"/>
        </w:rPr>
        <w:t>”), a Second Lien Term Loan Credit Agreement (the “</w:t>
      </w:r>
      <w:r>
        <w:rPr>
          <w:rFonts w:ascii="Arial" w:cs="Arial" w:eastAsia="Arial" w:hAnsi="Arial"/>
          <w:sz w:val="18"/>
          <w:szCs w:val="18"/>
          <w:b w:val="1"/>
          <w:bCs w:val="1"/>
          <w:i w:val="1"/>
          <w:iCs w:val="1"/>
          <w:color w:val="auto"/>
        </w:rPr>
        <w:t>New Second Lien Term Loan</w:t>
      </w:r>
      <w:r>
        <w:rPr>
          <w:rFonts w:ascii="Arial" w:cs="Arial" w:eastAsia="Arial" w:hAnsi="Arial"/>
          <w:sz w:val="18"/>
          <w:szCs w:val="18"/>
          <w:color w:val="auto"/>
        </w:rPr>
        <w:t>” and together with the New First Lien Term Loan, the “</w:t>
      </w:r>
      <w:r>
        <w:rPr>
          <w:rFonts w:ascii="Arial" w:cs="Arial" w:eastAsia="Arial" w:hAnsi="Arial"/>
          <w:sz w:val="18"/>
          <w:szCs w:val="18"/>
          <w:b w:val="1"/>
          <w:bCs w:val="1"/>
          <w:i w:val="1"/>
          <w:iCs w:val="1"/>
          <w:color w:val="auto"/>
        </w:rPr>
        <w:t>New Term Loans</w:t>
      </w:r>
      <w:r>
        <w:rPr>
          <w:rFonts w:ascii="Arial" w:cs="Arial" w:eastAsia="Arial" w:hAnsi="Arial"/>
          <w:sz w:val="18"/>
          <w:szCs w:val="18"/>
          <w:i w:val="1"/>
          <w:iCs w:val="1"/>
          <w:color w:val="auto"/>
        </w:rPr>
        <w:t>”</w:t>
      </w:r>
      <w:r>
        <w:rPr>
          <w:rFonts w:ascii="Arial" w:cs="Arial" w:eastAsia="Arial" w:hAnsi="Arial"/>
          <w:sz w:val="18"/>
          <w:szCs w:val="18"/>
          <w:color w:val="auto"/>
        </w:rPr>
        <w:t>), and a Revolving Credit Facility Agreement (the “</w:t>
      </w:r>
      <w:r>
        <w:rPr>
          <w:rFonts w:ascii="Arial" w:cs="Arial" w:eastAsia="Arial" w:hAnsi="Arial"/>
          <w:sz w:val="18"/>
          <w:szCs w:val="18"/>
          <w:b w:val="1"/>
          <w:bCs w:val="1"/>
          <w:i w:val="1"/>
          <w:iCs w:val="1"/>
          <w:color w:val="auto"/>
        </w:rPr>
        <w:t>New Revolver</w:t>
      </w:r>
      <w:r>
        <w:rPr>
          <w:rFonts w:ascii="Arial" w:cs="Arial" w:eastAsia="Arial" w:hAnsi="Arial"/>
          <w:sz w:val="18"/>
          <w:szCs w:val="18"/>
          <w:color w:val="auto"/>
        </w:rPr>
        <w:t>”) with a syndicate of lenders (collectively with the New Term Loans, the “</w:t>
      </w:r>
      <w:r>
        <w:rPr>
          <w:rFonts w:ascii="Arial" w:cs="Arial" w:eastAsia="Arial" w:hAnsi="Arial"/>
          <w:sz w:val="18"/>
          <w:szCs w:val="18"/>
          <w:b w:val="1"/>
          <w:bCs w:val="1"/>
          <w:i w:val="1"/>
          <w:iCs w:val="1"/>
          <w:color w:val="auto"/>
        </w:rPr>
        <w:t>2018 Credit Facilities</w:t>
      </w:r>
      <w:r>
        <w:rPr>
          <w:rFonts w:ascii="Arial" w:cs="Arial" w:eastAsia="Arial" w:hAnsi="Arial"/>
          <w:sz w:val="18"/>
          <w:szCs w:val="18"/>
          <w:color w:val="auto"/>
        </w:rPr>
        <w:t>”). The 2018 Credit Facilities provide for committed senior secured financing of $1.115 billion, consisting of the New Term Loans in an aggregate principal amount of $1.04 billion and the New Revolver available for loans and letters of credit with an aggregate revolving commitment of up to $75 million (based on borrowing based eligibility as described below).</w:t>
      </w:r>
    </w:p>
    <w:p>
      <w:pPr>
        <w:spacing w:after="0" w:line="166" w:lineRule="exact"/>
        <w:rPr>
          <w:sz w:val="20"/>
          <w:szCs w:val="20"/>
          <w:color w:val="auto"/>
        </w:rPr>
      </w:pPr>
    </w:p>
    <w:p>
      <w:pPr>
        <w:jc w:val="both"/>
        <w:ind w:firstLine="815"/>
        <w:spacing w:after="0" w:line="276" w:lineRule="auto"/>
        <w:rPr>
          <w:sz w:val="20"/>
          <w:szCs w:val="20"/>
          <w:color w:val="auto"/>
        </w:rPr>
      </w:pPr>
      <w:r>
        <w:rPr>
          <w:rFonts w:ascii="Arial" w:cs="Arial" w:eastAsia="Arial" w:hAnsi="Arial"/>
          <w:sz w:val="17"/>
          <w:szCs w:val="17"/>
          <w:color w:val="auto"/>
        </w:rPr>
        <w:t>The 2018 Credit Facilities replaced the previous First Lien Term Loan Credit Agreement (the “</w:t>
      </w:r>
      <w:r>
        <w:rPr>
          <w:rFonts w:ascii="Arial" w:cs="Arial" w:eastAsia="Arial" w:hAnsi="Arial"/>
          <w:sz w:val="17"/>
          <w:szCs w:val="17"/>
          <w:b w:val="1"/>
          <w:bCs w:val="1"/>
          <w:i w:val="1"/>
          <w:iCs w:val="1"/>
          <w:color w:val="auto"/>
        </w:rPr>
        <w:t>Old First Lien Term Loan</w:t>
      </w:r>
      <w:r>
        <w:rPr>
          <w:rFonts w:ascii="Arial" w:cs="Arial" w:eastAsia="Arial" w:hAnsi="Arial"/>
          <w:sz w:val="17"/>
          <w:szCs w:val="17"/>
          <w:color w:val="auto"/>
        </w:rPr>
        <w:t>”), the Second Lien Term Loan Credit Agreement (the “</w:t>
      </w:r>
      <w:r>
        <w:rPr>
          <w:rFonts w:ascii="Arial" w:cs="Arial" w:eastAsia="Arial" w:hAnsi="Arial"/>
          <w:sz w:val="17"/>
          <w:szCs w:val="17"/>
          <w:b w:val="1"/>
          <w:bCs w:val="1"/>
          <w:i w:val="1"/>
          <w:iCs w:val="1"/>
          <w:color w:val="auto"/>
        </w:rPr>
        <w:t>Old Second Lien Term Loan</w:t>
      </w:r>
      <w:r>
        <w:rPr>
          <w:rFonts w:ascii="Arial" w:cs="Arial" w:eastAsia="Arial" w:hAnsi="Arial"/>
          <w:sz w:val="17"/>
          <w:szCs w:val="17"/>
          <w:color w:val="auto"/>
        </w:rPr>
        <w:t>” and together with the Old First Lien Term Loan, the “</w:t>
      </w:r>
      <w:r>
        <w:rPr>
          <w:rFonts w:ascii="Arial" w:cs="Arial" w:eastAsia="Arial" w:hAnsi="Arial"/>
          <w:sz w:val="17"/>
          <w:szCs w:val="17"/>
          <w:b w:val="1"/>
          <w:bCs w:val="1"/>
          <w:i w:val="1"/>
          <w:iCs w:val="1"/>
          <w:color w:val="auto"/>
        </w:rPr>
        <w:t>Old Term Loans</w:t>
      </w:r>
      <w:r>
        <w:rPr>
          <w:rFonts w:ascii="Arial" w:cs="Arial" w:eastAsia="Arial" w:hAnsi="Arial"/>
          <w:sz w:val="17"/>
          <w:szCs w:val="17"/>
          <w:i w:val="1"/>
          <w:iCs w:val="1"/>
          <w:color w:val="auto"/>
        </w:rPr>
        <w:t>”</w:t>
      </w:r>
      <w:r>
        <w:rPr>
          <w:rFonts w:ascii="Arial" w:cs="Arial" w:eastAsia="Arial" w:hAnsi="Arial"/>
          <w:sz w:val="17"/>
          <w:szCs w:val="17"/>
          <w:color w:val="auto"/>
        </w:rPr>
        <w:t>), which were repaid concurrent with the closing on the 2018 Credit Facilities, and a preexisting Revolving Credit Facility Agreement (the “</w:t>
      </w:r>
      <w:r>
        <w:rPr>
          <w:rFonts w:ascii="Arial" w:cs="Arial" w:eastAsia="Arial" w:hAnsi="Arial"/>
          <w:sz w:val="17"/>
          <w:szCs w:val="17"/>
          <w:b w:val="1"/>
          <w:bCs w:val="1"/>
          <w:i w:val="1"/>
          <w:iCs w:val="1"/>
          <w:color w:val="auto"/>
        </w:rPr>
        <w:t>Old Revolver</w:t>
      </w:r>
      <w:r>
        <w:rPr>
          <w:rFonts w:ascii="Arial" w:cs="Arial" w:eastAsia="Arial" w:hAnsi="Arial"/>
          <w:sz w:val="17"/>
          <w:szCs w:val="17"/>
          <w:color w:val="auto"/>
        </w:rPr>
        <w:t>”, collectively with the Old Term Loans, the “</w:t>
      </w:r>
      <w:r>
        <w:rPr>
          <w:rFonts w:ascii="Arial" w:cs="Arial" w:eastAsia="Arial" w:hAnsi="Arial"/>
          <w:sz w:val="17"/>
          <w:szCs w:val="17"/>
          <w:b w:val="1"/>
          <w:bCs w:val="1"/>
          <w:i w:val="1"/>
          <w:iCs w:val="1"/>
          <w:color w:val="auto"/>
        </w:rPr>
        <w:t>2017 Credit Facilities</w:t>
      </w:r>
      <w:r>
        <w:rPr>
          <w:rFonts w:ascii="Arial" w:cs="Arial" w:eastAsia="Arial" w:hAnsi="Arial"/>
          <w:sz w:val="17"/>
          <w:szCs w:val="17"/>
          <w:color w:val="auto"/>
        </w:rPr>
        <w:t>”), which was undrawn at close. The outstanding balances at the date of close on the Old Term Loans, which were repaid with proceeds from the 2018 Credit Facilities and are no longer outstanding, were $323 million and $125 million, respectively.</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41" w:name="page42"/>
    <w:bookmarkEnd w:id="4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90" w:lineRule="exact"/>
        <w:rPr>
          <w:sz w:val="20"/>
          <w:szCs w:val="20"/>
          <w:color w:val="auto"/>
        </w:rPr>
      </w:pPr>
    </w:p>
    <w:p>
      <w:pPr>
        <w:jc w:val="both"/>
        <w:ind w:firstLine="815"/>
        <w:spacing w:after="0" w:line="259" w:lineRule="auto"/>
        <w:rPr>
          <w:sz w:val="20"/>
          <w:szCs w:val="20"/>
          <w:color w:val="auto"/>
        </w:rPr>
      </w:pPr>
      <w:r>
        <w:rPr>
          <w:rFonts w:ascii="Arial" w:cs="Arial" w:eastAsia="Arial" w:hAnsi="Arial"/>
          <w:sz w:val="18"/>
          <w:szCs w:val="18"/>
          <w:color w:val="auto"/>
        </w:rPr>
        <w:t>The New First Lien Term Loan is repayable 1.0% per annum of the amount initially borrowed, paid in quarterly installments. The New First Lien Term Loan matures on February 28, 2025. The New First Lien Term Loan bears interest based, at our option, on either (1) LIBOR plus an applicable margin of 3.75% per annum, or (2) an alternate base rate plus an applicable margin of 2.75% per annum. At June 30, 2019, the interest rate on the New First Lien Term Loan was 6.15%.</w:t>
      </w:r>
    </w:p>
    <w:p>
      <w:pPr>
        <w:spacing w:after="0" w:line="214" w:lineRule="exact"/>
        <w:rPr>
          <w:sz w:val="20"/>
          <w:szCs w:val="20"/>
          <w:color w:val="auto"/>
        </w:rPr>
      </w:pPr>
    </w:p>
    <w:p>
      <w:pPr>
        <w:jc w:val="both"/>
        <w:ind w:firstLine="815"/>
        <w:spacing w:after="0" w:line="264" w:lineRule="auto"/>
        <w:rPr>
          <w:sz w:val="20"/>
          <w:szCs w:val="20"/>
          <w:color w:val="auto"/>
        </w:rPr>
      </w:pPr>
      <w:r>
        <w:rPr>
          <w:rFonts w:ascii="Arial" w:cs="Arial" w:eastAsia="Arial" w:hAnsi="Arial"/>
          <w:sz w:val="18"/>
          <w:szCs w:val="18"/>
          <w:color w:val="auto"/>
        </w:rPr>
        <w:t>In addition, the New First Lien Term Loan contains provisions that require mandatory prepayments of excess cash flow (as defined by the New First Lien Term Loan agreement) to be made as of the last day of the fiscal year, beginning with fiscal year ending December 31, 2019, in an amount equal to the percentages set forth in the following table:</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3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Applicable</w:t>
            </w:r>
          </w:p>
        </w:tc>
        <w:tc>
          <w:tcPr>
            <w:tcW w:w="0" w:type="dxa"/>
            <w:vAlign w:val="bottom"/>
          </w:tcPr>
          <w:p>
            <w:pPr>
              <w:spacing w:after="0"/>
              <w:rPr>
                <w:sz w:val="1"/>
                <w:szCs w:val="1"/>
                <w:color w:val="auto"/>
              </w:rPr>
            </w:pPr>
          </w:p>
        </w:tc>
      </w:tr>
      <w:tr>
        <w:trPr>
          <w:trHeight w:val="149"/>
        </w:trPr>
        <w:tc>
          <w:tcPr>
            <w:tcW w:w="9080" w:type="dxa"/>
            <w:vAlign w:val="bottom"/>
            <w:gridSpan w:val="7"/>
            <w:vMerge w:val="restart"/>
          </w:tcPr>
          <w:p>
            <w:pPr>
              <w:spacing w:after="0"/>
              <w:rPr>
                <w:sz w:val="20"/>
                <w:szCs w:val="20"/>
                <w:color w:val="auto"/>
              </w:rPr>
            </w:pPr>
            <w:r>
              <w:rPr>
                <w:rFonts w:ascii="Arial" w:cs="Arial" w:eastAsia="Arial" w:hAnsi="Arial"/>
                <w:sz w:val="14"/>
                <w:szCs w:val="14"/>
                <w:b w:val="1"/>
                <w:bCs w:val="1"/>
                <w:color w:val="auto"/>
              </w:rPr>
              <w:t>Consolidated first lien net leverage ratio (as defined by the New First Lien Term Loan agreement)</w:t>
            </w:r>
          </w:p>
        </w:tc>
        <w:tc>
          <w:tcPr>
            <w:tcW w:w="23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prepayment</w:t>
            </w:r>
          </w:p>
        </w:tc>
        <w:tc>
          <w:tcPr>
            <w:tcW w:w="0" w:type="dxa"/>
            <w:vAlign w:val="bottom"/>
          </w:tcPr>
          <w:p>
            <w:pPr>
              <w:spacing w:after="0"/>
              <w:rPr>
                <w:sz w:val="1"/>
                <w:szCs w:val="1"/>
                <w:color w:val="auto"/>
              </w:rPr>
            </w:pPr>
          </w:p>
        </w:tc>
      </w:tr>
      <w:tr>
        <w:trPr>
          <w:trHeight w:val="171"/>
        </w:trPr>
        <w:tc>
          <w:tcPr>
            <w:tcW w:w="9080" w:type="dxa"/>
            <w:vAlign w:val="bottom"/>
            <w:gridSpan w:val="7"/>
            <w:vMerge w:val="continue"/>
          </w:tcPr>
          <w:p>
            <w:pPr>
              <w:spacing w:after="0"/>
              <w:rPr>
                <w:sz w:val="14"/>
                <w:szCs w:val="14"/>
                <w:color w:val="auto"/>
              </w:rPr>
            </w:pPr>
          </w:p>
        </w:tc>
        <w:tc>
          <w:tcPr>
            <w:tcW w:w="23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percentage</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60" w:type="dxa"/>
            <w:vAlign w:val="bottom"/>
            <w:tcBorders>
              <w:top w:val="single" w:sz="8" w:color="auto"/>
            </w:tcBorders>
            <w:gridSpan w:val="5"/>
            <w:shd w:val="clear" w:color="auto" w:fill="CFF0FC"/>
          </w:tcPr>
          <w:p>
            <w:pPr>
              <w:jc w:val="center"/>
              <w:ind w:right="20"/>
              <w:spacing w:after="0"/>
              <w:rPr>
                <w:sz w:val="20"/>
                <w:szCs w:val="20"/>
                <w:color w:val="auto"/>
              </w:rPr>
            </w:pPr>
            <w:r>
              <w:rPr>
                <w:rFonts w:ascii="Arial" w:cs="Arial" w:eastAsia="Arial" w:hAnsi="Arial"/>
                <w:sz w:val="18"/>
                <w:szCs w:val="18"/>
                <w:color w:val="auto"/>
                <w:w w:val="92"/>
              </w:rPr>
              <w:t>&gt; 3.70:1.00</w:t>
            </w:r>
          </w:p>
        </w:tc>
        <w:tc>
          <w:tcPr>
            <w:tcW w:w="200" w:type="dxa"/>
            <w:vAlign w:val="bottom"/>
            <w:tcBorders>
              <w:top w:val="single" w:sz="8" w:color="CFF0FC"/>
            </w:tcBorders>
            <w:shd w:val="clear" w:color="auto" w:fill="CFF0FC"/>
          </w:tcPr>
          <w:p>
            <w:pPr>
              <w:spacing w:after="0"/>
              <w:rPr>
                <w:sz w:val="19"/>
                <w:szCs w:val="19"/>
                <w:color w:val="auto"/>
              </w:rPr>
            </w:pPr>
          </w:p>
        </w:tc>
        <w:tc>
          <w:tcPr>
            <w:tcW w:w="222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8"/>
              </w:rPr>
              <w:t>50%</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060" w:type="dxa"/>
            <w:vAlign w:val="bottom"/>
            <w:gridSpan w:val="6"/>
          </w:tcPr>
          <w:p>
            <w:pPr>
              <w:jc w:val="center"/>
              <w:ind w:right="220"/>
              <w:spacing w:after="0" w:line="189" w:lineRule="exact"/>
              <w:rPr>
                <w:sz w:val="20"/>
                <w:szCs w:val="20"/>
                <w:color w:val="auto"/>
              </w:rPr>
            </w:pPr>
            <w:r>
              <w:rPr>
                <w:rFonts w:ascii="Arial" w:cs="Arial" w:eastAsia="Arial" w:hAnsi="Arial"/>
                <w:sz w:val="18"/>
                <w:szCs w:val="18"/>
                <w:color w:val="auto"/>
                <w:w w:val="90"/>
              </w:rPr>
              <w:t>&lt; 3.70:1.00 and &gt; 3.20:1.00</w:t>
            </w:r>
          </w:p>
        </w:tc>
        <w:tc>
          <w:tcPr>
            <w:tcW w:w="2220" w:type="dxa"/>
            <w:vAlign w:val="bottom"/>
          </w:tcPr>
          <w:p>
            <w:pPr>
              <w:jc w:val="center"/>
              <w:spacing w:after="0" w:line="189" w:lineRule="exact"/>
              <w:rPr>
                <w:sz w:val="20"/>
                <w:szCs w:val="20"/>
                <w:color w:val="auto"/>
              </w:rPr>
            </w:pPr>
            <w:r>
              <w:rPr>
                <w:rFonts w:ascii="Arial" w:cs="Arial" w:eastAsia="Arial" w:hAnsi="Arial"/>
                <w:sz w:val="18"/>
                <w:szCs w:val="18"/>
                <w:color w:val="auto"/>
                <w:w w:val="88"/>
              </w:rPr>
              <w:t>25%</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8860" w:type="dxa"/>
            <w:vAlign w:val="bottom"/>
            <w:gridSpan w:val="5"/>
            <w:shd w:val="clear" w:color="auto" w:fill="CFF0FC"/>
          </w:tcPr>
          <w:p>
            <w:pPr>
              <w:jc w:val="center"/>
              <w:ind w:right="20"/>
              <w:spacing w:after="0" w:line="189" w:lineRule="exact"/>
              <w:rPr>
                <w:sz w:val="20"/>
                <w:szCs w:val="20"/>
                <w:color w:val="auto"/>
              </w:rPr>
            </w:pPr>
            <w:r>
              <w:rPr>
                <w:rFonts w:ascii="Arial" w:cs="Arial" w:eastAsia="Arial" w:hAnsi="Arial"/>
                <w:sz w:val="18"/>
                <w:szCs w:val="18"/>
                <w:color w:val="auto"/>
                <w:w w:val="92"/>
              </w:rPr>
              <w:t>&lt; 3.20:1.00</w:t>
            </w:r>
          </w:p>
        </w:tc>
        <w:tc>
          <w:tcPr>
            <w:tcW w:w="200" w:type="dxa"/>
            <w:vAlign w:val="bottom"/>
            <w:shd w:val="clear" w:color="auto" w:fill="CFF0FC"/>
          </w:tcPr>
          <w:p>
            <w:pPr>
              <w:spacing w:after="0"/>
              <w:rPr>
                <w:sz w:val="16"/>
                <w:szCs w:val="16"/>
                <w:color w:val="auto"/>
              </w:rPr>
            </w:pPr>
          </w:p>
        </w:tc>
        <w:tc>
          <w:tcPr>
            <w:tcW w:w="2220" w:type="dxa"/>
            <w:vAlign w:val="bottom"/>
            <w:shd w:val="clear" w:color="auto" w:fill="CFF0FC"/>
          </w:tcPr>
          <w:p>
            <w:pPr>
              <w:jc w:val="center"/>
              <w:spacing w:after="0" w:line="189" w:lineRule="exact"/>
              <w:rPr>
                <w:sz w:val="20"/>
                <w:szCs w:val="20"/>
                <w:color w:val="auto"/>
              </w:rPr>
            </w:pPr>
            <w:r>
              <w:rPr>
                <w:rFonts w:ascii="Arial" w:cs="Arial" w:eastAsia="Arial" w:hAnsi="Arial"/>
                <w:sz w:val="18"/>
                <w:szCs w:val="18"/>
                <w:color w:val="auto"/>
                <w:w w:val="92"/>
              </w:rPr>
              <w:t>0%</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4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4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CFF0FC"/>
          </w:tcPr>
          <w:p>
            <w:pPr>
              <w:spacing w:after="0" w:line="20" w:lineRule="exact"/>
              <w:rPr>
                <w:sz w:val="1"/>
                <w:szCs w:val="1"/>
                <w:color w:val="auto"/>
              </w:rPr>
            </w:pPr>
          </w:p>
        </w:tc>
        <w:tc>
          <w:tcPr>
            <w:tcW w:w="476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2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firstLine="815"/>
        <w:spacing w:after="0" w:line="264" w:lineRule="auto"/>
        <w:rPr>
          <w:sz w:val="20"/>
          <w:szCs w:val="20"/>
          <w:color w:val="auto"/>
        </w:rPr>
      </w:pPr>
      <w:r>
        <w:rPr>
          <w:rFonts w:ascii="Arial" w:cs="Arial" w:eastAsia="Arial" w:hAnsi="Arial"/>
          <w:sz w:val="18"/>
          <w:szCs w:val="18"/>
          <w:color w:val="auto"/>
        </w:rPr>
        <w:t>On July 24, 2018, we secured a $70 million incremental loan commitment under the New First Lien Term Loan. The proceeds of this incremental borrowing, together with a portion of the funds held in the Company upon the closing of the Business Combination, were used to repay our $200 million New Second Lien Term Loan in full.</w:t>
      </w:r>
    </w:p>
    <w:p>
      <w:pPr>
        <w:spacing w:after="0" w:line="154" w:lineRule="exact"/>
        <w:rPr>
          <w:sz w:val="20"/>
          <w:szCs w:val="20"/>
          <w:color w:val="auto"/>
        </w:rPr>
      </w:pPr>
    </w:p>
    <w:p>
      <w:pPr>
        <w:jc w:val="both"/>
        <w:ind w:firstLine="815"/>
        <w:spacing w:after="0" w:line="272" w:lineRule="auto"/>
        <w:rPr>
          <w:sz w:val="20"/>
          <w:szCs w:val="20"/>
          <w:color w:val="auto"/>
        </w:rPr>
      </w:pPr>
      <w:r>
        <w:rPr>
          <w:rFonts w:ascii="Arial" w:cs="Arial" w:eastAsia="Arial" w:hAnsi="Arial"/>
          <w:sz w:val="17"/>
          <w:szCs w:val="17"/>
          <w:color w:val="auto"/>
        </w:rPr>
        <w:t>The New Revolver matures on February 28, 2023. Borrowing eligibility under the New Revolver is subject to a monthly borrowing base calculation based on (i) certain percentages of eligible accounts receivable and inventory, less (ii) certain reserve items, including outstanding letters of credit and other reserves. We may at any time, on not more than five occasions, request an increase to the New Revolver of up to an aggregate amount of $50 million. The New Revolver bears interest on either (1) LIBOR plus an applicable margin, or (2) an alternate base rate, plus an applicable margin. The margin percentage applied to (1) LIBOR is either 1.25%, 1.50%, or 1.75%, or (2) the base rate is either 0.25%, 0.50%, or 0.75%, depending on our average availability to borrow under the commitment. At June 30, 2019, we had no outstanding borrowings on the New Revolver and availability to borrow under the New Revolver was $74.9 million, net of $0.1 million of outstanding letters of credit.</w:t>
      </w:r>
    </w:p>
    <w:p>
      <w:pPr>
        <w:spacing w:after="0" w:line="137" w:lineRule="exact"/>
        <w:rPr>
          <w:sz w:val="20"/>
          <w:szCs w:val="20"/>
          <w:color w:val="auto"/>
        </w:rPr>
      </w:pPr>
    </w:p>
    <w:p>
      <w:pPr>
        <w:jc w:val="both"/>
        <w:ind w:firstLine="815"/>
        <w:spacing w:after="0" w:line="277" w:lineRule="auto"/>
        <w:rPr>
          <w:sz w:val="20"/>
          <w:szCs w:val="20"/>
          <w:color w:val="auto"/>
        </w:rPr>
      </w:pPr>
      <w:r>
        <w:rPr>
          <w:rFonts w:ascii="Arial" w:cs="Arial" w:eastAsia="Arial" w:hAnsi="Arial"/>
          <w:sz w:val="18"/>
          <w:szCs w:val="18"/>
          <w:color w:val="auto"/>
        </w:rPr>
        <w:t>Interest on the unused portion of the New Revolver is payable quarterly at 0.375% at June 30, 2019. We are also required to pay participation and fronting fees on $0.1 million in outstanding letters of credit at 1.38% as of June 30, 2019.</w:t>
      </w:r>
    </w:p>
    <w:p>
      <w:pPr>
        <w:spacing w:after="0" w:line="130" w:lineRule="exact"/>
        <w:rPr>
          <w:sz w:val="20"/>
          <w:szCs w:val="20"/>
          <w:color w:val="auto"/>
        </w:rPr>
      </w:pPr>
    </w:p>
    <w:p>
      <w:pPr>
        <w:jc w:val="both"/>
        <w:ind w:firstLine="815"/>
        <w:spacing w:after="0" w:line="312" w:lineRule="auto"/>
        <w:rPr>
          <w:sz w:val="20"/>
          <w:szCs w:val="20"/>
          <w:color w:val="auto"/>
        </w:rPr>
      </w:pPr>
      <w:r>
        <w:rPr>
          <w:rFonts w:ascii="Arial" w:cs="Arial" w:eastAsia="Arial" w:hAnsi="Arial"/>
          <w:sz w:val="16"/>
          <w:szCs w:val="16"/>
          <w:color w:val="auto"/>
        </w:rPr>
        <w:t>All borrowings and other extensions of credits under the 2018 Credit Facilities are subject to the satisfaction of customary conditions and restrictive covenants including absence of defaults and accuracy in material respects of representations and warranties. At June 30, 2019, we were compliant with the 2018 Credit Facilities covenants. Substantially all of our assets are pledged as collateral to secure our indebtedness under the 2018 Credit Facilities.</w:t>
      </w:r>
    </w:p>
    <w:p>
      <w:pPr>
        <w:spacing w:after="0" w:line="120" w:lineRule="exact"/>
        <w:rPr>
          <w:sz w:val="20"/>
          <w:szCs w:val="20"/>
          <w:color w:val="auto"/>
        </w:rPr>
      </w:pPr>
    </w:p>
    <w:p>
      <w:pPr>
        <w:jc w:val="both"/>
        <w:ind w:firstLine="815"/>
        <w:spacing w:after="0" w:line="264" w:lineRule="auto"/>
        <w:rPr>
          <w:sz w:val="20"/>
          <w:szCs w:val="20"/>
          <w:color w:val="auto"/>
        </w:rPr>
      </w:pPr>
      <w:r>
        <w:rPr>
          <w:rFonts w:ascii="Arial" w:cs="Arial" w:eastAsia="Arial" w:hAnsi="Arial"/>
          <w:sz w:val="18"/>
          <w:szCs w:val="18"/>
          <w:color w:val="auto"/>
        </w:rPr>
        <w:t>We recognized a charge of $10.2 million in the six months ending June 30, 2018 consisting of a $3.8 million prepayment penalty on the Old Term Loan balances, a $2.0 million write-off of preexisting deferred financing costs and $4.4 million of lender and third-party costs associated with the issuance of the 2018 Credit Facilities.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Estimates and Judgments</w:t>
      </w:r>
    </w:p>
    <w:p>
      <w:pPr>
        <w:spacing w:after="0" w:line="189" w:lineRule="exact"/>
        <w:rPr>
          <w:sz w:val="20"/>
          <w:szCs w:val="20"/>
          <w:color w:val="auto"/>
        </w:rPr>
      </w:pPr>
    </w:p>
    <w:p>
      <w:pPr>
        <w:jc w:val="both"/>
        <w:ind w:firstLine="815"/>
        <w:spacing w:after="0" w:line="273" w:lineRule="auto"/>
        <w:rPr>
          <w:sz w:val="20"/>
          <w:szCs w:val="20"/>
          <w:color w:val="auto"/>
        </w:rPr>
      </w:pPr>
      <w:r>
        <w:rPr>
          <w:rFonts w:ascii="Arial" w:cs="Arial" w:eastAsia="Arial" w:hAnsi="Arial"/>
          <w:sz w:val="17"/>
          <w:szCs w:val="17"/>
          <w:color w:val="auto"/>
        </w:rPr>
        <w:t>The preparation of consolidated financial statements in conformity with GAAP requires management to make estimates and assumptions that affect the amounts reported in the consolidated financial statements and accompanying notes. Significant items subject to such estimates and assumptions include the fair values assigned to net assets acquired (including identifiable intangibles) in business combinations, the carrying amounts of long-lived assets, goodwill and installation and service parts, the allowance for doubtful accounts, valuation allowances on deferred tax assets, asset retirement obligations, contingent consideration and the recognition and measurement of loss contingencies. Management believes that our estimates and assumptions are reasonable in the circumstances; however, actual results could differ materially from those estimates.</w:t>
      </w:r>
    </w:p>
    <w:p>
      <w:pPr>
        <w:spacing w:after="0" w:line="151" w:lineRule="exact"/>
        <w:rPr>
          <w:sz w:val="20"/>
          <w:szCs w:val="20"/>
          <w:color w:val="auto"/>
        </w:rPr>
      </w:pPr>
    </w:p>
    <w:p>
      <w:pPr>
        <w:jc w:val="both"/>
        <w:ind w:firstLine="815"/>
        <w:spacing w:after="0" w:line="264" w:lineRule="auto"/>
        <w:rPr>
          <w:sz w:val="20"/>
          <w:szCs w:val="20"/>
          <w:color w:val="auto"/>
        </w:rPr>
      </w:pPr>
      <w:r>
        <w:rPr>
          <w:rFonts w:ascii="Arial" w:cs="Arial" w:eastAsia="Arial" w:hAnsi="Arial"/>
          <w:sz w:val="18"/>
          <w:szCs w:val="18"/>
          <w:color w:val="auto"/>
        </w:rPr>
        <w:t>We believe that the critical accounting policy listed below involves our more significant judgments, assumptions, and estimates and, therefore, could have the greatest potential impact on the financial statements. Refer to our 2018 Annual Report on Form 10-K/A for a comprehensive list of our critical accounting policies, estimates and judgments.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42" w:name="page43"/>
    <w:bookmarkEnd w:id="4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98" w:lineRule="exact"/>
        <w:rPr>
          <w:sz w:val="20"/>
          <w:szCs w:val="20"/>
          <w:color w:val="auto"/>
        </w:rPr>
      </w:pPr>
    </w:p>
    <w:p>
      <w:pPr>
        <w:jc w:val="both"/>
        <w:ind w:firstLine="815"/>
        <w:spacing w:after="0" w:line="254" w:lineRule="auto"/>
        <w:rPr>
          <w:sz w:val="20"/>
          <w:szCs w:val="20"/>
          <w:color w:val="auto"/>
        </w:rPr>
      </w:pPr>
      <w:r>
        <w:rPr>
          <w:rFonts w:ascii="Arial" w:cs="Arial" w:eastAsia="Arial" w:hAnsi="Arial"/>
          <w:sz w:val="18"/>
          <w:szCs w:val="18"/>
          <w:i w:val="1"/>
          <w:iCs w:val="1"/>
          <w:color w:val="auto"/>
        </w:rPr>
        <w:t>Commercial Services</w:t>
      </w:r>
      <w:r>
        <w:rPr>
          <w:rFonts w:ascii="Arial" w:cs="Arial" w:eastAsia="Arial" w:hAnsi="Arial"/>
          <w:sz w:val="18"/>
          <w:szCs w:val="18"/>
          <w:color w:val="auto"/>
        </w:rPr>
        <w:t>. The Commercial Services segment offers toll and violation management solutions for the commercial fleet and rental car</w:t>
      </w:r>
      <w:r>
        <w:rPr>
          <w:rFonts w:ascii="Arial" w:cs="Arial" w:eastAsia="Arial" w:hAnsi="Arial"/>
          <w:sz w:val="18"/>
          <w:szCs w:val="18"/>
          <w:i w:val="1"/>
          <w:iCs w:val="1"/>
          <w:color w:val="auto"/>
        </w:rPr>
        <w:t xml:space="preserve"> </w:t>
      </w:r>
      <w:r>
        <w:rPr>
          <w:rFonts w:ascii="Arial" w:cs="Arial" w:eastAsia="Arial" w:hAnsi="Arial"/>
          <w:sz w:val="18"/>
          <w:szCs w:val="18"/>
          <w:color w:val="auto"/>
        </w:rPr>
        <w:t>industries by partnering with the leading fleet management and rental car companies in North America and Europe. We have determined our performance obligation is a distinct stand-ready obligation as there is an unspecified quantity of services provided that does not diminish, and the customer is being charged only when it uses our services, such as toll payment, title and registration, etc. Therefore, all services provided within the Commercial Services segment are accounted for as a single performance obligation, of a series of distinct items, with distinct time increments, as a stand ready obligation. Payment terms for contracts with commercial fleet and rental car companies vary, but are usually billed as services are performed. Revenue from services provided in the Commercial Services segment are recognized over time as the customer simultaneously receives and consumes the benefits provided by us as we perform the services.</w:t>
      </w:r>
    </w:p>
    <w:p>
      <w:pPr>
        <w:spacing w:after="0" w:line="152" w:lineRule="exact"/>
        <w:rPr>
          <w:sz w:val="20"/>
          <w:szCs w:val="20"/>
          <w:color w:val="auto"/>
        </w:rPr>
      </w:pPr>
    </w:p>
    <w:p>
      <w:pPr>
        <w:jc w:val="both"/>
        <w:ind w:firstLine="815"/>
        <w:spacing w:after="0" w:line="276" w:lineRule="auto"/>
        <w:rPr>
          <w:sz w:val="20"/>
          <w:szCs w:val="20"/>
          <w:color w:val="auto"/>
        </w:rPr>
      </w:pPr>
      <w:r>
        <w:rPr>
          <w:rFonts w:ascii="Arial" w:cs="Arial" w:eastAsia="Arial" w:hAnsi="Arial"/>
          <w:sz w:val="17"/>
          <w:szCs w:val="17"/>
          <w:i w:val="1"/>
          <w:iCs w:val="1"/>
          <w:color w:val="auto"/>
        </w:rPr>
        <w:t xml:space="preserve">Government Solutions. </w:t>
      </w:r>
      <w:r>
        <w:rPr>
          <w:rFonts w:ascii="Arial" w:cs="Arial" w:eastAsia="Arial" w:hAnsi="Arial"/>
          <w:sz w:val="17"/>
          <w:szCs w:val="17"/>
          <w:color w:val="auto"/>
        </w:rPr>
        <w:t>The Government Solutions segment principally generates revenue from providing complete, end-to-end red-light, speed,</w:t>
      </w:r>
      <w:r>
        <w:rPr>
          <w:rFonts w:ascii="Arial" w:cs="Arial" w:eastAsia="Arial" w:hAnsi="Arial"/>
          <w:sz w:val="17"/>
          <w:szCs w:val="17"/>
          <w:i w:val="1"/>
          <w:iCs w:val="1"/>
          <w:color w:val="auto"/>
        </w:rPr>
        <w:t xml:space="preserve"> </w:t>
      </w:r>
      <w:r>
        <w:rPr>
          <w:rFonts w:ascii="Arial" w:cs="Arial" w:eastAsia="Arial" w:hAnsi="Arial"/>
          <w:sz w:val="17"/>
          <w:szCs w:val="17"/>
          <w:color w:val="auto"/>
        </w:rPr>
        <w:t>school bus stop arm, and bus lane enforcement solutions. Products, when sold, are typically sold together with the services in a bundle. The average initial term of a contract is 3 to 5 years. Payment terms for contracts with government agencies vary depending on whether the consideration is fixed or variable. Payment terms for contracts with fixed consideration are usually based on equal installments over the duration of the contract. Payment terms for contracts with variable consideration are usually billed and collected as citations are issued or paid.</w:t>
      </w:r>
    </w:p>
    <w:p>
      <w:pPr>
        <w:spacing w:after="0" w:line="132" w:lineRule="exact"/>
        <w:rPr>
          <w:sz w:val="20"/>
          <w:szCs w:val="20"/>
          <w:color w:val="auto"/>
        </w:rPr>
      </w:pPr>
    </w:p>
    <w:p>
      <w:pPr>
        <w:jc w:val="both"/>
        <w:ind w:firstLine="815"/>
        <w:spacing w:after="0" w:line="259" w:lineRule="auto"/>
        <w:rPr>
          <w:sz w:val="20"/>
          <w:szCs w:val="20"/>
          <w:color w:val="auto"/>
        </w:rPr>
      </w:pPr>
      <w:r>
        <w:rPr>
          <w:rFonts w:ascii="Arial" w:cs="Arial" w:eastAsia="Arial" w:hAnsi="Arial"/>
          <w:sz w:val="18"/>
          <w:szCs w:val="18"/>
          <w:color w:val="auto"/>
        </w:rPr>
        <w:t>For bundled packages, we account for individual products and services separately if they are distinct – i.e., if a product or service is separately identifiable from other items in the bundle and if a customer can benefit from it as a stand-alone item. The consideration is allocated between separate products and services in a bundle based on their stand-alone selling prices (“</w:t>
      </w:r>
      <w:r>
        <w:rPr>
          <w:rFonts w:ascii="Arial" w:cs="Arial" w:eastAsia="Arial" w:hAnsi="Arial"/>
          <w:sz w:val="18"/>
          <w:szCs w:val="18"/>
          <w:b w:val="1"/>
          <w:bCs w:val="1"/>
          <w:i w:val="1"/>
          <w:iCs w:val="1"/>
          <w:color w:val="auto"/>
        </w:rPr>
        <w:t>SSP</w:t>
      </w:r>
      <w:r>
        <w:rPr>
          <w:rFonts w:ascii="Arial" w:cs="Arial" w:eastAsia="Arial" w:hAnsi="Arial"/>
          <w:sz w:val="18"/>
          <w:szCs w:val="18"/>
          <w:color w:val="auto"/>
        </w:rPr>
        <w:t>”). We estimate the SSP of our services based upon observable evidence, market conditions and other relevant inputs.</w:t>
      </w:r>
    </w:p>
    <w:p>
      <w:pPr>
        <w:spacing w:after="0" w:line="79" w:lineRule="exact"/>
        <w:rPr>
          <w:sz w:val="20"/>
          <w:szCs w:val="20"/>
          <w:color w:val="auto"/>
        </w:rPr>
      </w:pPr>
    </w:p>
    <w:p>
      <w:pPr>
        <w:jc w:val="both"/>
        <w:ind w:left="1220" w:hanging="402"/>
        <w:spacing w:after="0" w:line="264" w:lineRule="auto"/>
        <w:tabs>
          <w:tab w:leader="none" w:pos="12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Product sales (sale of camera and installation) – we recognize revenue when the installation process is completed and the camera is ready to perform the services as expected by the customer. Generally, it occurs at site acceptance or first citation. We recognize revenue for the sale of the camera and installation services at a point in time.</w:t>
      </w:r>
    </w:p>
    <w:p>
      <w:pPr>
        <w:spacing w:after="0" w:line="73" w:lineRule="exact"/>
        <w:rPr>
          <w:rFonts w:ascii="Arial" w:cs="Arial" w:eastAsia="Arial" w:hAnsi="Arial"/>
          <w:sz w:val="18"/>
          <w:szCs w:val="18"/>
          <w:color w:val="auto"/>
        </w:rPr>
      </w:pPr>
    </w:p>
    <w:p>
      <w:pPr>
        <w:jc w:val="both"/>
        <w:ind w:left="1220" w:hanging="402"/>
        <w:spacing w:after="0" w:line="269" w:lineRule="auto"/>
        <w:tabs>
          <w:tab w:leader="none" w:pos="12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Service revenue – we account for all the services as a single continuous service. We have determined our performance obligation is to provide a complete end-to-end safety and enforcement solution. Promises include providing a system to capture images, processing images taken by the camera, forwarding eligible images to the local police department and processing payments on behalf of the municipality. We determined certain of the promises to our customers are capable of being distinct as they are capable of providing some measure of benefit to the customer either on their own or together with other resources that are readily available to the customer. However, we have determined the promises to our customers do not meet the criterion of being distinct within the context of our contracts. We would not be able to fulfill our promises individually as our customers could not obtain the intended benefit from the contract without us fulfilling all promises. Accordingly, we concluded that each contract represents one service offering and is a single performance obligation to our customer. Further, we applied the series guidance for those services as the nature of the service is to provide a service for a period of time with distinct time increments. We recognize revenue from services over time, as it is performed, which is consistent with the pattern in which our customers receive and consume the benefits.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Remaining Performance Obligations</w:t>
      </w:r>
    </w:p>
    <w:p>
      <w:pPr>
        <w:spacing w:after="0" w:line="185" w:lineRule="exact"/>
        <w:rPr>
          <w:sz w:val="20"/>
          <w:szCs w:val="20"/>
          <w:color w:val="auto"/>
        </w:rPr>
      </w:pPr>
    </w:p>
    <w:p>
      <w:pPr>
        <w:jc w:val="both"/>
        <w:ind w:firstLine="815"/>
        <w:spacing w:after="0" w:line="259" w:lineRule="auto"/>
        <w:rPr>
          <w:sz w:val="20"/>
          <w:szCs w:val="20"/>
          <w:color w:val="auto"/>
        </w:rPr>
      </w:pPr>
      <w:r>
        <w:rPr>
          <w:rFonts w:ascii="Arial" w:cs="Arial" w:eastAsia="Arial" w:hAnsi="Arial"/>
          <w:sz w:val="18"/>
          <w:szCs w:val="18"/>
          <w:color w:val="auto"/>
        </w:rPr>
        <w:t>As of June 30, 2019, we had approximately $0.2 million of remaining performance obligations in the Government Solutions segment, which includes amounts that will be invoiced and recognized in future periods. The remaining performance obligations are limited only to arrangements that meet the definition of a contract as of June 30, 2019. As these amounts relate to the initial deferral of revenue under a contract, we expect to recognize these amounts over a two month period at the end of the contract.</w:t>
      </w:r>
    </w:p>
    <w:p>
      <w:pPr>
        <w:spacing w:after="0" w:line="146" w:lineRule="exact"/>
        <w:rPr>
          <w:sz w:val="20"/>
          <w:szCs w:val="20"/>
          <w:color w:val="auto"/>
        </w:rPr>
      </w:pPr>
    </w:p>
    <w:p>
      <w:pPr>
        <w:jc w:val="both"/>
        <w:ind w:firstLine="815"/>
        <w:spacing w:after="0" w:line="264" w:lineRule="auto"/>
        <w:rPr>
          <w:sz w:val="20"/>
          <w:szCs w:val="20"/>
          <w:color w:val="auto"/>
        </w:rPr>
      </w:pPr>
      <w:r>
        <w:rPr>
          <w:rFonts w:ascii="Arial" w:cs="Arial" w:eastAsia="Arial" w:hAnsi="Arial"/>
          <w:sz w:val="18"/>
          <w:szCs w:val="18"/>
          <w:color w:val="auto"/>
        </w:rPr>
        <w:t>We apply the practical expedient and do not disclose variable consideration allocated entirely to wholly unsatisfied stand-ready performance obligations for certain Government Solutions and Commercial Services contracts as part of the information about remaining performance obligations. The duration for these contracts ranges between 3 and 5 years for new contracts.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Significant Judgments</w:t>
      </w:r>
    </w:p>
    <w:p>
      <w:pPr>
        <w:spacing w:after="0" w:line="185" w:lineRule="exact"/>
        <w:rPr>
          <w:sz w:val="20"/>
          <w:szCs w:val="20"/>
          <w:color w:val="auto"/>
        </w:rPr>
      </w:pPr>
    </w:p>
    <w:p>
      <w:pPr>
        <w:jc w:val="both"/>
        <w:ind w:firstLine="815"/>
        <w:spacing w:after="0" w:line="259" w:lineRule="auto"/>
        <w:rPr>
          <w:sz w:val="20"/>
          <w:szCs w:val="20"/>
          <w:color w:val="auto"/>
        </w:rPr>
      </w:pPr>
      <w:r>
        <w:rPr>
          <w:rFonts w:ascii="Arial" w:cs="Arial" w:eastAsia="Arial" w:hAnsi="Arial"/>
          <w:sz w:val="18"/>
          <w:szCs w:val="18"/>
          <w:color w:val="auto"/>
        </w:rPr>
        <w:t>Under the new revenue standard, significant judgments are required in order to identify contracts with customers and estimate transaction prices. Additional judgments are required for the identification of distinct performance obligations, the estimation of standalone selling prices and the allocation of the transaction price by relative standalone selling prices. Assumptions regarding timing of when control transfers to the customer requires significant judgment in order to recognize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43" w:name="page44"/>
    <w:bookmarkEnd w:id="4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9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revenue. We used significant judgment related to identifying the performance obligation and determining whether the services provided are able to be distinct, determining the transaction price, specifically as it is related to the different variable consideration structures identified in our contracts, and in determining the timing of revenue recognition.</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89" w:lineRule="exact"/>
        <w:rPr>
          <w:sz w:val="20"/>
          <w:szCs w:val="20"/>
          <w:color w:val="auto"/>
        </w:rPr>
      </w:pPr>
    </w:p>
    <w:p>
      <w:pPr>
        <w:jc w:val="both"/>
        <w:ind w:firstLine="815"/>
        <w:spacing w:after="0" w:line="277" w:lineRule="auto"/>
        <w:rPr>
          <w:sz w:val="20"/>
          <w:szCs w:val="20"/>
          <w:color w:val="auto"/>
        </w:rPr>
      </w:pPr>
      <w:r>
        <w:rPr>
          <w:rFonts w:ascii="Arial" w:cs="Arial" w:eastAsia="Arial" w:hAnsi="Arial"/>
          <w:sz w:val="18"/>
          <w:szCs w:val="18"/>
          <w:color w:val="auto"/>
        </w:rPr>
        <w:t xml:space="preserve">For discussion of recent accounting pronouncements, refer to Note 2, </w:t>
      </w:r>
      <w:r>
        <w:rPr>
          <w:rFonts w:ascii="Arial" w:cs="Arial" w:eastAsia="Arial" w:hAnsi="Arial"/>
          <w:sz w:val="18"/>
          <w:szCs w:val="18"/>
          <w:i w:val="1"/>
          <w:iCs w:val="1"/>
          <w:color w:val="auto"/>
        </w:rPr>
        <w:t>Summary of Significant Accounting Principles and Policies</w:t>
      </w:r>
      <w:r>
        <w:rPr>
          <w:rFonts w:ascii="Arial" w:cs="Arial" w:eastAsia="Arial" w:hAnsi="Arial"/>
          <w:sz w:val="18"/>
          <w:szCs w:val="18"/>
          <w:color w:val="auto"/>
        </w:rPr>
        <w:t>, in Item 1, Financial Statements.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JOBS Act</w:t>
      </w:r>
    </w:p>
    <w:p>
      <w:pPr>
        <w:spacing w:after="0" w:line="202" w:lineRule="exact"/>
        <w:rPr>
          <w:sz w:val="20"/>
          <w:szCs w:val="20"/>
          <w:color w:val="auto"/>
        </w:rPr>
      </w:pPr>
    </w:p>
    <w:p>
      <w:pPr>
        <w:jc w:val="both"/>
        <w:ind w:firstLine="815"/>
        <w:spacing w:after="0" w:line="293" w:lineRule="auto"/>
        <w:rPr>
          <w:sz w:val="20"/>
          <w:szCs w:val="20"/>
          <w:color w:val="auto"/>
        </w:rPr>
      </w:pPr>
      <w:r>
        <w:rPr>
          <w:rFonts w:ascii="Arial" w:cs="Arial" w:eastAsia="Arial" w:hAnsi="Arial"/>
          <w:sz w:val="16"/>
          <w:szCs w:val="16"/>
          <w:color w:val="auto"/>
        </w:rPr>
        <w:t>We are an “emerging growth company” as defined in the Jumpstart Our Business Startups Act of 2012 (the “</w:t>
      </w:r>
      <w:r>
        <w:rPr>
          <w:rFonts w:ascii="Arial" w:cs="Arial" w:eastAsia="Arial" w:hAnsi="Arial"/>
          <w:sz w:val="16"/>
          <w:szCs w:val="16"/>
          <w:b w:val="1"/>
          <w:bCs w:val="1"/>
          <w:i w:val="1"/>
          <w:iCs w:val="1"/>
          <w:color w:val="auto"/>
        </w:rPr>
        <w:t>JOBS Act</w:t>
      </w:r>
      <w:r>
        <w:rPr>
          <w:rFonts w:ascii="Arial" w:cs="Arial" w:eastAsia="Arial" w:hAnsi="Arial"/>
          <w:sz w:val="16"/>
          <w:szCs w:val="16"/>
          <w:color w:val="auto"/>
        </w:rPr>
        <w:t>”). The JOBS Act exempts emerging growth companies from being required to comply with new or revised financial accounting standards until private companies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We have not elected to opt out of such extended transition period which means that when a standard is issued or revised and it has different application dates for public and private companies, we, as an emerging growth company, can adopt the new or revised standard at the time private companies adopt the new or revised standard.</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Data</w:t>
      </w:r>
    </w:p>
    <w:p>
      <w:pPr>
        <w:spacing w:after="0" w:line="189" w:lineRule="exact"/>
        <w:rPr>
          <w:sz w:val="20"/>
          <w:szCs w:val="20"/>
          <w:color w:val="auto"/>
        </w:rPr>
      </w:pPr>
    </w:p>
    <w:p>
      <w:pPr>
        <w:jc w:val="both"/>
        <w:ind w:firstLine="815"/>
        <w:spacing w:after="0" w:line="290" w:lineRule="auto"/>
        <w:rPr>
          <w:sz w:val="20"/>
          <w:szCs w:val="20"/>
          <w:color w:val="auto"/>
        </w:rPr>
      </w:pPr>
      <w:r>
        <w:rPr>
          <w:rFonts w:ascii="Arial" w:cs="Arial" w:eastAsia="Arial" w:hAnsi="Arial"/>
          <w:sz w:val="16"/>
          <w:szCs w:val="16"/>
          <w:color w:val="auto"/>
        </w:rPr>
        <w:t>We define “</w:t>
      </w:r>
      <w:r>
        <w:rPr>
          <w:rFonts w:ascii="Arial" w:cs="Arial" w:eastAsia="Arial" w:hAnsi="Arial"/>
          <w:sz w:val="16"/>
          <w:szCs w:val="16"/>
          <w:b w:val="1"/>
          <w:bCs w:val="1"/>
          <w:i w:val="1"/>
          <w:iCs w:val="1"/>
          <w:color w:val="auto"/>
        </w:rPr>
        <w:t>Adjusted EBITDA</w:t>
      </w:r>
      <w:r>
        <w:rPr>
          <w:rFonts w:ascii="Arial" w:cs="Arial" w:eastAsia="Arial" w:hAnsi="Arial"/>
          <w:sz w:val="16"/>
          <w:szCs w:val="16"/>
          <w:color w:val="auto"/>
        </w:rPr>
        <w:t>” as net income (loss) adjusted to exclude (i) interest expense, net (ii) income tax provision (benefit), (iii) depreciation and amortization, (iv) stock-based compensation and (v) as further adjusted to eliminate the impact of certain non-recurring items that we do not consider indicative of our ongoing operating performance. These further adjustments are itemized below. Adjusted EBITDA margin % represents Adjusted EBITDA as a percentage of total revenue. We use these metrics to measure our performance from period to period both at the consolidated level as well as within our operating segments, to evaluate and fund incentive compensation programs and to compare our results to those of our competitors. In addition to Adjusted EBITDA being a significant measure of performance for management purposes, we also believe that this presentation provides useful information to investors regarding financial and business trends related to our results of operations and that when non-GAAP financial information is viewed with GAAP financial information, investors are provided with a more meaningful understanding of our ongoing operating performance.</w:t>
      </w:r>
    </w:p>
    <w:p>
      <w:pPr>
        <w:spacing w:after="0" w:line="139" w:lineRule="exact"/>
        <w:rPr>
          <w:sz w:val="20"/>
          <w:szCs w:val="20"/>
          <w:color w:val="auto"/>
        </w:rPr>
      </w:pPr>
    </w:p>
    <w:p>
      <w:pPr>
        <w:jc w:val="both"/>
        <w:ind w:firstLine="815"/>
        <w:spacing w:after="0" w:line="312" w:lineRule="auto"/>
        <w:rPr>
          <w:sz w:val="20"/>
          <w:szCs w:val="20"/>
          <w:color w:val="auto"/>
        </w:rPr>
      </w:pPr>
      <w:r>
        <w:rPr>
          <w:rFonts w:ascii="Arial" w:cs="Arial" w:eastAsia="Arial" w:hAnsi="Arial"/>
          <w:sz w:val="16"/>
          <w:szCs w:val="16"/>
          <w:color w:val="auto"/>
        </w:rPr>
        <w:t>You are encouraged to evaluate these adjustments and the reasons we consider them appropriate for supplemental analysis. In evaluating Adjusted EBITDA, you should be aware that in the future we may incur expenses that are the same as or similar to some of the adjustments set forth below. Our presentation of Adjusted EBITDA should not be construed as an inference that our future results will be unaffected by unusual or non-recurring items.</w:t>
      </w:r>
    </w:p>
    <w:p>
      <w:pPr>
        <w:spacing w:after="0" w:line="106" w:lineRule="exact"/>
        <w:rPr>
          <w:sz w:val="20"/>
          <w:szCs w:val="20"/>
          <w:color w:val="auto"/>
        </w:rPr>
      </w:pPr>
    </w:p>
    <w:p>
      <w:pPr>
        <w:jc w:val="both"/>
        <w:ind w:firstLine="815"/>
        <w:spacing w:after="0" w:line="297" w:lineRule="auto"/>
        <w:rPr>
          <w:sz w:val="20"/>
          <w:szCs w:val="20"/>
          <w:color w:val="auto"/>
        </w:rPr>
      </w:pPr>
      <w:r>
        <w:rPr>
          <w:rFonts w:ascii="Arial" w:cs="Arial" w:eastAsia="Arial" w:hAnsi="Arial"/>
          <w:sz w:val="16"/>
          <w:szCs w:val="16"/>
          <w:color w:val="auto"/>
        </w:rPr>
        <w:t>Adjusted EBITDA should not be considered as an alternative to net income (loss), operating income, cash flows from operating activities or any other performance measures derived in accordance with GAAP, or measures of operating performance or cash flows as measures of liquidity. Adjusted EBITDA and Adjusted EBITDA margin % have important limitations as analytical tools, and should not be considered either in isolation, or as a substitute for analysis of our results as reported under GAAP. In addition, our definition of Adjusted EBITDA may not be comparable to similarly titled measures of other companies and may, therefore, have limitations as a comparative analytical tool. For example, Adjusted EBITDA and Adjusted EBITDA margin %:</w:t>
      </w:r>
    </w:p>
    <w:p>
      <w:pPr>
        <w:spacing w:after="0" w:line="50" w:lineRule="exact"/>
        <w:rPr>
          <w:sz w:val="20"/>
          <w:szCs w:val="20"/>
          <w:color w:val="auto"/>
        </w:rPr>
      </w:pPr>
    </w:p>
    <w:p>
      <w:pPr>
        <w:ind w:left="1220" w:hanging="402"/>
        <w:spacing w:after="0"/>
        <w:tabs>
          <w:tab w:leader="none" w:pos="12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do not reflect our capital expenditures, future requirements for capital expenditures or contractual commitments;</w:t>
      </w:r>
    </w:p>
    <w:p>
      <w:pPr>
        <w:spacing w:after="0" w:line="117" w:lineRule="exact"/>
        <w:rPr>
          <w:rFonts w:ascii="Arial" w:cs="Arial" w:eastAsia="Arial" w:hAnsi="Arial"/>
          <w:sz w:val="18"/>
          <w:szCs w:val="18"/>
          <w:color w:val="auto"/>
        </w:rPr>
      </w:pPr>
    </w:p>
    <w:p>
      <w:pPr>
        <w:ind w:left="1220" w:hanging="402"/>
        <w:spacing w:after="0"/>
        <w:tabs>
          <w:tab w:leader="none" w:pos="12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do not reflect changes in, or cash requirements for, our working capital needs;</w:t>
      </w:r>
    </w:p>
    <w:p>
      <w:pPr>
        <w:spacing w:after="0" w:line="117" w:lineRule="exact"/>
        <w:rPr>
          <w:rFonts w:ascii="Arial" w:cs="Arial" w:eastAsia="Arial" w:hAnsi="Arial"/>
          <w:sz w:val="18"/>
          <w:szCs w:val="18"/>
          <w:color w:val="auto"/>
        </w:rPr>
      </w:pPr>
    </w:p>
    <w:p>
      <w:pPr>
        <w:ind w:left="1220" w:hanging="402"/>
        <w:spacing w:after="0"/>
        <w:tabs>
          <w:tab w:leader="none" w:pos="1220" w:val="left"/>
        </w:tabs>
        <w:numPr>
          <w:ilvl w:val="0"/>
          <w:numId w:val="26"/>
        </w:numPr>
        <w:rPr>
          <w:rFonts w:ascii="Arial" w:cs="Arial" w:eastAsia="Arial" w:hAnsi="Arial"/>
          <w:sz w:val="16"/>
          <w:szCs w:val="16"/>
          <w:color w:val="auto"/>
        </w:rPr>
      </w:pPr>
      <w:r>
        <w:rPr>
          <w:rFonts w:ascii="Arial" w:cs="Arial" w:eastAsia="Arial" w:hAnsi="Arial"/>
          <w:sz w:val="16"/>
          <w:szCs w:val="16"/>
          <w:color w:val="auto"/>
        </w:rPr>
        <w:t>do not reflect the significant interest expense, or the cash requirements necessary to service interest or principal payments, on our debt;</w:t>
      </w:r>
    </w:p>
    <w:p>
      <w:pPr>
        <w:spacing w:after="0" w:line="140" w:lineRule="exact"/>
        <w:rPr>
          <w:rFonts w:ascii="Arial" w:cs="Arial" w:eastAsia="Arial" w:hAnsi="Arial"/>
          <w:sz w:val="16"/>
          <w:szCs w:val="16"/>
          <w:color w:val="auto"/>
        </w:rPr>
      </w:pPr>
    </w:p>
    <w:p>
      <w:pPr>
        <w:ind w:left="1220" w:hanging="402"/>
        <w:spacing w:after="0"/>
        <w:tabs>
          <w:tab w:leader="none" w:pos="12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do not reflect income tax expense or the cash necessary to pay income taxes; and</w:t>
      </w:r>
    </w:p>
    <w:p>
      <w:pPr>
        <w:spacing w:after="0" w:line="117" w:lineRule="exact"/>
        <w:rPr>
          <w:rFonts w:ascii="Arial" w:cs="Arial" w:eastAsia="Arial" w:hAnsi="Arial"/>
          <w:sz w:val="18"/>
          <w:szCs w:val="18"/>
          <w:color w:val="auto"/>
        </w:rPr>
      </w:pPr>
    </w:p>
    <w:p>
      <w:pPr>
        <w:ind w:left="1220" w:hanging="402"/>
        <w:spacing w:after="0"/>
        <w:tabs>
          <w:tab w:leader="none" w:pos="12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does not reflect any cash requirements for the assets being depreciated and amortized that may have to be replaced in the future.</w:t>
      </w:r>
    </w:p>
    <w:p>
      <w:pPr>
        <w:spacing w:after="0" w:line="196" w:lineRule="exact"/>
        <w:rPr>
          <w:sz w:val="20"/>
          <w:szCs w:val="20"/>
          <w:color w:val="auto"/>
        </w:rPr>
      </w:pPr>
    </w:p>
    <w:p>
      <w:pPr>
        <w:ind w:right="20" w:firstLine="815"/>
        <w:spacing w:after="0" w:line="277" w:lineRule="auto"/>
        <w:rPr>
          <w:sz w:val="20"/>
          <w:szCs w:val="20"/>
          <w:color w:val="auto"/>
        </w:rPr>
      </w:pPr>
      <w:r>
        <w:rPr>
          <w:rFonts w:ascii="Arial" w:cs="Arial" w:eastAsia="Arial" w:hAnsi="Arial"/>
          <w:sz w:val="18"/>
          <w:szCs w:val="18"/>
          <w:color w:val="auto"/>
        </w:rPr>
        <w:t>Our non-GAAP information below should be read in conjunction with our unaudited interim condensed consolidated financial statements and the related notes included elsewhere in this quarterly report.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44" w:name="page45"/>
    <w:bookmarkEnd w:id="4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90" w:lineRule="exact"/>
        <w:rPr>
          <w:sz w:val="20"/>
          <w:szCs w:val="20"/>
          <w:color w:val="auto"/>
        </w:rPr>
      </w:pPr>
    </w:p>
    <w:p>
      <w:pPr>
        <w:ind w:left="820"/>
        <w:spacing w:after="0"/>
        <w:rPr>
          <w:sz w:val="20"/>
          <w:szCs w:val="20"/>
          <w:color w:val="auto"/>
        </w:rPr>
      </w:pPr>
      <w:r>
        <w:rPr>
          <w:rFonts w:ascii="Arial" w:cs="Arial" w:eastAsia="Arial" w:hAnsi="Arial"/>
          <w:sz w:val="18"/>
          <w:szCs w:val="18"/>
          <w:color w:val="auto"/>
        </w:rPr>
        <w:t>The following table sets forth our reconciliation of Adjusted EBITDA to net income (loss) (unaudited):</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580" w:type="dxa"/>
            <w:vAlign w:val="bottom"/>
            <w:vMerge w:val="restart"/>
          </w:tcPr>
          <w:p>
            <w:pPr>
              <w:spacing w:after="0"/>
              <w:rPr>
                <w:sz w:val="20"/>
                <w:szCs w:val="20"/>
                <w:color w:val="auto"/>
              </w:rPr>
            </w:pPr>
            <w:r>
              <w:rPr>
                <w:rFonts w:ascii="Arial" w:cs="Arial" w:eastAsia="Arial" w:hAnsi="Arial"/>
                <w:sz w:val="14"/>
                <w:szCs w:val="14"/>
                <w:b w:val="1"/>
                <w:bCs w:val="1"/>
                <w:color w:val="auto"/>
              </w:rPr>
              <w:t>($ in thousands)</w:t>
            </w:r>
          </w:p>
        </w:tc>
        <w:tc>
          <w:tcPr>
            <w:tcW w:w="360" w:type="dxa"/>
            <w:vAlign w:val="bottom"/>
          </w:tcPr>
          <w:p>
            <w:pPr>
              <w:spacing w:after="0"/>
              <w:rPr>
                <w:sz w:val="14"/>
                <w:szCs w:val="14"/>
                <w:color w:val="auto"/>
              </w:rPr>
            </w:pPr>
          </w:p>
        </w:tc>
        <w:tc>
          <w:tcPr>
            <w:tcW w:w="3140" w:type="dxa"/>
            <w:vAlign w:val="bottom"/>
            <w:gridSpan w:val="5"/>
          </w:tcPr>
          <w:p>
            <w:pPr>
              <w:jc w:val="right"/>
              <w:ind w:right="980"/>
              <w:spacing w:after="0"/>
              <w:rPr>
                <w:sz w:val="20"/>
                <w:szCs w:val="20"/>
                <w:color w:val="auto"/>
              </w:rPr>
            </w:pPr>
            <w:r>
              <w:rPr>
                <w:rFonts w:ascii="Arial" w:cs="Arial" w:eastAsia="Arial" w:hAnsi="Arial"/>
                <w:sz w:val="14"/>
                <w:szCs w:val="14"/>
                <w:b w:val="1"/>
                <w:bCs w:val="1"/>
                <w:color w:val="auto"/>
              </w:rPr>
              <w:t>Three Months Ended June 30,</w:t>
            </w:r>
          </w:p>
        </w:tc>
        <w:tc>
          <w:tcPr>
            <w:tcW w:w="360" w:type="dxa"/>
            <w:vAlign w:val="bottom"/>
          </w:tcPr>
          <w:p>
            <w:pPr>
              <w:spacing w:after="0"/>
              <w:rPr>
                <w:sz w:val="14"/>
                <w:szCs w:val="14"/>
                <w:color w:val="auto"/>
              </w:rPr>
            </w:pPr>
          </w:p>
        </w:tc>
        <w:tc>
          <w:tcPr>
            <w:tcW w:w="2980" w:type="dxa"/>
            <w:vAlign w:val="bottom"/>
            <w:gridSpan w:val="5"/>
          </w:tcPr>
          <w:p>
            <w:pPr>
              <w:jc w:val="right"/>
              <w:ind w:right="90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56"/>
        </w:trPr>
        <w:tc>
          <w:tcPr>
            <w:tcW w:w="4580" w:type="dxa"/>
            <w:vAlign w:val="bottom"/>
            <w:tcBorders>
              <w:bottom w:val="single" w:sz="8" w:color="CFF0FC"/>
            </w:tcBorders>
            <w:vMerge w:val="continue"/>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140" w:type="dxa"/>
            <w:vAlign w:val="bottom"/>
            <w:tcBorders>
              <w:top w:val="single" w:sz="8" w:color="auto"/>
              <w:bottom w:val="single" w:sz="8" w:color="auto"/>
            </w:tcBorders>
          </w:tcPr>
          <w:p>
            <w:pPr>
              <w:jc w:val="right"/>
              <w:ind w:right="513"/>
              <w:spacing w:after="0" w:line="155" w:lineRule="exact"/>
              <w:rPr>
                <w:sz w:val="20"/>
                <w:szCs w:val="20"/>
                <w:color w:val="auto"/>
              </w:rPr>
            </w:pPr>
            <w:r>
              <w:rPr>
                <w:rFonts w:ascii="Arial" w:cs="Arial" w:eastAsia="Arial" w:hAnsi="Arial"/>
                <w:sz w:val="14"/>
                <w:szCs w:val="14"/>
                <w:b w:val="1"/>
                <w:bCs w:val="1"/>
                <w:color w:val="auto"/>
              </w:rPr>
              <w:t>2019</w:t>
            </w:r>
          </w:p>
        </w:tc>
        <w:tc>
          <w:tcPr>
            <w:tcW w:w="320" w:type="dxa"/>
            <w:vAlign w:val="bottom"/>
            <w:tcBorders>
              <w:top w:val="single" w:sz="8" w:color="auto"/>
              <w:bottom w:val="single" w:sz="8" w:color="CFF0FC"/>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1060" w:type="dxa"/>
            <w:vAlign w:val="bottom"/>
            <w:tcBorders>
              <w:top w:val="single" w:sz="8" w:color="auto"/>
              <w:bottom w:val="single" w:sz="8" w:color="auto"/>
            </w:tcBorders>
          </w:tcPr>
          <w:p>
            <w:pPr>
              <w:jc w:val="right"/>
              <w:ind w:right="471"/>
              <w:spacing w:after="0" w:line="155" w:lineRule="exact"/>
              <w:rPr>
                <w:sz w:val="20"/>
                <w:szCs w:val="20"/>
                <w:color w:val="auto"/>
              </w:rPr>
            </w:pPr>
            <w:r>
              <w:rPr>
                <w:rFonts w:ascii="Arial" w:cs="Arial" w:eastAsia="Arial" w:hAnsi="Arial"/>
                <w:sz w:val="14"/>
                <w:szCs w:val="14"/>
                <w:b w:val="1"/>
                <w:bCs w:val="1"/>
                <w:color w:val="auto"/>
              </w:rPr>
              <w:t>2018</w:t>
            </w:r>
          </w:p>
        </w:tc>
        <w:tc>
          <w:tcPr>
            <w:tcW w:w="300" w:type="dxa"/>
            <w:vAlign w:val="bottom"/>
            <w:tcBorders>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160" w:type="dxa"/>
            <w:vAlign w:val="bottom"/>
            <w:tcBorders>
              <w:top w:val="single" w:sz="8" w:color="auto"/>
              <w:bottom w:val="single" w:sz="8" w:color="auto"/>
            </w:tcBorders>
          </w:tcPr>
          <w:p>
            <w:pPr>
              <w:jc w:val="right"/>
              <w:ind w:right="533"/>
              <w:spacing w:after="0" w:line="155" w:lineRule="exact"/>
              <w:rPr>
                <w:sz w:val="20"/>
                <w:szCs w:val="20"/>
                <w:color w:val="auto"/>
              </w:rPr>
            </w:pPr>
            <w:r>
              <w:rPr>
                <w:rFonts w:ascii="Arial" w:cs="Arial" w:eastAsia="Arial" w:hAnsi="Arial"/>
                <w:sz w:val="14"/>
                <w:szCs w:val="14"/>
                <w:b w:val="1"/>
                <w:bCs w:val="1"/>
                <w:color w:val="auto"/>
              </w:rPr>
              <w:t>2019</w:t>
            </w:r>
          </w:p>
        </w:tc>
        <w:tc>
          <w:tcPr>
            <w:tcW w:w="300" w:type="dxa"/>
            <w:vAlign w:val="bottom"/>
            <w:tcBorders>
              <w:top w:val="single" w:sz="8" w:color="auto"/>
              <w:bottom w:val="single" w:sz="8" w:color="CFF0FC"/>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1080" w:type="dxa"/>
            <w:vAlign w:val="bottom"/>
            <w:tcBorders>
              <w:top w:val="single" w:sz="8" w:color="auto"/>
              <w:bottom w:val="single" w:sz="8" w:color="auto"/>
            </w:tcBorders>
          </w:tcPr>
          <w:p>
            <w:pPr>
              <w:jc w:val="right"/>
              <w:ind w:right="471"/>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580" w:type="dxa"/>
            <w:vAlign w:val="bottom"/>
            <w:shd w:val="clear" w:color="auto" w:fill="CFF0FC"/>
          </w:tcPr>
          <w:p>
            <w:pPr>
              <w:spacing w:after="0"/>
              <w:rPr>
                <w:sz w:val="20"/>
                <w:szCs w:val="20"/>
                <w:color w:val="auto"/>
              </w:rPr>
            </w:pPr>
            <w:r>
              <w:rPr>
                <w:rFonts w:ascii="Arial" w:cs="Arial" w:eastAsia="Arial" w:hAnsi="Arial"/>
                <w:sz w:val="18"/>
                <w:szCs w:val="18"/>
                <w:color w:val="auto"/>
              </w:rPr>
              <w:t>Net income (loss)</w:t>
            </w: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3,591</w:t>
            </w:r>
          </w:p>
        </w:tc>
        <w:tc>
          <w:tcPr>
            <w:tcW w:w="32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65"/>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(4,795)</w:t>
            </w:r>
          </w:p>
        </w:tc>
        <w:tc>
          <w:tcPr>
            <w:tcW w:w="30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6,411</w:t>
            </w:r>
          </w:p>
        </w:tc>
        <w:tc>
          <w:tcPr>
            <w:tcW w:w="30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(26,953)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80" w:type="dxa"/>
            <w:vAlign w:val="bottom"/>
          </w:tcPr>
          <w:p>
            <w:pPr>
              <w:spacing w:after="0"/>
              <w:rPr>
                <w:sz w:val="20"/>
                <w:szCs w:val="20"/>
                <w:color w:val="auto"/>
              </w:rPr>
            </w:pPr>
            <w:r>
              <w:rPr>
                <w:rFonts w:ascii="Arial" w:cs="Arial" w:eastAsia="Arial" w:hAnsi="Arial"/>
                <w:sz w:val="18"/>
                <w:szCs w:val="18"/>
                <w:color w:val="auto"/>
              </w:rPr>
              <w:t>Interest expense, net</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15,656</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19,579</w:t>
            </w: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31,689</w:t>
            </w: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32,226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80" w:type="dxa"/>
            <w:vAlign w:val="bottom"/>
            <w:shd w:val="clear" w:color="auto" w:fill="CFF0FC"/>
          </w:tcPr>
          <w:p>
            <w:pPr>
              <w:spacing w:after="0"/>
              <w:rPr>
                <w:sz w:val="20"/>
                <w:szCs w:val="20"/>
                <w:color w:val="auto"/>
              </w:rPr>
            </w:pPr>
            <w:r>
              <w:rPr>
                <w:rFonts w:ascii="Arial" w:cs="Arial" w:eastAsia="Arial" w:hAnsi="Arial"/>
                <w:sz w:val="18"/>
                <w:szCs w:val="18"/>
                <w:color w:val="auto"/>
              </w:rPr>
              <w:t>Income tax provision (benefit)</w:t>
            </w:r>
          </w:p>
        </w:tc>
        <w:tc>
          <w:tcPr>
            <w:tcW w:w="36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1,734</w:t>
            </w:r>
          </w:p>
        </w:tc>
        <w:tc>
          <w:tcPr>
            <w:tcW w:w="3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(234)</w:t>
            </w:r>
          </w:p>
        </w:tc>
        <w:tc>
          <w:tcPr>
            <w:tcW w:w="3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3,054</w:t>
            </w:r>
          </w:p>
        </w:tc>
        <w:tc>
          <w:tcPr>
            <w:tcW w:w="3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(6,844)</w:t>
            </w:r>
          </w:p>
        </w:tc>
        <w:tc>
          <w:tcPr>
            <w:tcW w:w="0" w:type="dxa"/>
            <w:vAlign w:val="bottom"/>
          </w:tcPr>
          <w:p>
            <w:pPr>
              <w:spacing w:after="0"/>
              <w:rPr>
                <w:sz w:val="1"/>
                <w:szCs w:val="1"/>
                <w:color w:val="auto"/>
              </w:rPr>
            </w:pPr>
          </w:p>
        </w:tc>
      </w:tr>
      <w:tr>
        <w:trPr>
          <w:trHeight w:val="230"/>
        </w:trPr>
        <w:tc>
          <w:tcPr>
            <w:tcW w:w="45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Depreciation and amortization</w:t>
            </w: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28,865</w:t>
            </w:r>
          </w:p>
        </w:tc>
        <w:tc>
          <w:tcPr>
            <w:tcW w:w="32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27,496</w:t>
            </w:r>
          </w:p>
        </w:tc>
        <w:tc>
          <w:tcPr>
            <w:tcW w:w="30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57,804</w:t>
            </w:r>
          </w:p>
        </w:tc>
        <w:tc>
          <w:tcPr>
            <w:tcW w:w="30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46,047</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EBITDA</w:t>
            </w:r>
          </w:p>
        </w:tc>
        <w:tc>
          <w:tcPr>
            <w:tcW w:w="36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49,846</w:t>
            </w:r>
          </w:p>
        </w:tc>
        <w:tc>
          <w:tcPr>
            <w:tcW w:w="3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42,046</w:t>
            </w:r>
          </w:p>
        </w:tc>
        <w:tc>
          <w:tcPr>
            <w:tcW w:w="3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98,958</w:t>
            </w:r>
          </w:p>
        </w:tc>
        <w:tc>
          <w:tcPr>
            <w:tcW w:w="3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44,476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80" w:type="dxa"/>
            <w:vAlign w:val="bottom"/>
          </w:tcPr>
          <w:p>
            <w:pPr>
              <w:spacing w:after="0"/>
              <w:rPr>
                <w:sz w:val="20"/>
                <w:szCs w:val="20"/>
                <w:color w:val="auto"/>
              </w:rPr>
            </w:pPr>
            <w:r>
              <w:rPr>
                <w:rFonts w:ascii="Arial" w:cs="Arial" w:eastAsia="Arial" w:hAnsi="Arial"/>
                <w:sz w:val="18"/>
                <w:szCs w:val="18"/>
                <w:color w:val="auto"/>
              </w:rPr>
              <w:t xml:space="preserve">Transaction and other related expenses </w:t>
            </w:r>
            <w:r>
              <w:rPr>
                <w:rFonts w:ascii="Arial" w:cs="Arial" w:eastAsia="Arial" w:hAnsi="Arial"/>
                <w:sz w:val="15"/>
                <w:szCs w:val="15"/>
                <w:color w:val="auto"/>
              </w:rPr>
              <w:t>(i)</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1,135</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5,816</w:t>
            </w: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1,135</w:t>
            </w: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23,920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8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Transformation expenses </w:t>
            </w:r>
            <w:r>
              <w:rPr>
                <w:rFonts w:ascii="Arial" w:cs="Arial" w:eastAsia="Arial" w:hAnsi="Arial"/>
                <w:sz w:val="15"/>
                <w:szCs w:val="15"/>
                <w:color w:val="auto"/>
              </w:rPr>
              <w:t>(ii)</w:t>
            </w:r>
          </w:p>
        </w:tc>
        <w:tc>
          <w:tcPr>
            <w:tcW w:w="36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5,393</w:t>
            </w:r>
          </w:p>
        </w:tc>
        <w:tc>
          <w:tcPr>
            <w:tcW w:w="3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7,133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80" w:type="dxa"/>
            <w:vAlign w:val="bottom"/>
          </w:tcPr>
          <w:p>
            <w:pPr>
              <w:spacing w:after="0"/>
              <w:rPr>
                <w:sz w:val="20"/>
                <w:szCs w:val="20"/>
                <w:color w:val="auto"/>
              </w:rPr>
            </w:pPr>
            <w:r>
              <w:rPr>
                <w:rFonts w:ascii="Arial" w:cs="Arial" w:eastAsia="Arial" w:hAnsi="Arial"/>
                <w:sz w:val="18"/>
                <w:szCs w:val="18"/>
                <w:color w:val="auto"/>
              </w:rPr>
              <w:t xml:space="preserve">Impairment of property and equipment </w:t>
            </w:r>
            <w:r>
              <w:rPr>
                <w:rFonts w:ascii="Arial" w:cs="Arial" w:eastAsia="Arial" w:hAnsi="Arial"/>
                <w:sz w:val="15"/>
                <w:szCs w:val="15"/>
                <w:color w:val="auto"/>
              </w:rPr>
              <w:t>(iii)</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5,898</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5,898</w:t>
            </w: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58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Loss on extinguishment of debt </w:t>
            </w:r>
            <w:r>
              <w:rPr>
                <w:rFonts w:ascii="Arial" w:cs="Arial" w:eastAsia="Arial" w:hAnsi="Arial"/>
                <w:sz w:val="15"/>
                <w:szCs w:val="15"/>
                <w:color w:val="auto"/>
              </w:rPr>
              <w:t>(iv)</w:t>
            </w:r>
          </w:p>
        </w:tc>
        <w:tc>
          <w:tcPr>
            <w:tcW w:w="36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10,151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80" w:type="dxa"/>
            <w:vAlign w:val="bottom"/>
          </w:tcPr>
          <w:p>
            <w:pPr>
              <w:spacing w:after="0"/>
              <w:rPr>
                <w:sz w:val="20"/>
                <w:szCs w:val="20"/>
                <w:color w:val="auto"/>
              </w:rPr>
            </w:pPr>
            <w:r>
              <w:rPr>
                <w:rFonts w:ascii="Arial" w:cs="Arial" w:eastAsia="Arial" w:hAnsi="Arial"/>
                <w:sz w:val="18"/>
                <w:szCs w:val="18"/>
                <w:color w:val="auto"/>
              </w:rPr>
              <w:t xml:space="preserve">Sponsor fees and expenses </w:t>
            </w:r>
            <w:r>
              <w:rPr>
                <w:rFonts w:ascii="Arial" w:cs="Arial" w:eastAsia="Arial" w:hAnsi="Arial"/>
                <w:sz w:val="15"/>
                <w:szCs w:val="15"/>
                <w:color w:val="auto"/>
              </w:rPr>
              <w:t>(v)</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1,343</w:t>
            </w: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2,700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8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Stock-based compensation </w:t>
            </w:r>
            <w:r>
              <w:rPr>
                <w:rFonts w:ascii="Arial" w:cs="Arial" w:eastAsia="Arial" w:hAnsi="Arial"/>
                <w:sz w:val="15"/>
                <w:szCs w:val="15"/>
                <w:color w:val="auto"/>
              </w:rPr>
              <w:t>(vi)</w:t>
            </w:r>
          </w:p>
        </w:tc>
        <w:tc>
          <w:tcPr>
            <w:tcW w:w="36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2,812</w:t>
            </w:r>
          </w:p>
        </w:tc>
        <w:tc>
          <w:tcPr>
            <w:tcW w:w="3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4,955</w:t>
            </w:r>
          </w:p>
        </w:tc>
        <w:tc>
          <w:tcPr>
            <w:tcW w:w="3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580" w:type="dxa"/>
            <w:vAlign w:val="bottom"/>
          </w:tcPr>
          <w:p>
            <w:pPr>
              <w:ind w:left="140"/>
              <w:spacing w:after="0"/>
              <w:rPr>
                <w:sz w:val="20"/>
                <w:szCs w:val="20"/>
                <w:color w:val="auto"/>
              </w:rPr>
            </w:pPr>
            <w:r>
              <w:rPr>
                <w:rFonts w:ascii="Arial" w:cs="Arial" w:eastAsia="Arial" w:hAnsi="Arial"/>
                <w:sz w:val="18"/>
                <w:szCs w:val="18"/>
                <w:color w:val="auto"/>
              </w:rPr>
              <w:t>Adjusted EBITDA</w:t>
            </w: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59,691</w:t>
            </w:r>
          </w:p>
        </w:tc>
        <w:tc>
          <w:tcPr>
            <w:tcW w:w="32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54,598</w:t>
            </w:r>
          </w:p>
        </w:tc>
        <w:tc>
          <w:tcPr>
            <w:tcW w:w="3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110,946</w:t>
            </w:r>
          </w:p>
        </w:tc>
        <w:tc>
          <w:tcPr>
            <w:tcW w:w="3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88,380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jc w:val="both"/>
        <w:ind w:left="960" w:right="20" w:hanging="547"/>
        <w:spacing w:after="0" w:line="264" w:lineRule="auto"/>
        <w:tabs>
          <w:tab w:leader="none" w:pos="960" w:val="left"/>
        </w:tabs>
        <w:numPr>
          <w:ilvl w:val="0"/>
          <w:numId w:val="27"/>
        </w:numPr>
        <w:rPr>
          <w:rFonts w:ascii="Arial" w:cs="Arial" w:eastAsia="Arial" w:hAnsi="Arial"/>
          <w:sz w:val="13"/>
          <w:szCs w:val="13"/>
          <w:color w:val="auto"/>
        </w:rPr>
      </w:pPr>
      <w:r>
        <w:rPr>
          <w:rFonts w:ascii="Arial" w:cs="Arial" w:eastAsia="Arial" w:hAnsi="Arial"/>
          <w:sz w:val="13"/>
          <w:szCs w:val="13"/>
          <w:color w:val="auto"/>
        </w:rPr>
        <w:t>Transaction and other related expenses for the six months ended June 30, 2019 included offering costs incurred by us for the secondary offering by the Platinum Stockholder. Transaction and other related expenses incurred in the six months ended June 30, 2018 included $23.9 million of costs related to the HTA and EPC acquisitions, primarily consisting of $9.7 million for acquisition services to Advisors, $8.9 million of professional fees processed through the funds flow and $5.3 million of professional fees paid directly by us.</w:t>
      </w:r>
    </w:p>
    <w:p>
      <w:pPr>
        <w:spacing w:after="0" w:line="60" w:lineRule="exact"/>
        <w:rPr>
          <w:rFonts w:ascii="Arial" w:cs="Arial" w:eastAsia="Arial" w:hAnsi="Arial"/>
          <w:sz w:val="13"/>
          <w:szCs w:val="13"/>
          <w:color w:val="auto"/>
        </w:rPr>
      </w:pPr>
    </w:p>
    <w:p>
      <w:pPr>
        <w:ind w:left="960" w:hanging="547"/>
        <w:spacing w:after="0" w:line="253" w:lineRule="auto"/>
        <w:tabs>
          <w:tab w:leader="none" w:pos="960" w:val="left"/>
        </w:tabs>
        <w:numPr>
          <w:ilvl w:val="0"/>
          <w:numId w:val="27"/>
        </w:numPr>
        <w:rPr>
          <w:rFonts w:ascii="Arial" w:cs="Arial" w:eastAsia="Arial" w:hAnsi="Arial"/>
          <w:sz w:val="14"/>
          <w:szCs w:val="14"/>
          <w:color w:val="auto"/>
        </w:rPr>
      </w:pPr>
      <w:r>
        <w:rPr>
          <w:rFonts w:ascii="Arial" w:cs="Arial" w:eastAsia="Arial" w:hAnsi="Arial"/>
          <w:sz w:val="14"/>
          <w:szCs w:val="14"/>
          <w:color w:val="auto"/>
        </w:rPr>
        <w:t>Transformation expenses for the three and six months ended June 30, 2018 represent one-time costs related to optimizing the expense structure and defining the Company’s growth strategy.</w:t>
      </w:r>
    </w:p>
    <w:p>
      <w:pPr>
        <w:spacing w:after="0" w:line="65" w:lineRule="exact"/>
        <w:rPr>
          <w:rFonts w:ascii="Arial" w:cs="Arial" w:eastAsia="Arial" w:hAnsi="Arial"/>
          <w:sz w:val="14"/>
          <w:szCs w:val="14"/>
          <w:color w:val="auto"/>
        </w:rPr>
      </w:pPr>
    </w:p>
    <w:p>
      <w:pPr>
        <w:ind w:left="960" w:hanging="547"/>
        <w:spacing w:after="0"/>
        <w:tabs>
          <w:tab w:leader="none" w:pos="960" w:val="left"/>
        </w:tabs>
        <w:numPr>
          <w:ilvl w:val="0"/>
          <w:numId w:val="27"/>
        </w:numPr>
        <w:rPr>
          <w:rFonts w:ascii="Arial" w:cs="Arial" w:eastAsia="Arial" w:hAnsi="Arial"/>
          <w:sz w:val="14"/>
          <w:szCs w:val="14"/>
          <w:color w:val="auto"/>
        </w:rPr>
      </w:pPr>
      <w:r>
        <w:rPr>
          <w:rFonts w:ascii="Arial" w:cs="Arial" w:eastAsia="Arial" w:hAnsi="Arial"/>
          <w:sz w:val="14"/>
          <w:szCs w:val="14"/>
          <w:color w:val="auto"/>
        </w:rPr>
        <w:t>This represents an impairment charge on fixed assets during the three and six months ended June 30, 2019.</w:t>
      </w:r>
    </w:p>
    <w:p>
      <w:pPr>
        <w:spacing w:after="0" w:line="95" w:lineRule="exact"/>
        <w:rPr>
          <w:rFonts w:ascii="Arial" w:cs="Arial" w:eastAsia="Arial" w:hAnsi="Arial"/>
          <w:sz w:val="14"/>
          <w:szCs w:val="14"/>
          <w:color w:val="auto"/>
        </w:rPr>
      </w:pPr>
    </w:p>
    <w:p>
      <w:pPr>
        <w:ind w:left="960" w:hanging="547"/>
        <w:spacing w:after="0"/>
        <w:tabs>
          <w:tab w:leader="none" w:pos="960" w:val="left"/>
        </w:tabs>
        <w:numPr>
          <w:ilvl w:val="0"/>
          <w:numId w:val="27"/>
        </w:numPr>
        <w:rPr>
          <w:rFonts w:ascii="Arial" w:cs="Arial" w:eastAsia="Arial" w:hAnsi="Arial"/>
          <w:sz w:val="14"/>
          <w:szCs w:val="14"/>
          <w:color w:val="auto"/>
        </w:rPr>
      </w:pPr>
      <w:r>
        <w:rPr>
          <w:rFonts w:ascii="Arial" w:cs="Arial" w:eastAsia="Arial" w:hAnsi="Arial"/>
          <w:sz w:val="14"/>
          <w:szCs w:val="14"/>
          <w:color w:val="auto"/>
        </w:rPr>
        <w:t>Loss on extinguishment of debt related to the 2017 Credit Facilities which were replaced by the 2018 Credit facilities in conjunction with the HTA acquisition.</w:t>
      </w:r>
    </w:p>
    <w:p>
      <w:pPr>
        <w:spacing w:after="0" w:line="95" w:lineRule="exact"/>
        <w:rPr>
          <w:rFonts w:ascii="Arial" w:cs="Arial" w:eastAsia="Arial" w:hAnsi="Arial"/>
          <w:sz w:val="14"/>
          <w:szCs w:val="14"/>
          <w:color w:val="auto"/>
        </w:rPr>
      </w:pPr>
    </w:p>
    <w:p>
      <w:pPr>
        <w:ind w:left="960" w:hanging="547"/>
        <w:spacing w:after="0"/>
        <w:tabs>
          <w:tab w:leader="none" w:pos="960" w:val="left"/>
        </w:tabs>
        <w:numPr>
          <w:ilvl w:val="0"/>
          <w:numId w:val="27"/>
        </w:numPr>
        <w:rPr>
          <w:rFonts w:ascii="Arial" w:cs="Arial" w:eastAsia="Arial" w:hAnsi="Arial"/>
          <w:sz w:val="14"/>
          <w:szCs w:val="14"/>
          <w:color w:val="auto"/>
        </w:rPr>
      </w:pPr>
      <w:r>
        <w:rPr>
          <w:rFonts w:ascii="Arial" w:cs="Arial" w:eastAsia="Arial" w:hAnsi="Arial"/>
          <w:sz w:val="14"/>
          <w:szCs w:val="14"/>
          <w:color w:val="auto"/>
        </w:rPr>
        <w:t>We incurred expenses in the 2018 periods associated with the previous corporate advisory services agreement with Advisors.</w:t>
      </w:r>
    </w:p>
    <w:p>
      <w:pPr>
        <w:spacing w:after="0" w:line="95" w:lineRule="exact"/>
        <w:rPr>
          <w:rFonts w:ascii="Arial" w:cs="Arial" w:eastAsia="Arial" w:hAnsi="Arial"/>
          <w:sz w:val="14"/>
          <w:szCs w:val="14"/>
          <w:color w:val="auto"/>
        </w:rPr>
      </w:pPr>
    </w:p>
    <w:p>
      <w:pPr>
        <w:ind w:left="960" w:hanging="547"/>
        <w:spacing w:after="0" w:line="253" w:lineRule="auto"/>
        <w:tabs>
          <w:tab w:leader="none" w:pos="960" w:val="left"/>
        </w:tabs>
        <w:numPr>
          <w:ilvl w:val="0"/>
          <w:numId w:val="27"/>
        </w:numPr>
        <w:rPr>
          <w:rFonts w:ascii="Arial" w:cs="Arial" w:eastAsia="Arial" w:hAnsi="Arial"/>
          <w:sz w:val="14"/>
          <w:szCs w:val="14"/>
          <w:color w:val="auto"/>
        </w:rPr>
      </w:pPr>
      <w:r>
        <w:rPr>
          <w:rFonts w:ascii="Arial" w:cs="Arial" w:eastAsia="Arial" w:hAnsi="Arial"/>
          <w:sz w:val="14"/>
          <w:szCs w:val="14"/>
          <w:color w:val="auto"/>
        </w:rPr>
        <w:t>Stock-based compensation for the three and six months ended June 30, 2019 represents the non-cash charge related to the issuance of awards under the Verra Mobility Corporation 2018 Equity Incentive Plan.</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45" w:name="page46"/>
    <w:bookmarkEnd w:id="4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02" w:lineRule="exact"/>
        <w:rPr>
          <w:sz w:val="20"/>
          <w:szCs w:val="20"/>
          <w:color w:val="auto"/>
        </w:rPr>
      </w:pPr>
    </w:p>
    <w:p>
      <w:pPr>
        <w:jc w:val="both"/>
        <w:ind w:firstLine="815"/>
        <w:spacing w:after="0" w:line="277" w:lineRule="auto"/>
        <w:rPr>
          <w:sz w:val="20"/>
          <w:szCs w:val="20"/>
          <w:color w:val="auto"/>
        </w:rPr>
      </w:pPr>
      <w:r>
        <w:rPr>
          <w:rFonts w:ascii="Arial" w:cs="Arial" w:eastAsia="Arial" w:hAnsi="Arial"/>
          <w:sz w:val="18"/>
          <w:szCs w:val="18"/>
          <w:color w:val="auto"/>
        </w:rPr>
        <w:t>We are exposed to interest rate market risk due to the variable interest rates on the New Term Loans described in “Item 2. Management’s Discussion and Analysis of Financial Condition and Results of Operations--</w:t>
      </w:r>
      <w:r>
        <w:rPr>
          <w:rFonts w:ascii="Arial" w:cs="Arial" w:eastAsia="Arial" w:hAnsi="Arial"/>
          <w:sz w:val="18"/>
          <w:szCs w:val="18"/>
          <w:i w:val="1"/>
          <w:iCs w:val="1"/>
          <w:color w:val="auto"/>
        </w:rPr>
        <w:t>Liquidity and Capital Resources</w:t>
      </w:r>
      <w:r>
        <w:rPr>
          <w:rFonts w:ascii="Arial" w:cs="Arial" w:eastAsia="Arial" w:hAnsi="Arial"/>
          <w:sz w:val="18"/>
          <w:szCs w:val="18"/>
          <w:color w:val="auto"/>
        </w:rPr>
        <w:t>.”</w:t>
      </w:r>
    </w:p>
    <w:p>
      <w:pPr>
        <w:spacing w:after="0" w:line="130" w:lineRule="exact"/>
        <w:rPr>
          <w:sz w:val="20"/>
          <w:szCs w:val="20"/>
          <w:color w:val="auto"/>
        </w:rPr>
      </w:pPr>
    </w:p>
    <w:p>
      <w:pPr>
        <w:jc w:val="both"/>
        <w:ind w:firstLine="815"/>
        <w:spacing w:after="0" w:line="276" w:lineRule="auto"/>
        <w:rPr>
          <w:sz w:val="20"/>
          <w:szCs w:val="20"/>
          <w:color w:val="auto"/>
        </w:rPr>
      </w:pPr>
      <w:r>
        <w:rPr>
          <w:rFonts w:ascii="Arial" w:cs="Arial" w:eastAsia="Arial" w:hAnsi="Arial"/>
          <w:sz w:val="17"/>
          <w:szCs w:val="17"/>
          <w:color w:val="auto"/>
        </w:rPr>
        <w:t>Interest rate risk represents our exposure to movements in interest rates associated with the variable rate debt represented by the New First Lien Term Loan. Total borrowing under the New First Lien Term Loan was $899 million at June 30, 2019. The New First Lien Term Loan bears interest based, at our option, on either (1) LIBOR plus an applicable margin of 3.75% per annum, or (2) an alternate base rate plus an applicable margin of 2.75% per annum. At June 30, 2019, the interest rate on the New First Lien Term Loan was 6.15%. Based on the June 30, 2019 New First Lien Term Loan balance outstanding, each 1% movement in interest rates will result in an approximately $9.0 million change in annual interest expense.</w:t>
      </w:r>
    </w:p>
    <w:p>
      <w:pPr>
        <w:spacing w:after="0" w:line="132" w:lineRule="exact"/>
        <w:rPr>
          <w:sz w:val="20"/>
          <w:szCs w:val="20"/>
          <w:color w:val="auto"/>
        </w:rPr>
      </w:pPr>
    </w:p>
    <w:p>
      <w:pPr>
        <w:jc w:val="both"/>
        <w:ind w:firstLine="815"/>
        <w:spacing w:after="0" w:line="277" w:lineRule="auto"/>
        <w:rPr>
          <w:sz w:val="20"/>
          <w:szCs w:val="20"/>
          <w:color w:val="auto"/>
        </w:rPr>
      </w:pPr>
      <w:r>
        <w:rPr>
          <w:rFonts w:ascii="Arial" w:cs="Arial" w:eastAsia="Arial" w:hAnsi="Arial"/>
          <w:sz w:val="18"/>
          <w:szCs w:val="18"/>
          <w:color w:val="auto"/>
        </w:rPr>
        <w:t>We have not engaged in any hedging activities during the six months ended June 30, 2019. We do not expect to engage in any hedging activities with respect to the market risk to which we are exposed.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89" w:lineRule="exact"/>
        <w:rPr>
          <w:sz w:val="20"/>
          <w:szCs w:val="20"/>
          <w:color w:val="auto"/>
        </w:rPr>
      </w:pPr>
    </w:p>
    <w:p>
      <w:pPr>
        <w:jc w:val="both"/>
        <w:ind w:firstLine="815"/>
        <w:spacing w:after="0" w:line="270" w:lineRule="auto"/>
        <w:rPr>
          <w:sz w:val="20"/>
          <w:szCs w:val="20"/>
          <w:color w:val="auto"/>
        </w:rPr>
      </w:pPr>
      <w:r>
        <w:rPr>
          <w:rFonts w:ascii="Arial" w:cs="Arial" w:eastAsia="Arial" w:hAnsi="Arial"/>
          <w:sz w:val="17"/>
          <w:szCs w:val="17"/>
          <w:color w:val="auto"/>
        </w:rPr>
        <w:t>We maintain “disclosure controls and procedures,” as defined in Rules 13a-15(e) and 15d-15(e) under the Exchange Act,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Our management, with the participation of our Chief Executive Officer and our Chief Financial Officer, evaluated the effectiveness of our disclosure controls and procedures as of June 30, 2019. Based on the evaluation of our disclosure controls and procedures as of June 30, 2019, our Chief Executive Officer and Chief Financial Officer concluded that, as of such date, our disclosure controls and procedures were effective at the reasonable assurance level.</w:t>
      </w:r>
    </w:p>
    <w:p>
      <w:pPr>
        <w:spacing w:after="0" w:line="141" w:lineRule="exact"/>
        <w:rPr>
          <w:sz w:val="20"/>
          <w:szCs w:val="20"/>
          <w:color w:val="auto"/>
        </w:rPr>
      </w:pPr>
    </w:p>
    <w:p>
      <w:pPr>
        <w:jc w:val="both"/>
        <w:ind w:right="20" w:firstLine="815"/>
        <w:spacing w:after="0" w:line="277" w:lineRule="auto"/>
        <w:rPr>
          <w:sz w:val="20"/>
          <w:szCs w:val="20"/>
          <w:color w:val="auto"/>
        </w:rPr>
      </w:pPr>
      <w:r>
        <w:rPr>
          <w:rFonts w:ascii="Arial" w:cs="Arial" w:eastAsia="Arial" w:hAnsi="Arial"/>
          <w:sz w:val="18"/>
          <w:szCs w:val="18"/>
          <w:color w:val="auto"/>
        </w:rPr>
        <w:t>During the quarter ended June 30, 2019, there has been no change in our internal control over financial reporting that has materially affected, or is reasonably likely to materially affect, our internal control over financial reporting.</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46" w:name="page47"/>
    <w:bookmarkEnd w:id="4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II—OTHER INFORMATION</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02" w:lineRule="exact"/>
        <w:rPr>
          <w:sz w:val="20"/>
          <w:szCs w:val="20"/>
          <w:color w:val="auto"/>
        </w:rPr>
      </w:pPr>
    </w:p>
    <w:p>
      <w:pPr>
        <w:ind w:left="820"/>
        <w:spacing w:after="0"/>
        <w:rPr>
          <w:sz w:val="20"/>
          <w:szCs w:val="20"/>
          <w:color w:val="auto"/>
        </w:rPr>
      </w:pPr>
      <w:r>
        <w:rPr>
          <w:rFonts w:ascii="Arial" w:cs="Arial" w:eastAsia="Arial" w:hAnsi="Arial"/>
          <w:sz w:val="18"/>
          <w:szCs w:val="18"/>
          <w:color w:val="auto"/>
        </w:rPr>
        <w:t>None.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89" w:lineRule="exact"/>
        <w:rPr>
          <w:sz w:val="20"/>
          <w:szCs w:val="20"/>
          <w:color w:val="auto"/>
        </w:rPr>
      </w:pPr>
    </w:p>
    <w:p>
      <w:pPr>
        <w:jc w:val="both"/>
        <w:ind w:firstLine="815"/>
        <w:spacing w:after="0" w:line="220" w:lineRule="exact"/>
        <w:rPr>
          <w:sz w:val="20"/>
          <w:szCs w:val="20"/>
          <w:color w:val="auto"/>
        </w:rPr>
      </w:pPr>
      <w:r>
        <w:rPr>
          <w:rFonts w:ascii="Arial" w:cs="Arial" w:eastAsia="Arial" w:hAnsi="Arial"/>
          <w:sz w:val="18"/>
          <w:szCs w:val="18"/>
          <w:color w:val="auto"/>
        </w:rPr>
        <w:t>Factors that could cause our actual results to differ materially from those in this report are any of the risks described in our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K/A filed with the SEC on April 30, 2019. Any of these factors could result in a significant or material adverse effect on our results of operations or financial condition. Additional risk factors not presently known to us or that we currently deem immaterial may also impair our business or results of operations.</w:t>
      </w:r>
    </w:p>
    <w:p>
      <w:pPr>
        <w:spacing w:after="0" w:line="177" w:lineRule="exact"/>
        <w:rPr>
          <w:sz w:val="20"/>
          <w:szCs w:val="20"/>
          <w:color w:val="auto"/>
        </w:rPr>
      </w:pPr>
    </w:p>
    <w:p>
      <w:pPr>
        <w:jc w:val="both"/>
        <w:ind w:firstLine="815"/>
        <w:spacing w:after="0" w:line="221" w:lineRule="exact"/>
        <w:rPr>
          <w:sz w:val="20"/>
          <w:szCs w:val="20"/>
          <w:color w:val="auto"/>
        </w:rPr>
      </w:pPr>
      <w:r>
        <w:rPr>
          <w:rFonts w:ascii="Arial" w:cs="Arial" w:eastAsia="Arial" w:hAnsi="Arial"/>
          <w:sz w:val="18"/>
          <w:szCs w:val="18"/>
          <w:color w:val="auto"/>
        </w:rPr>
        <w:t>As of the date of this Quarterly Report on Form 10</w:t>
      </w:r>
      <w:r>
        <w:rPr>
          <w:rFonts w:ascii="MS PGothic" w:cs="MS PGothic" w:eastAsia="MS PGothic" w:hAnsi="MS PGothic"/>
          <w:sz w:val="18"/>
          <w:szCs w:val="18"/>
          <w:color w:val="auto"/>
        </w:rPr>
        <w:t>‑</w:t>
      </w:r>
      <w:r>
        <w:rPr>
          <w:rFonts w:ascii="Arial" w:cs="Arial" w:eastAsia="Arial" w:hAnsi="Arial"/>
          <w:sz w:val="18"/>
          <w:szCs w:val="18"/>
          <w:color w:val="auto"/>
        </w:rPr>
        <w:t>Q, there have been no material changes to the risk factors disclosed in our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K/A with the SEC on April 30, 2019. We may disclose changes to such factors or disclose additional factors from time to time in our future filings with the SEC.</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8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None.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8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None.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02" w:lineRule="exact"/>
        <w:rPr>
          <w:sz w:val="20"/>
          <w:szCs w:val="20"/>
          <w:color w:val="auto"/>
        </w:rPr>
      </w:pPr>
    </w:p>
    <w:p>
      <w:pPr>
        <w:ind w:left="820"/>
        <w:spacing w:after="0"/>
        <w:rPr>
          <w:sz w:val="20"/>
          <w:szCs w:val="20"/>
          <w:color w:val="auto"/>
        </w:rPr>
      </w:pPr>
      <w:r>
        <w:rPr>
          <w:rFonts w:ascii="Arial" w:cs="Arial" w:eastAsia="Arial" w:hAnsi="Arial"/>
          <w:sz w:val="18"/>
          <w:szCs w:val="18"/>
          <w:color w:val="auto"/>
        </w:rPr>
        <w:t>Not Applicable.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8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t>Item 6. Exhibits</w:t>
      </w:r>
    </w:p>
    <w:p>
      <w:pPr>
        <w:spacing w:after="0" w:line="18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The following exhibits are filed as part of, or incorporated by reference into, this Quarterly Report on Form 10-Q.</w:t>
      </w:r>
    </w:p>
    <w:p>
      <w:pPr>
        <w:spacing w:after="0" w:line="19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EXHIBIT INDEX</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2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60" w:type="dxa"/>
            <w:vAlign w:val="bottom"/>
            <w:gridSpan w:val="2"/>
          </w:tcPr>
          <w:p>
            <w:pPr>
              <w:ind w:left="540"/>
              <w:spacing w:after="0"/>
              <w:rPr>
                <w:sz w:val="20"/>
                <w:szCs w:val="20"/>
                <w:color w:val="auto"/>
              </w:rPr>
            </w:pPr>
            <w:r>
              <w:rPr>
                <w:rFonts w:ascii="Arial" w:cs="Arial" w:eastAsia="Arial" w:hAnsi="Arial"/>
                <w:sz w:val="14"/>
                <w:szCs w:val="14"/>
                <w:b w:val="1"/>
                <w:bCs w:val="1"/>
                <w:color w:val="auto"/>
                <w:w w:val="95"/>
              </w:rPr>
              <w:t>Incorporated by Reference</w:t>
            </w:r>
          </w:p>
        </w:tc>
        <w:tc>
          <w:tcPr>
            <w:tcW w:w="12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128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Exhibit Number</w:t>
            </w:r>
          </w:p>
        </w:tc>
        <w:tc>
          <w:tcPr>
            <w:tcW w:w="1060" w:type="dxa"/>
            <w:vAlign w:val="bottom"/>
            <w:vMerge w:val="restart"/>
          </w:tcPr>
          <w:p>
            <w:pPr>
              <w:spacing w:after="0"/>
              <w:rPr>
                <w:sz w:val="6"/>
                <w:szCs w:val="6"/>
                <w:color w:val="auto"/>
              </w:rPr>
            </w:pPr>
          </w:p>
        </w:tc>
        <w:tc>
          <w:tcPr>
            <w:tcW w:w="120" w:type="dxa"/>
            <w:vAlign w:val="bottom"/>
            <w:vMerge w:val="restart"/>
          </w:tcPr>
          <w:p>
            <w:pPr>
              <w:spacing w:after="0"/>
              <w:rPr>
                <w:sz w:val="6"/>
                <w:szCs w:val="6"/>
                <w:color w:val="auto"/>
              </w:rPr>
            </w:pPr>
          </w:p>
        </w:tc>
        <w:tc>
          <w:tcPr>
            <w:tcW w:w="200" w:type="dxa"/>
            <w:vAlign w:val="bottom"/>
            <w:vMerge w:val="restart"/>
          </w:tcPr>
          <w:p>
            <w:pPr>
              <w:spacing w:after="0"/>
              <w:rPr>
                <w:sz w:val="6"/>
                <w:szCs w:val="6"/>
                <w:color w:val="auto"/>
              </w:rPr>
            </w:pPr>
          </w:p>
        </w:tc>
        <w:tc>
          <w:tcPr>
            <w:tcW w:w="3200" w:type="dxa"/>
            <w:vAlign w:val="bottom"/>
            <w:gridSpan w:val="8"/>
            <w:vMerge w:val="restart"/>
          </w:tcPr>
          <w:p>
            <w:pPr>
              <w:ind w:left="560"/>
              <w:spacing w:after="0"/>
              <w:rPr>
                <w:sz w:val="20"/>
                <w:szCs w:val="20"/>
                <w:color w:val="auto"/>
              </w:rPr>
            </w:pPr>
            <w:r>
              <w:rPr>
                <w:rFonts w:ascii="Arial" w:cs="Arial" w:eastAsia="Arial" w:hAnsi="Arial"/>
                <w:sz w:val="14"/>
                <w:szCs w:val="14"/>
                <w:b w:val="1"/>
                <w:bCs w:val="1"/>
                <w:color w:val="auto"/>
              </w:rPr>
              <w:t>Description</w:t>
            </w:r>
          </w:p>
        </w:tc>
        <w:tc>
          <w:tcPr>
            <w:tcW w:w="800" w:type="dxa"/>
            <w:vAlign w:val="bottom"/>
            <w:tcBorders>
              <w:bottom w:val="single" w:sz="8" w:color="auto"/>
            </w:tcBorders>
          </w:tcPr>
          <w:p>
            <w:pPr>
              <w:spacing w:after="0"/>
              <w:rPr>
                <w:sz w:val="6"/>
                <w:szCs w:val="6"/>
                <w:color w:val="auto"/>
              </w:rPr>
            </w:pPr>
          </w:p>
        </w:tc>
        <w:tc>
          <w:tcPr>
            <w:tcW w:w="124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1280" w:type="dxa"/>
            <w:vAlign w:val="bottom"/>
            <w:tcBorders>
              <w:bottom w:val="single" w:sz="8" w:color="auto"/>
            </w:tcBorders>
          </w:tcPr>
          <w:p>
            <w:pPr>
              <w:spacing w:after="0"/>
              <w:rPr>
                <w:sz w:val="6"/>
                <w:szCs w:val="6"/>
                <w:color w:val="auto"/>
              </w:rPr>
            </w:pPr>
          </w:p>
        </w:tc>
        <w:tc>
          <w:tcPr>
            <w:tcW w:w="12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Filed Herewith</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1280" w:type="dxa"/>
            <w:vAlign w:val="bottom"/>
            <w:tcBorders>
              <w:bottom w:val="single" w:sz="8" w:color="auto"/>
            </w:tcBorders>
            <w:vMerge w:val="continue"/>
          </w:tcPr>
          <w:p>
            <w:pPr>
              <w:spacing w:after="0"/>
              <w:rPr>
                <w:sz w:val="12"/>
                <w:szCs w:val="12"/>
                <w:color w:val="auto"/>
              </w:rPr>
            </w:pPr>
          </w:p>
        </w:tc>
        <w:tc>
          <w:tcPr>
            <w:tcW w:w="1060" w:type="dxa"/>
            <w:vAlign w:val="bottom"/>
            <w:tcBorders>
              <w:bottom w:val="single" w:sz="8" w:color="auto"/>
            </w:tcBorders>
            <w:vMerge w:val="continue"/>
          </w:tcPr>
          <w:p>
            <w:pPr>
              <w:spacing w:after="0"/>
              <w:rPr>
                <w:sz w:val="12"/>
                <w:szCs w:val="12"/>
                <w:color w:val="auto"/>
              </w:rPr>
            </w:pPr>
          </w:p>
        </w:tc>
        <w:tc>
          <w:tcPr>
            <w:tcW w:w="120" w:type="dxa"/>
            <w:vAlign w:val="bottom"/>
            <w:tcBorders>
              <w:bottom w:val="single" w:sz="8" w:color="auto"/>
            </w:tcBorders>
            <w:vMerge w:val="continue"/>
          </w:tcPr>
          <w:p>
            <w:pPr>
              <w:spacing w:after="0"/>
              <w:rPr>
                <w:sz w:val="12"/>
                <w:szCs w:val="12"/>
                <w:color w:val="auto"/>
              </w:rPr>
            </w:pPr>
          </w:p>
        </w:tc>
        <w:tc>
          <w:tcPr>
            <w:tcW w:w="200" w:type="dxa"/>
            <w:vAlign w:val="bottom"/>
            <w:tcBorders>
              <w:bottom w:val="single" w:sz="8" w:color="auto"/>
            </w:tcBorders>
            <w:vMerge w:val="continue"/>
          </w:tcPr>
          <w:p>
            <w:pPr>
              <w:spacing w:after="0"/>
              <w:rPr>
                <w:sz w:val="12"/>
                <w:szCs w:val="12"/>
                <w:color w:val="auto"/>
              </w:rPr>
            </w:pPr>
          </w:p>
        </w:tc>
        <w:tc>
          <w:tcPr>
            <w:tcW w:w="3200" w:type="dxa"/>
            <w:vAlign w:val="bottom"/>
            <w:tcBorders>
              <w:bottom w:val="single" w:sz="8" w:color="auto"/>
            </w:tcBorders>
            <w:gridSpan w:val="8"/>
            <w:vMerge w:val="continue"/>
          </w:tcPr>
          <w:p>
            <w:pPr>
              <w:spacing w:after="0"/>
              <w:rPr>
                <w:sz w:val="12"/>
                <w:szCs w:val="12"/>
                <w:color w:val="auto"/>
              </w:rPr>
            </w:pPr>
          </w:p>
        </w:tc>
        <w:tc>
          <w:tcPr>
            <w:tcW w:w="8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7"/>
              </w:rPr>
              <w:t>Form</w:t>
            </w:r>
          </w:p>
        </w:tc>
        <w:tc>
          <w:tcPr>
            <w:tcW w:w="124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4"/>
              </w:rPr>
              <w:t>File No.</w:t>
            </w:r>
          </w:p>
        </w:tc>
        <w:tc>
          <w:tcPr>
            <w:tcW w:w="1020" w:type="dxa"/>
            <w:vAlign w:val="bottom"/>
            <w:tcBorders>
              <w:bottom w:val="single" w:sz="8" w:color="auto"/>
            </w:tcBorders>
          </w:tcPr>
          <w:p>
            <w:pPr>
              <w:jc w:val="center"/>
              <w:ind w:right="32"/>
              <w:spacing w:after="0" w:line="142" w:lineRule="exact"/>
              <w:rPr>
                <w:sz w:val="20"/>
                <w:szCs w:val="20"/>
                <w:color w:val="auto"/>
              </w:rPr>
            </w:pPr>
            <w:r>
              <w:rPr>
                <w:rFonts w:ascii="Arial" w:cs="Arial" w:eastAsia="Arial" w:hAnsi="Arial"/>
                <w:sz w:val="14"/>
                <w:szCs w:val="14"/>
                <w:b w:val="1"/>
                <w:bCs w:val="1"/>
                <w:color w:val="auto"/>
                <w:w w:val="98"/>
              </w:rPr>
              <w:t>Exhibit</w:t>
            </w:r>
          </w:p>
        </w:tc>
        <w:tc>
          <w:tcPr>
            <w:tcW w:w="1280" w:type="dxa"/>
            <w:vAlign w:val="bottom"/>
            <w:tcBorders>
              <w:bottom w:val="single" w:sz="8" w:color="auto"/>
            </w:tcBorders>
          </w:tcPr>
          <w:p>
            <w:pPr>
              <w:jc w:val="center"/>
              <w:ind w:right="32"/>
              <w:spacing w:after="0" w:line="142" w:lineRule="exact"/>
              <w:rPr>
                <w:sz w:val="20"/>
                <w:szCs w:val="20"/>
                <w:color w:val="auto"/>
              </w:rPr>
            </w:pPr>
            <w:r>
              <w:rPr>
                <w:rFonts w:ascii="Arial" w:cs="Arial" w:eastAsia="Arial" w:hAnsi="Arial"/>
                <w:sz w:val="14"/>
                <w:szCs w:val="14"/>
                <w:b w:val="1"/>
                <w:bCs w:val="1"/>
                <w:color w:val="auto"/>
                <w:w w:val="94"/>
              </w:rPr>
              <w:t>Filing Date</w:t>
            </w:r>
          </w:p>
        </w:tc>
        <w:tc>
          <w:tcPr>
            <w:tcW w:w="1220" w:type="dxa"/>
            <w:vAlign w:val="bottom"/>
            <w:tcBorders>
              <w:bottom w:val="single" w:sz="8" w:color="auto"/>
            </w:tcBorders>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1280" w:type="dxa"/>
            <w:vAlign w:val="bottom"/>
            <w:vMerge w:val="restart"/>
          </w:tcPr>
          <w:p>
            <w:pPr>
              <w:spacing w:after="0"/>
              <w:rPr>
                <w:sz w:val="20"/>
                <w:szCs w:val="20"/>
                <w:color w:val="auto"/>
              </w:rPr>
            </w:pPr>
            <w:r>
              <w:rPr>
                <w:rFonts w:ascii="Arial" w:cs="Arial" w:eastAsia="Arial" w:hAnsi="Arial"/>
                <w:sz w:val="18"/>
                <w:szCs w:val="18"/>
                <w:color w:val="auto"/>
              </w:rPr>
              <w:t>2.1</w:t>
            </w:r>
          </w:p>
        </w:tc>
        <w:tc>
          <w:tcPr>
            <w:tcW w:w="4580" w:type="dxa"/>
            <w:vAlign w:val="bottom"/>
            <w:tcBorders>
              <w:bottom w:val="single" w:sz="8" w:color="0000EE"/>
            </w:tcBorders>
            <w:gridSpan w:val="11"/>
          </w:tcPr>
          <w:p>
            <w:pPr>
              <w:spacing w:after="0" w:line="170" w:lineRule="exact"/>
              <w:rPr>
                <w:rFonts w:ascii="Arial" w:cs="Arial" w:eastAsia="Arial" w:hAnsi="Arial"/>
                <w:sz w:val="18"/>
                <w:szCs w:val="18"/>
                <w:color w:val="0000EE"/>
                <w:w w:val="92"/>
              </w:rPr>
            </w:pPr>
            <w:hyperlink r:id="rId76">
              <w:r>
                <w:rPr>
                  <w:rFonts w:ascii="Arial" w:cs="Arial" w:eastAsia="Arial" w:hAnsi="Arial"/>
                  <w:sz w:val="18"/>
                  <w:szCs w:val="18"/>
                  <w:color w:val="0000EE"/>
                  <w:w w:val="92"/>
                </w:rPr>
                <w:t>Merger Agreement, dated as of June 21, 2018, by and among</w:t>
              </w:r>
            </w:hyperlink>
          </w:p>
        </w:tc>
        <w:tc>
          <w:tcPr>
            <w:tcW w:w="800" w:type="dxa"/>
            <w:vAlign w:val="bottom"/>
          </w:tcPr>
          <w:p>
            <w:pPr>
              <w:jc w:val="center"/>
              <w:spacing w:after="0" w:line="170" w:lineRule="exact"/>
              <w:rPr>
                <w:sz w:val="20"/>
                <w:szCs w:val="20"/>
                <w:color w:val="auto"/>
              </w:rPr>
            </w:pPr>
            <w:r>
              <w:rPr>
                <w:rFonts w:ascii="Arial" w:cs="Arial" w:eastAsia="Arial" w:hAnsi="Arial"/>
                <w:sz w:val="18"/>
                <w:szCs w:val="18"/>
                <w:color w:val="auto"/>
                <w:w w:val="99"/>
              </w:rPr>
              <w:t>8-K</w:t>
            </w:r>
          </w:p>
        </w:tc>
        <w:tc>
          <w:tcPr>
            <w:tcW w:w="1240" w:type="dxa"/>
            <w:vAlign w:val="bottom"/>
          </w:tcPr>
          <w:p>
            <w:pPr>
              <w:jc w:val="center"/>
              <w:spacing w:after="0" w:line="170" w:lineRule="exact"/>
              <w:rPr>
                <w:sz w:val="20"/>
                <w:szCs w:val="20"/>
                <w:color w:val="auto"/>
              </w:rPr>
            </w:pPr>
            <w:r>
              <w:rPr>
                <w:rFonts w:ascii="Arial" w:cs="Arial" w:eastAsia="Arial" w:hAnsi="Arial"/>
                <w:sz w:val="18"/>
                <w:szCs w:val="18"/>
                <w:color w:val="auto"/>
                <w:w w:val="90"/>
              </w:rPr>
              <w:t>001-37979</w:t>
            </w:r>
          </w:p>
        </w:tc>
        <w:tc>
          <w:tcPr>
            <w:tcW w:w="1020" w:type="dxa"/>
            <w:vAlign w:val="bottom"/>
          </w:tcPr>
          <w:p>
            <w:pPr>
              <w:jc w:val="center"/>
              <w:ind w:right="32"/>
              <w:spacing w:after="0" w:line="170" w:lineRule="exact"/>
              <w:rPr>
                <w:sz w:val="20"/>
                <w:szCs w:val="20"/>
                <w:color w:val="auto"/>
              </w:rPr>
            </w:pPr>
            <w:r>
              <w:rPr>
                <w:rFonts w:ascii="Arial" w:cs="Arial" w:eastAsia="Arial" w:hAnsi="Arial"/>
                <w:sz w:val="18"/>
                <w:szCs w:val="18"/>
                <w:color w:val="auto"/>
                <w:w w:val="87"/>
              </w:rPr>
              <w:t>2.1</w:t>
            </w:r>
          </w:p>
        </w:tc>
        <w:tc>
          <w:tcPr>
            <w:tcW w:w="1280" w:type="dxa"/>
            <w:vAlign w:val="bottom"/>
          </w:tcPr>
          <w:p>
            <w:pPr>
              <w:jc w:val="center"/>
              <w:ind w:right="32"/>
              <w:spacing w:after="0" w:line="170" w:lineRule="exact"/>
              <w:rPr>
                <w:sz w:val="20"/>
                <w:szCs w:val="20"/>
                <w:color w:val="auto"/>
              </w:rPr>
            </w:pPr>
            <w:r>
              <w:rPr>
                <w:rFonts w:ascii="Arial" w:cs="Arial" w:eastAsia="Arial" w:hAnsi="Arial"/>
                <w:sz w:val="18"/>
                <w:szCs w:val="18"/>
                <w:color w:val="auto"/>
                <w:w w:val="87"/>
              </w:rPr>
              <w:t>June 21, 2018</w:t>
            </w:r>
          </w:p>
        </w:tc>
        <w:tc>
          <w:tcPr>
            <w:tcW w:w="1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2"/>
        </w:trPr>
        <w:tc>
          <w:tcPr>
            <w:tcW w:w="1280" w:type="dxa"/>
            <w:vAlign w:val="bottom"/>
            <w:vMerge w:val="continue"/>
          </w:tcPr>
          <w:p>
            <w:pPr>
              <w:spacing w:after="0"/>
              <w:rPr>
                <w:sz w:val="8"/>
                <w:szCs w:val="8"/>
                <w:color w:val="auto"/>
              </w:rPr>
            </w:pPr>
          </w:p>
        </w:tc>
        <w:tc>
          <w:tcPr>
            <w:tcW w:w="4580" w:type="dxa"/>
            <w:vAlign w:val="bottom"/>
            <w:gridSpan w:val="11"/>
            <w:vMerge w:val="restart"/>
          </w:tcPr>
          <w:p>
            <w:pPr>
              <w:spacing w:after="0" w:line="196" w:lineRule="exact"/>
              <w:rPr>
                <w:rFonts w:ascii="Arial" w:cs="Arial" w:eastAsia="Arial" w:hAnsi="Arial"/>
                <w:sz w:val="18"/>
                <w:szCs w:val="18"/>
                <w:color w:val="0000EE"/>
                <w:w w:val="98"/>
              </w:rPr>
            </w:pPr>
            <w:hyperlink r:id="rId76">
              <w:r>
                <w:rPr>
                  <w:rFonts w:ascii="Arial" w:cs="Arial" w:eastAsia="Arial" w:hAnsi="Arial"/>
                  <w:sz w:val="18"/>
                  <w:szCs w:val="18"/>
                  <w:color w:val="0000EE"/>
                  <w:w w:val="98"/>
                </w:rPr>
                <w:t>Gores Holdings II, Inc., AM Merger Sub I, Inc., AM Merger</w:t>
              </w:r>
            </w:hyperlink>
          </w:p>
        </w:tc>
        <w:tc>
          <w:tcPr>
            <w:tcW w:w="80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1280" w:type="dxa"/>
            <w:vAlign w:val="bottom"/>
          </w:tcPr>
          <w:p>
            <w:pPr>
              <w:spacing w:after="0"/>
              <w:rPr>
                <w:sz w:val="8"/>
                <w:szCs w:val="8"/>
                <w:color w:val="auto"/>
              </w:rPr>
            </w:pPr>
          </w:p>
        </w:tc>
        <w:tc>
          <w:tcPr>
            <w:tcW w:w="4580" w:type="dxa"/>
            <w:vAlign w:val="bottom"/>
            <w:gridSpan w:val="11"/>
            <w:vMerge w:val="continue"/>
          </w:tcPr>
          <w:p>
            <w:pPr>
              <w:spacing w:after="0"/>
              <w:rPr>
                <w:sz w:val="8"/>
                <w:szCs w:val="8"/>
                <w:color w:val="auto"/>
              </w:rPr>
            </w:pPr>
          </w:p>
        </w:tc>
        <w:tc>
          <w:tcPr>
            <w:tcW w:w="80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940" w:type="dxa"/>
            <w:vAlign w:val="bottom"/>
            <w:tcBorders>
              <w:right w:val="single" w:sz="8" w:color="0000EE"/>
            </w:tcBorders>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4580" w:type="dxa"/>
            <w:vAlign w:val="bottom"/>
            <w:tcBorders>
              <w:bottom w:val="single" w:sz="8" w:color="0000EE"/>
            </w:tcBorders>
            <w:gridSpan w:val="11"/>
          </w:tcPr>
          <w:p>
            <w:pPr>
              <w:spacing w:after="0" w:line="196" w:lineRule="exact"/>
              <w:rPr>
                <w:rFonts w:ascii="Arial" w:cs="Arial" w:eastAsia="Arial" w:hAnsi="Arial"/>
                <w:sz w:val="18"/>
                <w:szCs w:val="18"/>
                <w:color w:val="0000EE"/>
              </w:rPr>
            </w:pPr>
            <w:hyperlink r:id="rId76">
              <w:r>
                <w:rPr>
                  <w:rFonts w:ascii="Arial" w:cs="Arial" w:eastAsia="Arial" w:hAnsi="Arial"/>
                  <w:sz w:val="18"/>
                  <w:szCs w:val="18"/>
                  <w:color w:val="0000EE"/>
                </w:rPr>
                <w:t>Sub II, LLC, Greenlight Holding II Corporation and PE</w:t>
              </w:r>
            </w:hyperlink>
          </w:p>
        </w:tc>
        <w:tc>
          <w:tcPr>
            <w:tcW w:w="8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4580" w:type="dxa"/>
            <w:vAlign w:val="bottom"/>
            <w:tcBorders>
              <w:bottom w:val="single" w:sz="8" w:color="0000EE"/>
            </w:tcBorders>
            <w:gridSpan w:val="11"/>
          </w:tcPr>
          <w:p>
            <w:pPr>
              <w:spacing w:after="0" w:line="196" w:lineRule="exact"/>
              <w:rPr>
                <w:rFonts w:ascii="Arial" w:cs="Arial" w:eastAsia="Arial" w:hAnsi="Arial"/>
                <w:sz w:val="18"/>
                <w:szCs w:val="18"/>
                <w:color w:val="0000EE"/>
                <w:w w:val="96"/>
              </w:rPr>
            </w:pPr>
            <w:hyperlink r:id="rId76">
              <w:r>
                <w:rPr>
                  <w:rFonts w:ascii="Arial" w:cs="Arial" w:eastAsia="Arial" w:hAnsi="Arial"/>
                  <w:sz w:val="18"/>
                  <w:szCs w:val="18"/>
                  <w:color w:val="0000EE"/>
                  <w:w w:val="96"/>
                </w:rPr>
                <w:t>Greenlight Holdings, LLC, in its capacity as the Stockholder</w:t>
              </w:r>
            </w:hyperlink>
          </w:p>
        </w:tc>
        <w:tc>
          <w:tcPr>
            <w:tcW w:w="8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4580" w:type="dxa"/>
            <w:vAlign w:val="bottom"/>
            <w:gridSpan w:val="11"/>
          </w:tcPr>
          <w:p>
            <w:pPr>
              <w:spacing w:after="0" w:line="196" w:lineRule="exact"/>
              <w:rPr>
                <w:rFonts w:ascii="Arial" w:cs="Arial" w:eastAsia="Arial" w:hAnsi="Arial"/>
                <w:sz w:val="18"/>
                <w:szCs w:val="18"/>
                <w:color w:val="0000EE"/>
              </w:rPr>
            </w:pPr>
            <w:hyperlink r:id="rId76">
              <w:r>
                <w:rPr>
                  <w:rFonts w:ascii="Arial" w:cs="Arial" w:eastAsia="Arial" w:hAnsi="Arial"/>
                  <w:sz w:val="18"/>
                  <w:szCs w:val="18"/>
                  <w:color w:val="0000EE"/>
                </w:rPr>
                <w:t>Representative</w:t>
              </w:r>
              <w:r>
                <w:rPr>
                  <w:rFonts w:ascii="Arial" w:cs="Arial" w:eastAsia="Arial" w:hAnsi="Arial"/>
                  <w:sz w:val="18"/>
                  <w:szCs w:val="18"/>
                  <w:color w:val="000000"/>
                </w:rPr>
                <w:t>.</w:t>
              </w:r>
            </w:hyperlink>
          </w:p>
        </w:tc>
        <w:tc>
          <w:tcPr>
            <w:tcW w:w="8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280" w:type="dxa"/>
            <w:vAlign w:val="bottom"/>
          </w:tcPr>
          <w:p>
            <w:pPr>
              <w:spacing w:after="0"/>
              <w:rPr>
                <w:sz w:val="20"/>
                <w:szCs w:val="20"/>
                <w:color w:val="auto"/>
              </w:rPr>
            </w:pPr>
            <w:r>
              <w:rPr>
                <w:rFonts w:ascii="Arial" w:cs="Arial" w:eastAsia="Arial" w:hAnsi="Arial"/>
                <w:sz w:val="18"/>
                <w:szCs w:val="18"/>
                <w:color w:val="auto"/>
              </w:rPr>
              <w:t>2.2</w:t>
            </w:r>
          </w:p>
        </w:tc>
        <w:tc>
          <w:tcPr>
            <w:tcW w:w="4580" w:type="dxa"/>
            <w:vAlign w:val="bottom"/>
            <w:tcBorders>
              <w:bottom w:val="single" w:sz="8" w:color="0000EE"/>
            </w:tcBorders>
            <w:gridSpan w:val="11"/>
          </w:tcPr>
          <w:p>
            <w:pPr>
              <w:spacing w:after="0"/>
              <w:rPr>
                <w:rFonts w:ascii="Arial" w:cs="Arial" w:eastAsia="Arial" w:hAnsi="Arial"/>
                <w:sz w:val="18"/>
                <w:szCs w:val="18"/>
                <w:color w:val="0000EE"/>
                <w:w w:val="92"/>
              </w:rPr>
            </w:pPr>
            <w:hyperlink r:id="rId77">
              <w:r>
                <w:rPr>
                  <w:rFonts w:ascii="Arial" w:cs="Arial" w:eastAsia="Arial" w:hAnsi="Arial"/>
                  <w:sz w:val="18"/>
                  <w:szCs w:val="18"/>
                  <w:color w:val="0000EE"/>
                  <w:w w:val="92"/>
                </w:rPr>
                <w:t>Amendment No. 1 to Agreement and Plan of Merger, dated as</w:t>
              </w:r>
            </w:hyperlink>
          </w:p>
        </w:tc>
        <w:tc>
          <w:tcPr>
            <w:tcW w:w="80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240" w:type="dxa"/>
            <w:vAlign w:val="bottom"/>
          </w:tcPr>
          <w:p>
            <w:pPr>
              <w:jc w:val="center"/>
              <w:spacing w:after="0"/>
              <w:rPr>
                <w:sz w:val="20"/>
                <w:szCs w:val="20"/>
                <w:color w:val="auto"/>
              </w:rPr>
            </w:pPr>
            <w:r>
              <w:rPr>
                <w:rFonts w:ascii="Arial" w:cs="Arial" w:eastAsia="Arial" w:hAnsi="Arial"/>
                <w:sz w:val="18"/>
                <w:szCs w:val="18"/>
                <w:color w:val="auto"/>
                <w:w w:val="90"/>
              </w:rPr>
              <w:t>001-37979</w:t>
            </w:r>
          </w:p>
        </w:tc>
        <w:tc>
          <w:tcPr>
            <w:tcW w:w="1020" w:type="dxa"/>
            <w:vAlign w:val="bottom"/>
          </w:tcPr>
          <w:p>
            <w:pPr>
              <w:jc w:val="center"/>
              <w:ind w:right="32"/>
              <w:spacing w:after="0"/>
              <w:rPr>
                <w:sz w:val="20"/>
                <w:szCs w:val="20"/>
                <w:color w:val="auto"/>
              </w:rPr>
            </w:pPr>
            <w:r>
              <w:rPr>
                <w:rFonts w:ascii="Arial" w:cs="Arial" w:eastAsia="Arial" w:hAnsi="Arial"/>
                <w:sz w:val="18"/>
                <w:szCs w:val="18"/>
                <w:color w:val="auto"/>
                <w:w w:val="87"/>
              </w:rPr>
              <w:t>2.1</w:t>
            </w:r>
          </w:p>
        </w:tc>
        <w:tc>
          <w:tcPr>
            <w:tcW w:w="1280" w:type="dxa"/>
            <w:vAlign w:val="bottom"/>
          </w:tcPr>
          <w:p>
            <w:pPr>
              <w:jc w:val="center"/>
              <w:ind w:right="32"/>
              <w:spacing w:after="0"/>
              <w:rPr>
                <w:sz w:val="20"/>
                <w:szCs w:val="20"/>
                <w:color w:val="auto"/>
              </w:rPr>
            </w:pPr>
            <w:r>
              <w:rPr>
                <w:rFonts w:ascii="Arial" w:cs="Arial" w:eastAsia="Arial" w:hAnsi="Arial"/>
                <w:sz w:val="18"/>
                <w:szCs w:val="18"/>
                <w:color w:val="auto"/>
                <w:w w:val="92"/>
              </w:rPr>
              <w:t>Aug. 24, 2018</w:t>
            </w: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4580" w:type="dxa"/>
            <w:vAlign w:val="bottom"/>
            <w:gridSpan w:val="11"/>
          </w:tcPr>
          <w:p>
            <w:pPr>
              <w:spacing w:after="0" w:line="196" w:lineRule="exact"/>
              <w:rPr>
                <w:rFonts w:ascii="Arial" w:cs="Arial" w:eastAsia="Arial" w:hAnsi="Arial"/>
                <w:sz w:val="18"/>
                <w:szCs w:val="18"/>
                <w:color w:val="0000EE"/>
                <w:w w:val="98"/>
              </w:rPr>
            </w:pPr>
            <w:hyperlink r:id="rId77">
              <w:r>
                <w:rPr>
                  <w:rFonts w:ascii="Arial" w:cs="Arial" w:eastAsia="Arial" w:hAnsi="Arial"/>
                  <w:sz w:val="18"/>
                  <w:szCs w:val="18"/>
                  <w:color w:val="0000EE"/>
                  <w:w w:val="98"/>
                </w:rPr>
                <w:t>of August 23, 2018, by and among Gores Holdings II, Inc.,</w:t>
              </w:r>
            </w:hyperlink>
          </w:p>
        </w:tc>
        <w:tc>
          <w:tcPr>
            <w:tcW w:w="8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940" w:type="dxa"/>
            <w:vAlign w:val="bottom"/>
            <w:tcBorders>
              <w:right w:val="single" w:sz="8" w:color="0000EE"/>
            </w:tcBorders>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4580" w:type="dxa"/>
            <w:vAlign w:val="bottom"/>
            <w:tcBorders>
              <w:bottom w:val="single" w:sz="8" w:color="0000EE"/>
            </w:tcBorders>
            <w:gridSpan w:val="11"/>
          </w:tcPr>
          <w:p>
            <w:pPr>
              <w:spacing w:after="0" w:line="196" w:lineRule="exact"/>
              <w:rPr>
                <w:rFonts w:ascii="Arial" w:cs="Arial" w:eastAsia="Arial" w:hAnsi="Arial"/>
                <w:sz w:val="18"/>
                <w:szCs w:val="18"/>
                <w:color w:val="0000EE"/>
                <w:w w:val="98"/>
              </w:rPr>
            </w:pPr>
            <w:hyperlink r:id="rId77">
              <w:r>
                <w:rPr>
                  <w:rFonts w:ascii="Arial" w:cs="Arial" w:eastAsia="Arial" w:hAnsi="Arial"/>
                  <w:sz w:val="18"/>
                  <w:szCs w:val="18"/>
                  <w:color w:val="0000EE"/>
                  <w:w w:val="98"/>
                </w:rPr>
                <w:t>AM Merger Sub I, Inc., AM Merger Sub II, LLC, Greenlight</w:t>
              </w:r>
            </w:hyperlink>
          </w:p>
        </w:tc>
        <w:tc>
          <w:tcPr>
            <w:tcW w:w="8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4580" w:type="dxa"/>
            <w:vAlign w:val="bottom"/>
            <w:tcBorders>
              <w:bottom w:val="single" w:sz="8" w:color="0000EE"/>
            </w:tcBorders>
            <w:gridSpan w:val="11"/>
          </w:tcPr>
          <w:p>
            <w:pPr>
              <w:spacing w:after="0" w:line="196" w:lineRule="exact"/>
              <w:rPr>
                <w:rFonts w:ascii="Arial" w:cs="Arial" w:eastAsia="Arial" w:hAnsi="Arial"/>
                <w:sz w:val="18"/>
                <w:szCs w:val="18"/>
                <w:color w:val="0000EE"/>
                <w:w w:val="97"/>
              </w:rPr>
            </w:pPr>
            <w:hyperlink r:id="rId77">
              <w:r>
                <w:rPr>
                  <w:rFonts w:ascii="Arial" w:cs="Arial" w:eastAsia="Arial" w:hAnsi="Arial"/>
                  <w:sz w:val="18"/>
                  <w:szCs w:val="18"/>
                  <w:color w:val="0000EE"/>
                  <w:w w:val="97"/>
                </w:rPr>
                <w:t>Holding II Corporation and PE Greenlight Holdings, LLC, in</w:t>
              </w:r>
            </w:hyperlink>
          </w:p>
        </w:tc>
        <w:tc>
          <w:tcPr>
            <w:tcW w:w="8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4580" w:type="dxa"/>
            <w:vAlign w:val="bottom"/>
            <w:gridSpan w:val="11"/>
          </w:tcPr>
          <w:p>
            <w:pPr>
              <w:spacing w:after="0" w:line="196" w:lineRule="exact"/>
              <w:rPr>
                <w:rFonts w:ascii="Arial" w:cs="Arial" w:eastAsia="Arial" w:hAnsi="Arial"/>
                <w:sz w:val="18"/>
                <w:szCs w:val="18"/>
                <w:color w:val="0000EE"/>
              </w:rPr>
            </w:pPr>
            <w:hyperlink r:id="rId77">
              <w:r>
                <w:rPr>
                  <w:rFonts w:ascii="Arial" w:cs="Arial" w:eastAsia="Arial" w:hAnsi="Arial"/>
                  <w:sz w:val="18"/>
                  <w:szCs w:val="18"/>
                  <w:color w:val="0000EE"/>
                </w:rPr>
                <w:t>its capacity as the Stockholder Representative</w:t>
              </w:r>
              <w:r>
                <w:rPr>
                  <w:rFonts w:ascii="Arial" w:cs="Arial" w:eastAsia="Arial" w:hAnsi="Arial"/>
                  <w:sz w:val="18"/>
                  <w:szCs w:val="18"/>
                  <w:color w:val="000000"/>
                </w:rPr>
                <w:t>.</w:t>
              </w:r>
            </w:hyperlink>
          </w:p>
        </w:tc>
        <w:tc>
          <w:tcPr>
            <w:tcW w:w="8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940" w:type="dxa"/>
            <w:vAlign w:val="bottom"/>
            <w:tcBorders>
              <w:right w:val="single" w:sz="8" w:color="0000EE"/>
            </w:tcBorders>
            <w:shd w:val="clear" w:color="auto" w:fill="0000EE"/>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280" w:type="dxa"/>
            <w:vAlign w:val="bottom"/>
          </w:tcPr>
          <w:p>
            <w:pPr>
              <w:spacing w:after="0"/>
              <w:rPr>
                <w:sz w:val="20"/>
                <w:szCs w:val="20"/>
                <w:color w:val="auto"/>
              </w:rPr>
            </w:pPr>
            <w:r>
              <w:rPr>
                <w:rFonts w:ascii="Arial" w:cs="Arial" w:eastAsia="Arial" w:hAnsi="Arial"/>
                <w:sz w:val="18"/>
                <w:szCs w:val="18"/>
                <w:color w:val="auto"/>
              </w:rPr>
              <w:t>3.1</w:t>
            </w:r>
          </w:p>
        </w:tc>
        <w:tc>
          <w:tcPr>
            <w:tcW w:w="4580" w:type="dxa"/>
            <w:vAlign w:val="bottom"/>
            <w:tcBorders>
              <w:bottom w:val="single" w:sz="8" w:color="0000EE"/>
            </w:tcBorders>
            <w:gridSpan w:val="11"/>
          </w:tcPr>
          <w:p>
            <w:pPr>
              <w:spacing w:after="0"/>
              <w:rPr>
                <w:rFonts w:ascii="Arial" w:cs="Arial" w:eastAsia="Arial" w:hAnsi="Arial"/>
                <w:sz w:val="18"/>
                <w:szCs w:val="18"/>
                <w:color w:val="0000EE"/>
                <w:w w:val="92"/>
              </w:rPr>
            </w:pPr>
            <w:hyperlink r:id="rId78">
              <w:r>
                <w:rPr>
                  <w:rFonts w:ascii="Arial" w:cs="Arial" w:eastAsia="Arial" w:hAnsi="Arial"/>
                  <w:sz w:val="18"/>
                  <w:szCs w:val="18"/>
                  <w:color w:val="0000EE"/>
                  <w:w w:val="92"/>
                </w:rPr>
                <w:t>Second Amended and Restated Certificate of Incorporation of</w:t>
              </w:r>
            </w:hyperlink>
          </w:p>
        </w:tc>
        <w:tc>
          <w:tcPr>
            <w:tcW w:w="80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240" w:type="dxa"/>
            <w:vAlign w:val="bottom"/>
          </w:tcPr>
          <w:p>
            <w:pPr>
              <w:jc w:val="center"/>
              <w:spacing w:after="0"/>
              <w:rPr>
                <w:sz w:val="20"/>
                <w:szCs w:val="20"/>
                <w:color w:val="auto"/>
              </w:rPr>
            </w:pPr>
            <w:r>
              <w:rPr>
                <w:rFonts w:ascii="Arial" w:cs="Arial" w:eastAsia="Arial" w:hAnsi="Arial"/>
                <w:sz w:val="18"/>
                <w:szCs w:val="18"/>
                <w:color w:val="auto"/>
                <w:w w:val="90"/>
              </w:rPr>
              <w:t>001-37979</w:t>
            </w:r>
          </w:p>
        </w:tc>
        <w:tc>
          <w:tcPr>
            <w:tcW w:w="1020" w:type="dxa"/>
            <w:vAlign w:val="bottom"/>
          </w:tcPr>
          <w:p>
            <w:pPr>
              <w:jc w:val="center"/>
              <w:ind w:right="32"/>
              <w:spacing w:after="0"/>
              <w:rPr>
                <w:sz w:val="20"/>
                <w:szCs w:val="20"/>
                <w:color w:val="auto"/>
              </w:rPr>
            </w:pPr>
            <w:r>
              <w:rPr>
                <w:rFonts w:ascii="Arial" w:cs="Arial" w:eastAsia="Arial" w:hAnsi="Arial"/>
                <w:sz w:val="18"/>
                <w:szCs w:val="18"/>
                <w:color w:val="auto"/>
                <w:w w:val="87"/>
              </w:rPr>
              <w:t>3.1</w:t>
            </w:r>
          </w:p>
        </w:tc>
        <w:tc>
          <w:tcPr>
            <w:tcW w:w="1280" w:type="dxa"/>
            <w:vAlign w:val="bottom"/>
          </w:tcPr>
          <w:p>
            <w:pPr>
              <w:jc w:val="center"/>
              <w:ind w:right="12"/>
              <w:spacing w:after="0"/>
              <w:rPr>
                <w:sz w:val="20"/>
                <w:szCs w:val="20"/>
                <w:color w:val="auto"/>
              </w:rPr>
            </w:pPr>
            <w:r>
              <w:rPr>
                <w:rFonts w:ascii="Arial" w:cs="Arial" w:eastAsia="Arial" w:hAnsi="Arial"/>
                <w:sz w:val="18"/>
                <w:szCs w:val="18"/>
                <w:color w:val="auto"/>
                <w:w w:val="90"/>
              </w:rPr>
              <w:t>Oct. 22, 2018</w:t>
            </w: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4580" w:type="dxa"/>
            <w:vAlign w:val="bottom"/>
            <w:gridSpan w:val="11"/>
          </w:tcPr>
          <w:p>
            <w:pPr>
              <w:spacing w:after="0" w:line="196" w:lineRule="exact"/>
              <w:rPr>
                <w:rFonts w:ascii="Arial" w:cs="Arial" w:eastAsia="Arial" w:hAnsi="Arial"/>
                <w:sz w:val="18"/>
                <w:szCs w:val="18"/>
                <w:color w:val="0000EE"/>
              </w:rPr>
            </w:pPr>
            <w:hyperlink r:id="rId78">
              <w:r>
                <w:rPr>
                  <w:rFonts w:ascii="Arial" w:cs="Arial" w:eastAsia="Arial" w:hAnsi="Arial"/>
                  <w:sz w:val="18"/>
                  <w:szCs w:val="18"/>
                  <w:color w:val="0000EE"/>
                </w:rPr>
                <w:t>Verra Mobility Corporation</w:t>
              </w:r>
              <w:r>
                <w:rPr>
                  <w:rFonts w:ascii="Arial" w:cs="Arial" w:eastAsia="Arial" w:hAnsi="Arial"/>
                  <w:sz w:val="18"/>
                  <w:szCs w:val="18"/>
                  <w:color w:val="000000"/>
                </w:rPr>
                <w:t>.</w:t>
              </w:r>
            </w:hyperlink>
          </w:p>
        </w:tc>
        <w:tc>
          <w:tcPr>
            <w:tcW w:w="8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280" w:type="dxa"/>
            <w:vAlign w:val="bottom"/>
          </w:tcPr>
          <w:p>
            <w:pPr>
              <w:spacing w:after="0"/>
              <w:rPr>
                <w:sz w:val="20"/>
                <w:szCs w:val="20"/>
                <w:color w:val="auto"/>
              </w:rPr>
            </w:pPr>
            <w:r>
              <w:rPr>
                <w:rFonts w:ascii="Arial" w:cs="Arial" w:eastAsia="Arial" w:hAnsi="Arial"/>
                <w:sz w:val="18"/>
                <w:szCs w:val="18"/>
                <w:color w:val="auto"/>
              </w:rPr>
              <w:t>3.2</w:t>
            </w:r>
          </w:p>
        </w:tc>
        <w:tc>
          <w:tcPr>
            <w:tcW w:w="4580" w:type="dxa"/>
            <w:vAlign w:val="bottom"/>
            <w:gridSpan w:val="11"/>
          </w:tcPr>
          <w:p>
            <w:pPr>
              <w:spacing w:after="0"/>
              <w:rPr>
                <w:rFonts w:ascii="Arial" w:cs="Arial" w:eastAsia="Arial" w:hAnsi="Arial"/>
                <w:sz w:val="18"/>
                <w:szCs w:val="18"/>
                <w:color w:val="0000EE"/>
                <w:w w:val="93"/>
              </w:rPr>
            </w:pPr>
            <w:hyperlink r:id="rId79">
              <w:r>
                <w:rPr>
                  <w:rFonts w:ascii="Arial" w:cs="Arial" w:eastAsia="Arial" w:hAnsi="Arial"/>
                  <w:sz w:val="18"/>
                  <w:szCs w:val="18"/>
                  <w:color w:val="0000EE"/>
                  <w:w w:val="93"/>
                </w:rPr>
                <w:t>Amended and Restated Bylaws of Verra Mobility Corporation</w:t>
              </w:r>
            </w:hyperlink>
            <w:r>
              <w:rPr>
                <w:rFonts w:ascii="Arial" w:cs="Arial" w:eastAsia="Arial" w:hAnsi="Arial"/>
                <w:sz w:val="18"/>
                <w:szCs w:val="18"/>
                <w:color w:val="000000"/>
                <w:w w:val="93"/>
              </w:rPr>
              <w:t>.</w:t>
            </w:r>
          </w:p>
        </w:tc>
        <w:tc>
          <w:tcPr>
            <w:tcW w:w="80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240" w:type="dxa"/>
            <w:vAlign w:val="bottom"/>
          </w:tcPr>
          <w:p>
            <w:pPr>
              <w:jc w:val="center"/>
              <w:spacing w:after="0"/>
              <w:rPr>
                <w:sz w:val="20"/>
                <w:szCs w:val="20"/>
                <w:color w:val="auto"/>
              </w:rPr>
            </w:pPr>
            <w:r>
              <w:rPr>
                <w:rFonts w:ascii="Arial" w:cs="Arial" w:eastAsia="Arial" w:hAnsi="Arial"/>
                <w:sz w:val="18"/>
                <w:szCs w:val="18"/>
                <w:color w:val="auto"/>
                <w:w w:val="90"/>
              </w:rPr>
              <w:t>001-37979</w:t>
            </w:r>
          </w:p>
        </w:tc>
        <w:tc>
          <w:tcPr>
            <w:tcW w:w="1020" w:type="dxa"/>
            <w:vAlign w:val="bottom"/>
          </w:tcPr>
          <w:p>
            <w:pPr>
              <w:jc w:val="center"/>
              <w:ind w:right="32"/>
              <w:spacing w:after="0"/>
              <w:rPr>
                <w:sz w:val="20"/>
                <w:szCs w:val="20"/>
                <w:color w:val="auto"/>
              </w:rPr>
            </w:pPr>
            <w:r>
              <w:rPr>
                <w:rFonts w:ascii="Arial" w:cs="Arial" w:eastAsia="Arial" w:hAnsi="Arial"/>
                <w:sz w:val="18"/>
                <w:szCs w:val="18"/>
                <w:color w:val="auto"/>
                <w:w w:val="87"/>
              </w:rPr>
              <w:t>3.2</w:t>
            </w:r>
          </w:p>
        </w:tc>
        <w:tc>
          <w:tcPr>
            <w:tcW w:w="1280" w:type="dxa"/>
            <w:vAlign w:val="bottom"/>
          </w:tcPr>
          <w:p>
            <w:pPr>
              <w:jc w:val="center"/>
              <w:ind w:right="12"/>
              <w:spacing w:after="0"/>
              <w:rPr>
                <w:sz w:val="20"/>
                <w:szCs w:val="20"/>
                <w:color w:val="auto"/>
              </w:rPr>
            </w:pPr>
            <w:r>
              <w:rPr>
                <w:rFonts w:ascii="Arial" w:cs="Arial" w:eastAsia="Arial" w:hAnsi="Arial"/>
                <w:sz w:val="18"/>
                <w:szCs w:val="18"/>
                <w:color w:val="auto"/>
                <w:w w:val="90"/>
              </w:rPr>
              <w:t>Oct. 22, 2018</w:t>
            </w: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280" w:type="dxa"/>
            <w:vAlign w:val="bottom"/>
          </w:tcPr>
          <w:p>
            <w:pPr>
              <w:spacing w:after="0"/>
              <w:rPr>
                <w:sz w:val="20"/>
                <w:szCs w:val="20"/>
                <w:color w:val="auto"/>
              </w:rPr>
            </w:pPr>
            <w:r>
              <w:rPr>
                <w:rFonts w:ascii="Arial" w:cs="Arial" w:eastAsia="Arial" w:hAnsi="Arial"/>
                <w:sz w:val="18"/>
                <w:szCs w:val="18"/>
                <w:color w:val="auto"/>
              </w:rPr>
              <w:t>4.1</w:t>
            </w:r>
          </w:p>
        </w:tc>
        <w:tc>
          <w:tcPr>
            <w:tcW w:w="4480" w:type="dxa"/>
            <w:vAlign w:val="bottom"/>
            <w:tcBorders>
              <w:top w:val="single" w:sz="8" w:color="0000EE"/>
            </w:tcBorders>
            <w:gridSpan w:val="9"/>
          </w:tcPr>
          <w:p>
            <w:pPr>
              <w:spacing w:after="0"/>
              <w:rPr>
                <w:rFonts w:ascii="Arial" w:cs="Arial" w:eastAsia="Arial" w:hAnsi="Arial"/>
                <w:sz w:val="18"/>
                <w:szCs w:val="18"/>
                <w:color w:val="0000EE"/>
              </w:rPr>
            </w:pPr>
            <w:hyperlink r:id="rId80">
              <w:r>
                <w:rPr>
                  <w:rFonts w:ascii="Arial" w:cs="Arial" w:eastAsia="Arial" w:hAnsi="Arial"/>
                  <w:sz w:val="18"/>
                  <w:szCs w:val="18"/>
                  <w:color w:val="0000EE"/>
                </w:rPr>
                <w:t>Specimen Class A Common Stock Certificate</w:t>
              </w:r>
            </w:hyperlink>
            <w:r>
              <w:rPr>
                <w:rFonts w:ascii="Arial" w:cs="Arial" w:eastAsia="Arial" w:hAnsi="Arial"/>
                <w:sz w:val="18"/>
                <w:szCs w:val="18"/>
                <w:color w:val="000000"/>
              </w:rPr>
              <w:t>.</w:t>
            </w:r>
          </w:p>
        </w:tc>
        <w:tc>
          <w:tcPr>
            <w:tcW w:w="100" w:type="dxa"/>
            <w:vAlign w:val="bottom"/>
            <w:gridSpan w:val="2"/>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2"/>
              </w:rPr>
              <w:t>S-1</w:t>
            </w:r>
          </w:p>
        </w:tc>
        <w:tc>
          <w:tcPr>
            <w:tcW w:w="1240" w:type="dxa"/>
            <w:vAlign w:val="bottom"/>
          </w:tcPr>
          <w:p>
            <w:pPr>
              <w:jc w:val="center"/>
              <w:spacing w:after="0"/>
              <w:rPr>
                <w:sz w:val="20"/>
                <w:szCs w:val="20"/>
                <w:color w:val="auto"/>
              </w:rPr>
            </w:pPr>
            <w:r>
              <w:rPr>
                <w:rFonts w:ascii="Arial" w:cs="Arial" w:eastAsia="Arial" w:hAnsi="Arial"/>
                <w:sz w:val="18"/>
                <w:szCs w:val="18"/>
                <w:color w:val="auto"/>
                <w:w w:val="90"/>
              </w:rPr>
              <w:t>333-21503</w:t>
            </w:r>
          </w:p>
        </w:tc>
        <w:tc>
          <w:tcPr>
            <w:tcW w:w="1020" w:type="dxa"/>
            <w:vAlign w:val="bottom"/>
          </w:tcPr>
          <w:p>
            <w:pPr>
              <w:jc w:val="center"/>
              <w:ind w:right="32"/>
              <w:spacing w:after="0"/>
              <w:rPr>
                <w:sz w:val="20"/>
                <w:szCs w:val="20"/>
                <w:color w:val="auto"/>
              </w:rPr>
            </w:pPr>
            <w:r>
              <w:rPr>
                <w:rFonts w:ascii="Arial" w:cs="Arial" w:eastAsia="Arial" w:hAnsi="Arial"/>
                <w:sz w:val="18"/>
                <w:szCs w:val="18"/>
                <w:color w:val="auto"/>
                <w:w w:val="87"/>
              </w:rPr>
              <w:t>4.2</w:t>
            </w:r>
          </w:p>
        </w:tc>
        <w:tc>
          <w:tcPr>
            <w:tcW w:w="1280" w:type="dxa"/>
            <w:vAlign w:val="bottom"/>
          </w:tcPr>
          <w:p>
            <w:pPr>
              <w:jc w:val="center"/>
              <w:ind w:right="32"/>
              <w:spacing w:after="0"/>
              <w:rPr>
                <w:sz w:val="20"/>
                <w:szCs w:val="20"/>
                <w:color w:val="auto"/>
              </w:rPr>
            </w:pPr>
            <w:r>
              <w:rPr>
                <w:rFonts w:ascii="Arial" w:cs="Arial" w:eastAsia="Arial" w:hAnsi="Arial"/>
                <w:sz w:val="18"/>
                <w:szCs w:val="18"/>
                <w:color w:val="auto"/>
                <w:w w:val="90"/>
              </w:rPr>
              <w:t>Dec. 9, 2016</w:t>
            </w: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280" w:type="dxa"/>
            <w:vAlign w:val="bottom"/>
          </w:tcPr>
          <w:p>
            <w:pPr>
              <w:spacing w:after="0"/>
              <w:rPr>
                <w:sz w:val="20"/>
                <w:szCs w:val="20"/>
                <w:color w:val="auto"/>
              </w:rPr>
            </w:pPr>
            <w:r>
              <w:rPr>
                <w:rFonts w:ascii="Arial" w:cs="Arial" w:eastAsia="Arial" w:hAnsi="Arial"/>
                <w:sz w:val="18"/>
                <w:szCs w:val="18"/>
                <w:color w:val="auto"/>
              </w:rPr>
              <w:t>4.2</w:t>
            </w:r>
          </w:p>
        </w:tc>
        <w:tc>
          <w:tcPr>
            <w:tcW w:w="3320" w:type="dxa"/>
            <w:vAlign w:val="bottom"/>
            <w:tcBorders>
              <w:top w:val="single" w:sz="8" w:color="0000EE"/>
            </w:tcBorders>
            <w:gridSpan w:val="8"/>
          </w:tcPr>
          <w:p>
            <w:pPr>
              <w:spacing w:after="0"/>
              <w:rPr>
                <w:rFonts w:ascii="Arial" w:cs="Arial" w:eastAsia="Arial" w:hAnsi="Arial"/>
                <w:sz w:val="18"/>
                <w:szCs w:val="18"/>
                <w:color w:val="0000EE"/>
              </w:rPr>
            </w:pPr>
            <w:hyperlink r:id="rId81">
              <w:r>
                <w:rPr>
                  <w:rFonts w:ascii="Arial" w:cs="Arial" w:eastAsia="Arial" w:hAnsi="Arial"/>
                  <w:sz w:val="18"/>
                  <w:szCs w:val="18"/>
                  <w:color w:val="0000EE"/>
                </w:rPr>
                <w:t>Specimen Warrant Certificate</w:t>
              </w:r>
            </w:hyperlink>
            <w:r>
              <w:rPr>
                <w:rFonts w:ascii="Arial" w:cs="Arial" w:eastAsia="Arial" w:hAnsi="Arial"/>
                <w:sz w:val="18"/>
                <w:szCs w:val="18"/>
                <w:color w:val="000000"/>
              </w:rPr>
              <w:t>.</w:t>
            </w:r>
          </w:p>
        </w:tc>
        <w:tc>
          <w:tcPr>
            <w:tcW w:w="1260" w:type="dxa"/>
            <w:vAlign w:val="bottom"/>
            <w:gridSpan w:val="3"/>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2"/>
              </w:rPr>
              <w:t>S-1</w:t>
            </w:r>
          </w:p>
        </w:tc>
        <w:tc>
          <w:tcPr>
            <w:tcW w:w="1240" w:type="dxa"/>
            <w:vAlign w:val="bottom"/>
          </w:tcPr>
          <w:p>
            <w:pPr>
              <w:jc w:val="center"/>
              <w:spacing w:after="0"/>
              <w:rPr>
                <w:sz w:val="20"/>
                <w:szCs w:val="20"/>
                <w:color w:val="auto"/>
              </w:rPr>
            </w:pPr>
            <w:r>
              <w:rPr>
                <w:rFonts w:ascii="Arial" w:cs="Arial" w:eastAsia="Arial" w:hAnsi="Arial"/>
                <w:sz w:val="18"/>
                <w:szCs w:val="18"/>
                <w:color w:val="auto"/>
                <w:w w:val="90"/>
              </w:rPr>
              <w:t>333-21503</w:t>
            </w:r>
          </w:p>
        </w:tc>
        <w:tc>
          <w:tcPr>
            <w:tcW w:w="1020" w:type="dxa"/>
            <w:vAlign w:val="bottom"/>
          </w:tcPr>
          <w:p>
            <w:pPr>
              <w:jc w:val="center"/>
              <w:ind w:right="32"/>
              <w:spacing w:after="0"/>
              <w:rPr>
                <w:sz w:val="20"/>
                <w:szCs w:val="20"/>
                <w:color w:val="auto"/>
              </w:rPr>
            </w:pPr>
            <w:r>
              <w:rPr>
                <w:rFonts w:ascii="Arial" w:cs="Arial" w:eastAsia="Arial" w:hAnsi="Arial"/>
                <w:sz w:val="18"/>
                <w:szCs w:val="18"/>
                <w:color w:val="auto"/>
                <w:w w:val="87"/>
              </w:rPr>
              <w:t>4.3</w:t>
            </w:r>
          </w:p>
        </w:tc>
        <w:tc>
          <w:tcPr>
            <w:tcW w:w="1280" w:type="dxa"/>
            <w:vAlign w:val="bottom"/>
          </w:tcPr>
          <w:p>
            <w:pPr>
              <w:jc w:val="center"/>
              <w:ind w:right="32"/>
              <w:spacing w:after="0"/>
              <w:rPr>
                <w:sz w:val="20"/>
                <w:szCs w:val="20"/>
                <w:color w:val="auto"/>
              </w:rPr>
            </w:pPr>
            <w:r>
              <w:rPr>
                <w:rFonts w:ascii="Arial" w:cs="Arial" w:eastAsia="Arial" w:hAnsi="Arial"/>
                <w:sz w:val="18"/>
                <w:szCs w:val="18"/>
                <w:color w:val="auto"/>
                <w:w w:val="90"/>
              </w:rPr>
              <w:t>Dec. 9, 2016</w:t>
            </w: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280" w:type="dxa"/>
            <w:vAlign w:val="bottom"/>
          </w:tcPr>
          <w:p>
            <w:pPr>
              <w:spacing w:after="0"/>
              <w:rPr>
                <w:sz w:val="20"/>
                <w:szCs w:val="20"/>
                <w:color w:val="auto"/>
              </w:rPr>
            </w:pPr>
            <w:r>
              <w:rPr>
                <w:rFonts w:ascii="Arial" w:cs="Arial" w:eastAsia="Arial" w:hAnsi="Arial"/>
                <w:sz w:val="18"/>
                <w:szCs w:val="18"/>
                <w:color w:val="auto"/>
              </w:rPr>
              <w:t>4.3</w:t>
            </w:r>
          </w:p>
        </w:tc>
        <w:tc>
          <w:tcPr>
            <w:tcW w:w="4580" w:type="dxa"/>
            <w:vAlign w:val="bottom"/>
            <w:tcBorders>
              <w:bottom w:val="single" w:sz="8" w:color="0000EE"/>
            </w:tcBorders>
            <w:gridSpan w:val="11"/>
          </w:tcPr>
          <w:p>
            <w:pPr>
              <w:spacing w:after="0"/>
              <w:rPr>
                <w:rFonts w:ascii="Arial" w:cs="Arial" w:eastAsia="Arial" w:hAnsi="Arial"/>
                <w:sz w:val="18"/>
                <w:szCs w:val="18"/>
                <w:color w:val="0000EE"/>
                <w:w w:val="98"/>
              </w:rPr>
            </w:pPr>
            <w:hyperlink r:id="rId82">
              <w:r>
                <w:rPr>
                  <w:rFonts w:ascii="Arial" w:cs="Arial" w:eastAsia="Arial" w:hAnsi="Arial"/>
                  <w:sz w:val="18"/>
                  <w:szCs w:val="18"/>
                  <w:color w:val="0000EE"/>
                  <w:w w:val="98"/>
                </w:rPr>
                <w:t>Warrant Agreement, dated January 12, 2017, between the</w:t>
              </w:r>
            </w:hyperlink>
          </w:p>
        </w:tc>
        <w:tc>
          <w:tcPr>
            <w:tcW w:w="80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240" w:type="dxa"/>
            <w:vAlign w:val="bottom"/>
          </w:tcPr>
          <w:p>
            <w:pPr>
              <w:jc w:val="center"/>
              <w:spacing w:after="0"/>
              <w:rPr>
                <w:sz w:val="20"/>
                <w:szCs w:val="20"/>
                <w:color w:val="auto"/>
              </w:rPr>
            </w:pPr>
            <w:r>
              <w:rPr>
                <w:rFonts w:ascii="Arial" w:cs="Arial" w:eastAsia="Arial" w:hAnsi="Arial"/>
                <w:sz w:val="18"/>
                <w:szCs w:val="18"/>
                <w:color w:val="auto"/>
                <w:w w:val="90"/>
              </w:rPr>
              <w:t>001-37979</w:t>
            </w:r>
          </w:p>
        </w:tc>
        <w:tc>
          <w:tcPr>
            <w:tcW w:w="1020" w:type="dxa"/>
            <w:vAlign w:val="bottom"/>
          </w:tcPr>
          <w:p>
            <w:pPr>
              <w:jc w:val="center"/>
              <w:ind w:right="32"/>
              <w:spacing w:after="0"/>
              <w:rPr>
                <w:sz w:val="20"/>
                <w:szCs w:val="20"/>
                <w:color w:val="auto"/>
              </w:rPr>
            </w:pPr>
            <w:r>
              <w:rPr>
                <w:rFonts w:ascii="Arial" w:cs="Arial" w:eastAsia="Arial" w:hAnsi="Arial"/>
                <w:sz w:val="18"/>
                <w:szCs w:val="18"/>
                <w:color w:val="auto"/>
                <w:w w:val="87"/>
              </w:rPr>
              <w:t>4.1</w:t>
            </w:r>
          </w:p>
        </w:tc>
        <w:tc>
          <w:tcPr>
            <w:tcW w:w="1280" w:type="dxa"/>
            <w:vAlign w:val="bottom"/>
          </w:tcPr>
          <w:p>
            <w:pPr>
              <w:jc w:val="center"/>
              <w:ind w:right="32"/>
              <w:spacing w:after="0"/>
              <w:rPr>
                <w:sz w:val="20"/>
                <w:szCs w:val="20"/>
                <w:color w:val="auto"/>
              </w:rPr>
            </w:pPr>
            <w:r>
              <w:rPr>
                <w:rFonts w:ascii="Arial" w:cs="Arial" w:eastAsia="Arial" w:hAnsi="Arial"/>
                <w:sz w:val="18"/>
                <w:szCs w:val="18"/>
                <w:color w:val="auto"/>
                <w:w w:val="87"/>
              </w:rPr>
              <w:t>Jan. 19, 2017</w:t>
            </w: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4580" w:type="dxa"/>
            <w:vAlign w:val="bottom"/>
            <w:tcBorders>
              <w:bottom w:val="single" w:sz="8" w:color="0000EE"/>
            </w:tcBorders>
            <w:gridSpan w:val="11"/>
          </w:tcPr>
          <w:p>
            <w:pPr>
              <w:spacing w:after="0" w:line="196" w:lineRule="exact"/>
              <w:rPr>
                <w:rFonts w:ascii="Arial" w:cs="Arial" w:eastAsia="Arial" w:hAnsi="Arial"/>
                <w:sz w:val="18"/>
                <w:szCs w:val="18"/>
                <w:color w:val="0000EE"/>
                <w:w w:val="93"/>
              </w:rPr>
            </w:pPr>
            <w:hyperlink r:id="rId82">
              <w:r>
                <w:rPr>
                  <w:rFonts w:ascii="Arial" w:cs="Arial" w:eastAsia="Arial" w:hAnsi="Arial"/>
                  <w:sz w:val="18"/>
                  <w:szCs w:val="18"/>
                  <w:color w:val="0000EE"/>
                  <w:w w:val="93"/>
                </w:rPr>
                <w:t>Registrant and Continental Stock Transfer &amp; Trust Company,</w:t>
              </w:r>
            </w:hyperlink>
          </w:p>
        </w:tc>
        <w:tc>
          <w:tcPr>
            <w:tcW w:w="8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4580" w:type="dxa"/>
            <w:vAlign w:val="bottom"/>
            <w:gridSpan w:val="11"/>
          </w:tcPr>
          <w:p>
            <w:pPr>
              <w:spacing w:after="0" w:line="196" w:lineRule="exact"/>
              <w:rPr>
                <w:rFonts w:ascii="Arial" w:cs="Arial" w:eastAsia="Arial" w:hAnsi="Arial"/>
                <w:sz w:val="18"/>
                <w:szCs w:val="18"/>
                <w:color w:val="0000EE"/>
              </w:rPr>
            </w:pPr>
            <w:hyperlink r:id="rId82">
              <w:r>
                <w:rPr>
                  <w:rFonts w:ascii="Arial" w:cs="Arial" w:eastAsia="Arial" w:hAnsi="Arial"/>
                  <w:sz w:val="18"/>
                  <w:szCs w:val="18"/>
                  <w:color w:val="0000EE"/>
                </w:rPr>
                <w:t>as warrant agent</w:t>
              </w:r>
              <w:r>
                <w:rPr>
                  <w:rFonts w:ascii="Arial" w:cs="Arial" w:eastAsia="Arial" w:hAnsi="Arial"/>
                  <w:sz w:val="18"/>
                  <w:szCs w:val="18"/>
                  <w:color w:val="000000"/>
                </w:rPr>
                <w:t>.</w:t>
              </w:r>
            </w:hyperlink>
          </w:p>
        </w:tc>
        <w:tc>
          <w:tcPr>
            <w:tcW w:w="8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280" w:type="dxa"/>
            <w:vAlign w:val="bottom"/>
          </w:tcPr>
          <w:p>
            <w:pPr>
              <w:spacing w:after="0"/>
              <w:rPr>
                <w:sz w:val="20"/>
                <w:szCs w:val="20"/>
                <w:color w:val="auto"/>
              </w:rPr>
            </w:pPr>
            <w:r>
              <w:rPr>
                <w:rFonts w:ascii="Arial" w:cs="Arial" w:eastAsia="Arial" w:hAnsi="Arial"/>
                <w:sz w:val="18"/>
                <w:szCs w:val="18"/>
                <w:color w:val="auto"/>
              </w:rPr>
              <w:t>10.1</w:t>
            </w:r>
          </w:p>
        </w:tc>
        <w:tc>
          <w:tcPr>
            <w:tcW w:w="4580" w:type="dxa"/>
            <w:vAlign w:val="bottom"/>
            <w:tcBorders>
              <w:bottom w:val="single" w:sz="8" w:color="0000EE"/>
            </w:tcBorders>
            <w:gridSpan w:val="11"/>
          </w:tcPr>
          <w:p>
            <w:pPr>
              <w:spacing w:after="0"/>
              <w:rPr>
                <w:rFonts w:ascii="Arial" w:cs="Arial" w:eastAsia="Arial" w:hAnsi="Arial"/>
                <w:sz w:val="18"/>
                <w:szCs w:val="18"/>
                <w:color w:val="0000EE"/>
                <w:w w:val="93"/>
              </w:rPr>
            </w:pPr>
            <w:hyperlink w:anchor="page51">
              <w:r>
                <w:rPr>
                  <w:rFonts w:ascii="Arial" w:cs="Arial" w:eastAsia="Arial" w:hAnsi="Arial"/>
                  <w:sz w:val="18"/>
                  <w:szCs w:val="18"/>
                  <w:color w:val="0000EE"/>
                  <w:w w:val="93"/>
                </w:rPr>
                <w:t>Employee Offer Letter by and between VM Consolidated, Inc.</w:t>
              </w:r>
            </w:hyperlink>
          </w:p>
        </w:tc>
        <w:tc>
          <w:tcPr>
            <w:tcW w:w="8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rPr>
              <w:t>X</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3320" w:type="dxa"/>
            <w:vAlign w:val="bottom"/>
            <w:tcBorders>
              <w:bottom w:val="single" w:sz="8" w:color="0000EE"/>
            </w:tcBorders>
            <w:gridSpan w:val="8"/>
          </w:tcPr>
          <w:p>
            <w:pPr>
              <w:spacing w:after="0" w:line="196" w:lineRule="exact"/>
              <w:rPr>
                <w:rFonts w:ascii="Arial" w:cs="Arial" w:eastAsia="Arial" w:hAnsi="Arial"/>
                <w:sz w:val="18"/>
                <w:szCs w:val="18"/>
                <w:color w:val="0000EE"/>
                <w:w w:val="91"/>
              </w:rPr>
            </w:pPr>
            <w:hyperlink w:anchor="page51">
              <w:r>
                <w:rPr>
                  <w:rFonts w:ascii="Arial" w:cs="Arial" w:eastAsia="Arial" w:hAnsi="Arial"/>
                  <w:sz w:val="18"/>
                  <w:szCs w:val="18"/>
                  <w:color w:val="0000EE"/>
                  <w:w w:val="91"/>
                </w:rPr>
                <w:t>and Garrett Miller, dated as of April 24, 2019.</w:t>
              </w:r>
            </w:hyperlink>
          </w:p>
        </w:tc>
        <w:tc>
          <w:tcPr>
            <w:tcW w:w="1260" w:type="dxa"/>
            <w:vAlign w:val="bottom"/>
            <w:gridSpan w:val="3"/>
          </w:tcPr>
          <w:p>
            <w:pPr>
              <w:spacing w:after="0"/>
              <w:rPr>
                <w:sz w:val="17"/>
                <w:szCs w:val="17"/>
                <w:color w:val="auto"/>
              </w:rPr>
            </w:pPr>
          </w:p>
        </w:tc>
        <w:tc>
          <w:tcPr>
            <w:tcW w:w="8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1"/>
        </w:trPr>
        <w:tc>
          <w:tcPr>
            <w:tcW w:w="1280" w:type="dxa"/>
            <w:vAlign w:val="bottom"/>
          </w:tcPr>
          <w:p>
            <w:pPr>
              <w:spacing w:after="0"/>
              <w:rPr>
                <w:sz w:val="20"/>
                <w:szCs w:val="20"/>
                <w:color w:val="auto"/>
              </w:rPr>
            </w:pPr>
            <w:r>
              <w:rPr>
                <w:rFonts w:ascii="Arial" w:cs="Arial" w:eastAsia="Arial" w:hAnsi="Arial"/>
                <w:sz w:val="18"/>
                <w:szCs w:val="18"/>
                <w:color w:val="auto"/>
              </w:rPr>
              <w:t>31.1</w:t>
            </w:r>
          </w:p>
        </w:tc>
        <w:tc>
          <w:tcPr>
            <w:tcW w:w="4580" w:type="dxa"/>
            <w:vAlign w:val="bottom"/>
            <w:tcBorders>
              <w:bottom w:val="single" w:sz="8" w:color="0000EE"/>
            </w:tcBorders>
            <w:gridSpan w:val="11"/>
          </w:tcPr>
          <w:p>
            <w:pPr>
              <w:spacing w:after="0"/>
              <w:rPr>
                <w:rFonts w:ascii="Arial" w:cs="Arial" w:eastAsia="Arial" w:hAnsi="Arial"/>
                <w:sz w:val="18"/>
                <w:szCs w:val="18"/>
                <w:color w:val="0000EE"/>
                <w:w w:val="95"/>
              </w:rPr>
            </w:pPr>
            <w:hyperlink w:anchor="page55">
              <w:r>
                <w:rPr>
                  <w:rFonts w:ascii="Arial" w:cs="Arial" w:eastAsia="Arial" w:hAnsi="Arial"/>
                  <w:sz w:val="18"/>
                  <w:szCs w:val="18"/>
                  <w:color w:val="0000EE"/>
                  <w:w w:val="95"/>
                </w:rPr>
                <w:t>Certification of Principal Executive Officer Pursuant to Rules</w:t>
              </w:r>
            </w:hyperlink>
          </w:p>
        </w:tc>
        <w:tc>
          <w:tcPr>
            <w:tcW w:w="8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rPr>
              <w:t>X</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4580" w:type="dxa"/>
            <w:vAlign w:val="bottom"/>
            <w:tcBorders>
              <w:bottom w:val="single" w:sz="8" w:color="0000EE"/>
            </w:tcBorders>
            <w:gridSpan w:val="11"/>
          </w:tcPr>
          <w:p>
            <w:pPr>
              <w:spacing w:after="0" w:line="196" w:lineRule="exact"/>
              <w:rPr>
                <w:rFonts w:ascii="Arial" w:cs="Arial" w:eastAsia="Arial" w:hAnsi="Arial"/>
                <w:sz w:val="18"/>
                <w:szCs w:val="18"/>
                <w:color w:val="0000EE"/>
                <w:w w:val="91"/>
              </w:rPr>
            </w:pPr>
            <w:hyperlink w:anchor="page55">
              <w:r>
                <w:rPr>
                  <w:rFonts w:ascii="Arial" w:cs="Arial" w:eastAsia="Arial" w:hAnsi="Arial"/>
                  <w:sz w:val="18"/>
                  <w:szCs w:val="18"/>
                  <w:color w:val="0000EE"/>
                  <w:w w:val="91"/>
                </w:rPr>
                <w:t>13a</w:t>
              </w:r>
              <w:r>
                <w:rPr>
                  <w:rFonts w:ascii="MS PGothic" w:cs="MS PGothic" w:eastAsia="MS PGothic" w:hAnsi="MS PGothic"/>
                  <w:sz w:val="18"/>
                  <w:szCs w:val="18"/>
                  <w:color w:val="0000EE"/>
                  <w:w w:val="91"/>
                </w:rPr>
                <w:t>‑</w:t>
              </w:r>
              <w:r>
                <w:rPr>
                  <w:rFonts w:ascii="Arial" w:cs="Arial" w:eastAsia="Arial" w:hAnsi="Arial"/>
                  <w:sz w:val="18"/>
                  <w:szCs w:val="18"/>
                  <w:color w:val="0000EE"/>
                  <w:w w:val="91"/>
                </w:rPr>
                <w:t>14(a) and 15d</w:t>
              </w:r>
              <w:r>
                <w:rPr>
                  <w:rFonts w:ascii="MS PGothic" w:cs="MS PGothic" w:eastAsia="MS PGothic" w:hAnsi="MS PGothic"/>
                  <w:sz w:val="18"/>
                  <w:szCs w:val="18"/>
                  <w:color w:val="0000EE"/>
                  <w:w w:val="91"/>
                </w:rPr>
                <w:t>‑</w:t>
              </w:r>
              <w:r>
                <w:rPr>
                  <w:rFonts w:ascii="Arial" w:cs="Arial" w:eastAsia="Arial" w:hAnsi="Arial"/>
                  <w:sz w:val="18"/>
                  <w:szCs w:val="18"/>
                  <w:color w:val="0000EE"/>
                  <w:w w:val="91"/>
                </w:rPr>
                <w:t>14(a) under the Securities Exchange Act of</w:t>
              </w:r>
            </w:hyperlink>
          </w:p>
        </w:tc>
        <w:tc>
          <w:tcPr>
            <w:tcW w:w="8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4580" w:type="dxa"/>
            <w:vAlign w:val="bottom"/>
            <w:tcBorders>
              <w:bottom w:val="single" w:sz="8" w:color="0000EE"/>
            </w:tcBorders>
            <w:gridSpan w:val="11"/>
          </w:tcPr>
          <w:p>
            <w:pPr>
              <w:spacing w:after="0" w:line="196" w:lineRule="exact"/>
              <w:rPr>
                <w:rFonts w:ascii="Arial" w:cs="Arial" w:eastAsia="Arial" w:hAnsi="Arial"/>
                <w:sz w:val="18"/>
                <w:szCs w:val="18"/>
                <w:color w:val="0000EE"/>
                <w:w w:val="95"/>
              </w:rPr>
            </w:pPr>
            <w:hyperlink w:anchor="page55">
              <w:r>
                <w:rPr>
                  <w:rFonts w:ascii="Arial" w:cs="Arial" w:eastAsia="Arial" w:hAnsi="Arial"/>
                  <w:sz w:val="18"/>
                  <w:szCs w:val="18"/>
                  <w:color w:val="0000EE"/>
                  <w:w w:val="95"/>
                </w:rPr>
                <w:t>1934, as Adopted Pursuant to Section 302 of the Sarbanes-</w:t>
              </w:r>
            </w:hyperlink>
          </w:p>
        </w:tc>
        <w:tc>
          <w:tcPr>
            <w:tcW w:w="8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4580" w:type="dxa"/>
            <w:vAlign w:val="bottom"/>
            <w:gridSpan w:val="11"/>
          </w:tcPr>
          <w:p>
            <w:pPr>
              <w:spacing w:after="0" w:line="196" w:lineRule="exact"/>
              <w:rPr>
                <w:rFonts w:ascii="Arial" w:cs="Arial" w:eastAsia="Arial" w:hAnsi="Arial"/>
                <w:sz w:val="18"/>
                <w:szCs w:val="18"/>
                <w:color w:val="0000EE"/>
              </w:rPr>
            </w:pPr>
            <w:hyperlink w:anchor="page55">
              <w:r>
                <w:rPr>
                  <w:rFonts w:ascii="Arial" w:cs="Arial" w:eastAsia="Arial" w:hAnsi="Arial"/>
                  <w:sz w:val="18"/>
                  <w:szCs w:val="18"/>
                  <w:color w:val="0000EE"/>
                </w:rPr>
                <w:t>Oxley Act of 2002.</w:t>
              </w:r>
            </w:hyperlink>
          </w:p>
        </w:tc>
        <w:tc>
          <w:tcPr>
            <w:tcW w:w="8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1380" w:type="dxa"/>
            <w:vAlign w:val="bottom"/>
            <w:gridSpan w:val="3"/>
            <w:shd w:val="clear" w:color="auto" w:fill="0000EE"/>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280" w:type="dxa"/>
            <w:vAlign w:val="bottom"/>
          </w:tcPr>
          <w:p>
            <w:pPr>
              <w:spacing w:after="0"/>
              <w:rPr>
                <w:sz w:val="20"/>
                <w:szCs w:val="20"/>
                <w:color w:val="auto"/>
              </w:rPr>
            </w:pPr>
            <w:r>
              <w:rPr>
                <w:rFonts w:ascii="Arial" w:cs="Arial" w:eastAsia="Arial" w:hAnsi="Arial"/>
                <w:sz w:val="18"/>
                <w:szCs w:val="18"/>
                <w:color w:val="auto"/>
              </w:rPr>
              <w:t>31.2</w:t>
            </w:r>
          </w:p>
        </w:tc>
        <w:tc>
          <w:tcPr>
            <w:tcW w:w="4580" w:type="dxa"/>
            <w:vAlign w:val="bottom"/>
            <w:tcBorders>
              <w:bottom w:val="single" w:sz="8" w:color="0000EE"/>
            </w:tcBorders>
            <w:gridSpan w:val="11"/>
          </w:tcPr>
          <w:p>
            <w:pPr>
              <w:spacing w:after="0"/>
              <w:rPr>
                <w:rFonts w:ascii="Arial" w:cs="Arial" w:eastAsia="Arial" w:hAnsi="Arial"/>
                <w:sz w:val="18"/>
                <w:szCs w:val="18"/>
                <w:color w:val="0000EE"/>
                <w:w w:val="96"/>
              </w:rPr>
            </w:pPr>
            <w:hyperlink w:anchor="page56">
              <w:r>
                <w:rPr>
                  <w:rFonts w:ascii="Arial" w:cs="Arial" w:eastAsia="Arial" w:hAnsi="Arial"/>
                  <w:sz w:val="18"/>
                  <w:szCs w:val="18"/>
                  <w:color w:val="0000EE"/>
                  <w:w w:val="96"/>
                </w:rPr>
                <w:t>Certification of Principal Financial Officer Pursuant to Rules</w:t>
              </w:r>
            </w:hyperlink>
          </w:p>
        </w:tc>
        <w:tc>
          <w:tcPr>
            <w:tcW w:w="8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rPr>
              <w:t>X</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4580" w:type="dxa"/>
            <w:vAlign w:val="bottom"/>
            <w:tcBorders>
              <w:bottom w:val="single" w:sz="8" w:color="0000EE"/>
            </w:tcBorders>
            <w:gridSpan w:val="11"/>
          </w:tcPr>
          <w:p>
            <w:pPr>
              <w:spacing w:after="0" w:line="196" w:lineRule="exact"/>
              <w:rPr>
                <w:rFonts w:ascii="Arial" w:cs="Arial" w:eastAsia="Arial" w:hAnsi="Arial"/>
                <w:sz w:val="18"/>
                <w:szCs w:val="18"/>
                <w:color w:val="0000EE"/>
                <w:w w:val="91"/>
              </w:rPr>
            </w:pPr>
            <w:hyperlink w:anchor="page56">
              <w:r>
                <w:rPr>
                  <w:rFonts w:ascii="Arial" w:cs="Arial" w:eastAsia="Arial" w:hAnsi="Arial"/>
                  <w:sz w:val="18"/>
                  <w:szCs w:val="18"/>
                  <w:color w:val="0000EE"/>
                  <w:w w:val="91"/>
                </w:rPr>
                <w:t>13a</w:t>
              </w:r>
              <w:r>
                <w:rPr>
                  <w:rFonts w:ascii="MS PGothic" w:cs="MS PGothic" w:eastAsia="MS PGothic" w:hAnsi="MS PGothic"/>
                  <w:sz w:val="18"/>
                  <w:szCs w:val="18"/>
                  <w:color w:val="0000EE"/>
                  <w:w w:val="91"/>
                </w:rPr>
                <w:t>‑</w:t>
              </w:r>
              <w:r>
                <w:rPr>
                  <w:rFonts w:ascii="Arial" w:cs="Arial" w:eastAsia="Arial" w:hAnsi="Arial"/>
                  <w:sz w:val="18"/>
                  <w:szCs w:val="18"/>
                  <w:color w:val="0000EE"/>
                  <w:w w:val="91"/>
                </w:rPr>
                <w:t>14(a) and 15d</w:t>
              </w:r>
              <w:r>
                <w:rPr>
                  <w:rFonts w:ascii="MS PGothic" w:cs="MS PGothic" w:eastAsia="MS PGothic" w:hAnsi="MS PGothic"/>
                  <w:sz w:val="18"/>
                  <w:szCs w:val="18"/>
                  <w:color w:val="0000EE"/>
                  <w:w w:val="91"/>
                </w:rPr>
                <w:t>‑</w:t>
              </w:r>
              <w:r>
                <w:rPr>
                  <w:rFonts w:ascii="Arial" w:cs="Arial" w:eastAsia="Arial" w:hAnsi="Arial"/>
                  <w:sz w:val="18"/>
                  <w:szCs w:val="18"/>
                  <w:color w:val="0000EE"/>
                  <w:w w:val="91"/>
                </w:rPr>
                <w:t>14(a) under the Securities Exchange Act of</w:t>
              </w:r>
            </w:hyperlink>
          </w:p>
        </w:tc>
        <w:tc>
          <w:tcPr>
            <w:tcW w:w="8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4580" w:type="dxa"/>
            <w:vAlign w:val="bottom"/>
            <w:tcBorders>
              <w:bottom w:val="single" w:sz="8" w:color="0000EE"/>
            </w:tcBorders>
            <w:gridSpan w:val="11"/>
          </w:tcPr>
          <w:p>
            <w:pPr>
              <w:spacing w:after="0" w:line="196" w:lineRule="exact"/>
              <w:rPr>
                <w:rFonts w:ascii="Arial" w:cs="Arial" w:eastAsia="Arial" w:hAnsi="Arial"/>
                <w:sz w:val="18"/>
                <w:szCs w:val="18"/>
                <w:color w:val="0000EE"/>
                <w:w w:val="95"/>
              </w:rPr>
            </w:pPr>
            <w:hyperlink w:anchor="page56">
              <w:r>
                <w:rPr>
                  <w:rFonts w:ascii="Arial" w:cs="Arial" w:eastAsia="Arial" w:hAnsi="Arial"/>
                  <w:sz w:val="18"/>
                  <w:szCs w:val="18"/>
                  <w:color w:val="0000EE"/>
                  <w:w w:val="95"/>
                </w:rPr>
                <w:t>1934, as Adopted Pursuant to Section 302 of the Sarbanes-</w:t>
              </w:r>
            </w:hyperlink>
          </w:p>
        </w:tc>
        <w:tc>
          <w:tcPr>
            <w:tcW w:w="8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4580" w:type="dxa"/>
            <w:vAlign w:val="bottom"/>
            <w:gridSpan w:val="11"/>
          </w:tcPr>
          <w:p>
            <w:pPr>
              <w:spacing w:after="0" w:line="196" w:lineRule="exact"/>
              <w:rPr>
                <w:rFonts w:ascii="Arial" w:cs="Arial" w:eastAsia="Arial" w:hAnsi="Arial"/>
                <w:sz w:val="18"/>
                <w:szCs w:val="18"/>
                <w:color w:val="0000EE"/>
              </w:rPr>
            </w:pPr>
            <w:hyperlink w:anchor="page56">
              <w:r>
                <w:rPr>
                  <w:rFonts w:ascii="Arial" w:cs="Arial" w:eastAsia="Arial" w:hAnsi="Arial"/>
                  <w:sz w:val="18"/>
                  <w:szCs w:val="18"/>
                  <w:color w:val="0000EE"/>
                </w:rPr>
                <w:t>Oxley Act of 2002.</w:t>
              </w:r>
            </w:hyperlink>
          </w:p>
        </w:tc>
        <w:tc>
          <w:tcPr>
            <w:tcW w:w="8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1380" w:type="dxa"/>
            <w:vAlign w:val="bottom"/>
            <w:gridSpan w:val="3"/>
            <w:shd w:val="clear" w:color="auto" w:fill="0000EE"/>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280" w:type="dxa"/>
            <w:vAlign w:val="bottom"/>
          </w:tcPr>
          <w:p>
            <w:pPr>
              <w:spacing w:after="0"/>
              <w:rPr>
                <w:sz w:val="20"/>
                <w:szCs w:val="20"/>
                <w:color w:val="auto"/>
              </w:rPr>
            </w:pPr>
            <w:r>
              <w:rPr>
                <w:rFonts w:ascii="Arial" w:cs="Arial" w:eastAsia="Arial" w:hAnsi="Arial"/>
                <w:sz w:val="18"/>
                <w:szCs w:val="18"/>
                <w:color w:val="auto"/>
              </w:rPr>
              <w:t>32.1*</w:t>
            </w:r>
          </w:p>
        </w:tc>
        <w:tc>
          <w:tcPr>
            <w:tcW w:w="4580" w:type="dxa"/>
            <w:vAlign w:val="bottom"/>
            <w:tcBorders>
              <w:bottom w:val="single" w:sz="8" w:color="0000EE"/>
            </w:tcBorders>
            <w:gridSpan w:val="11"/>
          </w:tcPr>
          <w:p>
            <w:pPr>
              <w:spacing w:after="0"/>
              <w:rPr>
                <w:rFonts w:ascii="Arial" w:cs="Arial" w:eastAsia="Arial" w:hAnsi="Arial"/>
                <w:sz w:val="18"/>
                <w:szCs w:val="18"/>
                <w:color w:val="0000EE"/>
              </w:rPr>
            </w:pPr>
            <w:hyperlink w:anchor="page57">
              <w:r>
                <w:rPr>
                  <w:rFonts w:ascii="Arial" w:cs="Arial" w:eastAsia="Arial" w:hAnsi="Arial"/>
                  <w:sz w:val="18"/>
                  <w:szCs w:val="18"/>
                  <w:color w:val="0000EE"/>
                </w:rPr>
                <w:t>Certification of Principal Executive Officer Pursuant to 18</w:t>
              </w:r>
            </w:hyperlink>
          </w:p>
        </w:tc>
        <w:tc>
          <w:tcPr>
            <w:tcW w:w="8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rPr>
              <w:t>X</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4580" w:type="dxa"/>
            <w:vAlign w:val="bottom"/>
            <w:tcBorders>
              <w:bottom w:val="single" w:sz="8" w:color="0000EE"/>
            </w:tcBorders>
            <w:gridSpan w:val="11"/>
          </w:tcPr>
          <w:p>
            <w:pPr>
              <w:spacing w:after="0" w:line="196" w:lineRule="exact"/>
              <w:rPr>
                <w:rFonts w:ascii="Arial" w:cs="Arial" w:eastAsia="Arial" w:hAnsi="Arial"/>
                <w:sz w:val="18"/>
                <w:szCs w:val="18"/>
                <w:color w:val="0000EE"/>
                <w:w w:val="94"/>
              </w:rPr>
            </w:pPr>
            <w:hyperlink w:anchor="page57">
              <w:r>
                <w:rPr>
                  <w:rFonts w:ascii="Arial" w:cs="Arial" w:eastAsia="Arial" w:hAnsi="Arial"/>
                  <w:sz w:val="18"/>
                  <w:szCs w:val="18"/>
                  <w:color w:val="0000EE"/>
                  <w:w w:val="94"/>
                </w:rPr>
                <w:t>U.S.C. Section 1350, as Adopted Pursuant to Section 906 of</w:t>
              </w:r>
            </w:hyperlink>
          </w:p>
        </w:tc>
        <w:tc>
          <w:tcPr>
            <w:tcW w:w="8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2380" w:type="dxa"/>
            <w:vAlign w:val="bottom"/>
            <w:tcBorders>
              <w:bottom w:val="single" w:sz="8" w:color="0000EE"/>
            </w:tcBorders>
            <w:gridSpan w:val="7"/>
          </w:tcPr>
          <w:p>
            <w:pPr>
              <w:spacing w:after="0" w:line="196" w:lineRule="exact"/>
              <w:rPr>
                <w:rFonts w:ascii="Arial" w:cs="Arial" w:eastAsia="Arial" w:hAnsi="Arial"/>
                <w:sz w:val="18"/>
                <w:szCs w:val="18"/>
                <w:color w:val="0000EE"/>
                <w:w w:val="90"/>
              </w:rPr>
            </w:pPr>
            <w:hyperlink w:anchor="page57">
              <w:r>
                <w:rPr>
                  <w:rFonts w:ascii="Arial" w:cs="Arial" w:eastAsia="Arial" w:hAnsi="Arial"/>
                  <w:sz w:val="18"/>
                  <w:szCs w:val="18"/>
                  <w:color w:val="0000EE"/>
                  <w:w w:val="90"/>
                </w:rPr>
                <w:t>the Sarbanes-Oxley Act of 2002.</w:t>
              </w:r>
            </w:hyperlink>
          </w:p>
        </w:tc>
        <w:tc>
          <w:tcPr>
            <w:tcW w:w="2200" w:type="dxa"/>
            <w:vAlign w:val="bottom"/>
            <w:gridSpan w:val="4"/>
          </w:tcPr>
          <w:p>
            <w:pPr>
              <w:spacing w:after="0"/>
              <w:rPr>
                <w:sz w:val="17"/>
                <w:szCs w:val="17"/>
                <w:color w:val="auto"/>
              </w:rPr>
            </w:pPr>
          </w:p>
        </w:tc>
        <w:tc>
          <w:tcPr>
            <w:tcW w:w="8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1"/>
        </w:trPr>
        <w:tc>
          <w:tcPr>
            <w:tcW w:w="1280" w:type="dxa"/>
            <w:vAlign w:val="bottom"/>
          </w:tcPr>
          <w:p>
            <w:pPr>
              <w:spacing w:after="0"/>
              <w:rPr>
                <w:sz w:val="20"/>
                <w:szCs w:val="20"/>
                <w:color w:val="auto"/>
              </w:rPr>
            </w:pPr>
            <w:r>
              <w:rPr>
                <w:rFonts w:ascii="Arial" w:cs="Arial" w:eastAsia="Arial" w:hAnsi="Arial"/>
                <w:sz w:val="18"/>
                <w:szCs w:val="18"/>
                <w:color w:val="auto"/>
              </w:rPr>
              <w:t>32.2*</w:t>
            </w:r>
          </w:p>
        </w:tc>
        <w:tc>
          <w:tcPr>
            <w:tcW w:w="4580" w:type="dxa"/>
            <w:vAlign w:val="bottom"/>
            <w:gridSpan w:val="11"/>
          </w:tcPr>
          <w:p>
            <w:pPr>
              <w:spacing w:after="0"/>
              <w:rPr>
                <w:rFonts w:ascii="Arial" w:cs="Arial" w:eastAsia="Arial" w:hAnsi="Arial"/>
                <w:sz w:val="18"/>
                <w:szCs w:val="18"/>
                <w:color w:val="0000EE"/>
              </w:rPr>
            </w:pPr>
            <w:hyperlink w:anchor="page58">
              <w:r>
                <w:rPr>
                  <w:rFonts w:ascii="Arial" w:cs="Arial" w:eastAsia="Arial" w:hAnsi="Arial"/>
                  <w:sz w:val="18"/>
                  <w:szCs w:val="18"/>
                  <w:color w:val="0000EE"/>
                </w:rPr>
                <w:t>Certification of Principal Financial Officer Pursuant to 18</w:t>
              </w:r>
            </w:hyperlink>
          </w:p>
        </w:tc>
        <w:tc>
          <w:tcPr>
            <w:tcW w:w="8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rPr>
              <w:t>X</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2360" w:type="dxa"/>
            <w:vAlign w:val="bottom"/>
            <w:gridSpan w:val="6"/>
            <w:shd w:val="clear" w:color="auto" w:fill="0000EE"/>
          </w:tcPr>
          <w:p>
            <w:pPr>
              <w:spacing w:after="0" w:line="20" w:lineRule="exact"/>
              <w:rPr>
                <w:sz w:val="1"/>
                <w:szCs w:val="1"/>
                <w:color w:val="auto"/>
              </w:rPr>
            </w:pPr>
          </w:p>
        </w:tc>
        <w:tc>
          <w:tcPr>
            <w:tcW w:w="2200" w:type="dxa"/>
            <w:vAlign w:val="bottom"/>
            <w:gridSpan w:val="4"/>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4580" w:type="dxa"/>
            <w:vAlign w:val="bottom"/>
            <w:tcBorders>
              <w:bottom w:val="single" w:sz="8" w:color="0000EE"/>
            </w:tcBorders>
            <w:gridSpan w:val="11"/>
          </w:tcPr>
          <w:p>
            <w:pPr>
              <w:spacing w:after="0" w:line="196" w:lineRule="exact"/>
              <w:rPr>
                <w:rFonts w:ascii="Arial" w:cs="Arial" w:eastAsia="Arial" w:hAnsi="Arial"/>
                <w:sz w:val="18"/>
                <w:szCs w:val="18"/>
                <w:color w:val="0000EE"/>
                <w:w w:val="94"/>
              </w:rPr>
            </w:pPr>
            <w:hyperlink w:anchor="page58">
              <w:r>
                <w:rPr>
                  <w:rFonts w:ascii="Arial" w:cs="Arial" w:eastAsia="Arial" w:hAnsi="Arial"/>
                  <w:sz w:val="18"/>
                  <w:szCs w:val="18"/>
                  <w:color w:val="0000EE"/>
                  <w:w w:val="94"/>
                </w:rPr>
                <w:t>U.S.C. Section 1350, as Adopted Pursuant to Section 906 of</w:t>
              </w:r>
            </w:hyperlink>
          </w:p>
        </w:tc>
        <w:tc>
          <w:tcPr>
            <w:tcW w:w="8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4580" w:type="dxa"/>
            <w:vAlign w:val="bottom"/>
            <w:gridSpan w:val="11"/>
          </w:tcPr>
          <w:p>
            <w:pPr>
              <w:spacing w:after="0" w:line="196" w:lineRule="exact"/>
              <w:rPr>
                <w:rFonts w:ascii="Arial" w:cs="Arial" w:eastAsia="Arial" w:hAnsi="Arial"/>
                <w:sz w:val="18"/>
                <w:szCs w:val="18"/>
                <w:color w:val="0000EE"/>
              </w:rPr>
            </w:pPr>
            <w:hyperlink w:anchor="page58">
              <w:r>
                <w:rPr>
                  <w:rFonts w:ascii="Arial" w:cs="Arial" w:eastAsia="Arial" w:hAnsi="Arial"/>
                  <w:sz w:val="18"/>
                  <w:szCs w:val="18"/>
                  <w:color w:val="0000EE"/>
                </w:rPr>
                <w:t>the Sarbanes-Oxley Act of 2002.</w:t>
              </w:r>
            </w:hyperlink>
          </w:p>
        </w:tc>
        <w:tc>
          <w:tcPr>
            <w:tcW w:w="8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7"/>
        </w:trPr>
        <w:tc>
          <w:tcPr>
            <w:tcW w:w="1280" w:type="dxa"/>
            <w:vAlign w:val="bottom"/>
          </w:tcPr>
          <w:p>
            <w:pPr>
              <w:spacing w:after="0"/>
              <w:rPr>
                <w:sz w:val="24"/>
                <w:szCs w:val="24"/>
                <w:color w:val="auto"/>
              </w:rPr>
            </w:pPr>
          </w:p>
        </w:tc>
        <w:tc>
          <w:tcPr>
            <w:tcW w:w="2360" w:type="dxa"/>
            <w:vAlign w:val="bottom"/>
            <w:tcBorders>
              <w:top w:val="single" w:sz="8" w:color="0000EE"/>
            </w:tcBorders>
            <w:gridSpan w:val="6"/>
          </w:tcPr>
          <w:p>
            <w:pPr>
              <w:spacing w:after="0"/>
              <w:rPr>
                <w:sz w:val="24"/>
                <w:szCs w:val="24"/>
                <w:color w:val="auto"/>
              </w:rPr>
            </w:pPr>
          </w:p>
        </w:tc>
        <w:tc>
          <w:tcPr>
            <w:tcW w:w="2200" w:type="dxa"/>
            <w:vAlign w:val="bottom"/>
            <w:gridSpan w:val="4"/>
          </w:tcPr>
          <w:p>
            <w:pPr>
              <w:jc w:val="right"/>
              <w:ind w:right="40"/>
              <w:spacing w:after="0"/>
              <w:rPr>
                <w:sz w:val="20"/>
                <w:szCs w:val="20"/>
                <w:color w:val="auto"/>
              </w:rPr>
            </w:pPr>
            <w:r>
              <w:rPr>
                <w:rFonts w:ascii="Arial" w:cs="Arial" w:eastAsia="Arial" w:hAnsi="Arial"/>
                <w:sz w:val="18"/>
                <w:szCs w:val="18"/>
                <w:color w:val="auto"/>
              </w:rPr>
              <w:t>48</w:t>
            </w: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28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51" w:right="219" w:bottom="1440" w:gutter="0" w:footer="0" w:header="0"/>
        </w:sectPr>
      </w:pPr>
    </w:p>
    <w:bookmarkStart w:id="48" w:name="page49"/>
    <w:bookmarkEnd w:id="48"/>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46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60" w:type="dxa"/>
            <w:vAlign w:val="bottom"/>
            <w:gridSpan w:val="2"/>
          </w:tcPr>
          <w:p>
            <w:pPr>
              <w:ind w:left="460"/>
              <w:spacing w:after="0"/>
              <w:rPr>
                <w:sz w:val="20"/>
                <w:szCs w:val="20"/>
                <w:color w:val="auto"/>
              </w:rPr>
            </w:pPr>
            <w:r>
              <w:rPr>
                <w:rFonts w:ascii="Arial" w:cs="Arial" w:eastAsia="Arial" w:hAnsi="Arial"/>
                <w:sz w:val="14"/>
                <w:szCs w:val="14"/>
                <w:b w:val="1"/>
                <w:bCs w:val="1"/>
                <w:color w:val="auto"/>
              </w:rPr>
              <w:t>Incorporated by Reference</w:t>
            </w:r>
          </w:p>
        </w:tc>
        <w:tc>
          <w:tcPr>
            <w:tcW w:w="1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2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Exhibit Number</w:t>
            </w:r>
          </w:p>
        </w:tc>
        <w:tc>
          <w:tcPr>
            <w:tcW w:w="46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Description</w:t>
            </w:r>
          </w:p>
        </w:tc>
        <w:tc>
          <w:tcPr>
            <w:tcW w:w="88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c>
          <w:tcPr>
            <w:tcW w:w="12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Filed Herewith</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200" w:type="dxa"/>
            <w:vAlign w:val="bottom"/>
            <w:tcBorders>
              <w:bottom w:val="single" w:sz="8" w:color="auto"/>
            </w:tcBorders>
            <w:vMerge w:val="continue"/>
          </w:tcPr>
          <w:p>
            <w:pPr>
              <w:spacing w:after="0"/>
              <w:rPr>
                <w:sz w:val="12"/>
                <w:szCs w:val="12"/>
                <w:color w:val="auto"/>
              </w:rPr>
            </w:pPr>
          </w:p>
        </w:tc>
        <w:tc>
          <w:tcPr>
            <w:tcW w:w="4640" w:type="dxa"/>
            <w:vAlign w:val="bottom"/>
            <w:tcBorders>
              <w:bottom w:val="single" w:sz="8" w:color="auto"/>
            </w:tcBorders>
            <w:vMerge w:val="continue"/>
          </w:tcPr>
          <w:p>
            <w:pPr>
              <w:spacing w:after="0"/>
              <w:rPr>
                <w:sz w:val="12"/>
                <w:szCs w:val="12"/>
                <w:color w:val="auto"/>
              </w:rPr>
            </w:pPr>
          </w:p>
        </w:tc>
        <w:tc>
          <w:tcPr>
            <w:tcW w:w="880" w:type="dxa"/>
            <w:vAlign w:val="bottom"/>
            <w:tcBorders>
              <w:bottom w:val="single" w:sz="8" w:color="auto"/>
            </w:tcBorders>
          </w:tcPr>
          <w:p>
            <w:pPr>
              <w:ind w:left="220"/>
              <w:spacing w:after="0" w:line="142" w:lineRule="exact"/>
              <w:rPr>
                <w:sz w:val="20"/>
                <w:szCs w:val="20"/>
                <w:color w:val="auto"/>
              </w:rPr>
            </w:pPr>
            <w:r>
              <w:rPr>
                <w:rFonts w:ascii="Arial" w:cs="Arial" w:eastAsia="Arial" w:hAnsi="Arial"/>
                <w:sz w:val="14"/>
                <w:szCs w:val="14"/>
                <w:b w:val="1"/>
                <w:bCs w:val="1"/>
                <w:color w:val="auto"/>
              </w:rPr>
              <w:t>Form</w:t>
            </w:r>
          </w:p>
        </w:tc>
        <w:tc>
          <w:tcPr>
            <w:tcW w:w="1080" w:type="dxa"/>
            <w:vAlign w:val="bottom"/>
            <w:tcBorders>
              <w:bottom w:val="single" w:sz="8" w:color="auto"/>
            </w:tcBorders>
          </w:tcPr>
          <w:p>
            <w:pPr>
              <w:ind w:left="300"/>
              <w:spacing w:after="0" w:line="142" w:lineRule="exact"/>
              <w:rPr>
                <w:sz w:val="20"/>
                <w:szCs w:val="20"/>
                <w:color w:val="auto"/>
              </w:rPr>
            </w:pPr>
            <w:r>
              <w:rPr>
                <w:rFonts w:ascii="Arial" w:cs="Arial" w:eastAsia="Arial" w:hAnsi="Arial"/>
                <w:sz w:val="14"/>
                <w:szCs w:val="14"/>
                <w:b w:val="1"/>
                <w:bCs w:val="1"/>
                <w:color w:val="auto"/>
              </w:rPr>
              <w:t>File No.</w:t>
            </w:r>
          </w:p>
        </w:tc>
        <w:tc>
          <w:tcPr>
            <w:tcW w:w="1180" w:type="dxa"/>
            <w:vAlign w:val="bottom"/>
            <w:tcBorders>
              <w:bottom w:val="single" w:sz="8" w:color="auto"/>
            </w:tcBorders>
          </w:tcPr>
          <w:p>
            <w:pPr>
              <w:ind w:left="300"/>
              <w:spacing w:after="0" w:line="142" w:lineRule="exact"/>
              <w:rPr>
                <w:sz w:val="20"/>
                <w:szCs w:val="20"/>
                <w:color w:val="auto"/>
              </w:rPr>
            </w:pPr>
            <w:r>
              <w:rPr>
                <w:rFonts w:ascii="Arial" w:cs="Arial" w:eastAsia="Arial" w:hAnsi="Arial"/>
                <w:sz w:val="14"/>
                <w:szCs w:val="14"/>
                <w:b w:val="1"/>
                <w:bCs w:val="1"/>
                <w:color w:val="auto"/>
              </w:rPr>
              <w:t>Exhibit</w:t>
            </w:r>
          </w:p>
        </w:tc>
        <w:tc>
          <w:tcPr>
            <w:tcW w:w="1200" w:type="dxa"/>
            <w:vAlign w:val="bottom"/>
            <w:tcBorders>
              <w:bottom w:val="single" w:sz="8" w:color="auto"/>
            </w:tcBorders>
          </w:tcPr>
          <w:p>
            <w:pPr>
              <w:ind w:left="160"/>
              <w:spacing w:after="0" w:line="142" w:lineRule="exact"/>
              <w:rPr>
                <w:sz w:val="20"/>
                <w:szCs w:val="20"/>
                <w:color w:val="auto"/>
              </w:rPr>
            </w:pPr>
            <w:r>
              <w:rPr>
                <w:rFonts w:ascii="Arial" w:cs="Arial" w:eastAsia="Arial" w:hAnsi="Arial"/>
                <w:sz w:val="14"/>
                <w:szCs w:val="14"/>
                <w:b w:val="1"/>
                <w:bCs w:val="1"/>
                <w:color w:val="auto"/>
              </w:rPr>
              <w:t>Filing Date</w:t>
            </w:r>
          </w:p>
        </w:tc>
        <w:tc>
          <w:tcPr>
            <w:tcW w:w="122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1200" w:type="dxa"/>
            <w:vAlign w:val="bottom"/>
          </w:tcPr>
          <w:p>
            <w:pPr>
              <w:jc w:val="right"/>
              <w:ind w:right="859"/>
              <w:spacing w:after="0"/>
              <w:rPr>
                <w:sz w:val="20"/>
                <w:szCs w:val="20"/>
                <w:color w:val="auto"/>
              </w:rPr>
            </w:pPr>
            <w:r>
              <w:rPr>
                <w:rFonts w:ascii="Arial" w:cs="Arial" w:eastAsia="Arial" w:hAnsi="Arial"/>
                <w:sz w:val="18"/>
                <w:szCs w:val="18"/>
                <w:color w:val="auto"/>
                <w:w w:val="79"/>
              </w:rPr>
              <w:t>101</w:t>
            </w:r>
          </w:p>
        </w:tc>
        <w:tc>
          <w:tcPr>
            <w:tcW w:w="4640" w:type="dxa"/>
            <w:vAlign w:val="bottom"/>
          </w:tcPr>
          <w:p>
            <w:pPr>
              <w:jc w:val="center"/>
              <w:spacing w:after="0"/>
              <w:rPr>
                <w:sz w:val="20"/>
                <w:szCs w:val="20"/>
                <w:color w:val="auto"/>
              </w:rPr>
            </w:pPr>
            <w:r>
              <w:rPr>
                <w:rFonts w:ascii="Arial" w:cs="Arial" w:eastAsia="Arial" w:hAnsi="Arial"/>
                <w:sz w:val="18"/>
                <w:szCs w:val="18"/>
                <w:color w:val="auto"/>
                <w:w w:val="95"/>
              </w:rPr>
              <w:t>The following financial statements from the Quarterly Report</w:t>
            </w:r>
          </w:p>
        </w:tc>
        <w:tc>
          <w:tcPr>
            <w:tcW w:w="8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bl>
    <w:p>
      <w:pPr>
        <w:ind w:left="1280"/>
        <w:spacing w:after="0"/>
        <w:rPr>
          <w:sz w:val="20"/>
          <w:szCs w:val="20"/>
          <w:color w:val="auto"/>
        </w:rPr>
      </w:pPr>
      <w:r>
        <w:rPr>
          <w:rFonts w:ascii="Arial" w:cs="Arial" w:eastAsia="Arial" w:hAnsi="Arial"/>
          <w:sz w:val="18"/>
          <w:szCs w:val="18"/>
          <w:color w:val="auto"/>
        </w:rPr>
        <w:t>on Form 10-Q of Verra Mobility Corporation for the quarter</w:t>
      </w:r>
    </w:p>
    <w:p>
      <w:pPr>
        <w:spacing w:after="0" w:line="7"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ended  June  30,  2019,  formatted  in  eXtensible  Business</w:t>
      </w:r>
    </w:p>
    <w:p>
      <w:pPr>
        <w:spacing w:after="0" w:line="9" w:lineRule="exact"/>
        <w:rPr>
          <w:sz w:val="20"/>
          <w:szCs w:val="20"/>
          <w:color w:val="auto"/>
        </w:rPr>
      </w:pPr>
    </w:p>
    <w:p>
      <w:pPr>
        <w:ind w:left="1280"/>
        <w:spacing w:after="0"/>
        <w:tabs>
          <w:tab w:leader="none" w:pos="2140" w:val="left"/>
          <w:tab w:leader="none" w:pos="3020" w:val="left"/>
          <w:tab w:leader="none" w:pos="3840" w:val="left"/>
          <w:tab w:leader="none" w:pos="4180" w:val="left"/>
          <w:tab w:leader="none" w:pos="4940" w:val="left"/>
          <w:tab w:leader="none" w:pos="5620" w:val="left"/>
        </w:tabs>
        <w:rPr>
          <w:sz w:val="20"/>
          <w:szCs w:val="20"/>
          <w:color w:val="auto"/>
        </w:rPr>
      </w:pPr>
      <w:r>
        <w:rPr>
          <w:rFonts w:ascii="Arial" w:cs="Arial" w:eastAsia="Arial" w:hAnsi="Arial"/>
          <w:sz w:val="18"/>
          <w:szCs w:val="18"/>
          <w:color w:val="auto"/>
        </w:rPr>
        <w:t>Reporting</w:t>
        <w:tab/>
        <w:t>Language</w:t>
        <w:tab/>
        <w:t>(XBRL):</w:t>
        <w:tab/>
        <w:t>(i)</w:t>
        <w:tab/>
        <w:t>Balance</w:t>
        <w:tab/>
        <w:t>Sheets,</w:t>
        <w:tab/>
        <w:t>(ii)</w:t>
      </w:r>
    </w:p>
    <w:p>
      <w:pPr>
        <w:spacing w:after="0" w:line="9" w:lineRule="exact"/>
        <w:rPr>
          <w:sz w:val="20"/>
          <w:szCs w:val="20"/>
          <w:color w:val="auto"/>
        </w:rPr>
      </w:pPr>
    </w:p>
    <w:p>
      <w:pPr>
        <w:ind w:left="1280"/>
        <w:spacing w:after="0"/>
        <w:tabs>
          <w:tab w:leader="none" w:pos="2200" w:val="left"/>
          <w:tab w:leader="none" w:pos="2500" w:val="left"/>
          <w:tab w:leader="none" w:pos="3240" w:val="left"/>
          <w:tab w:leader="none" w:pos="3660" w:val="left"/>
          <w:tab w:leader="none" w:pos="4600" w:val="left"/>
          <w:tab w:leader="none" w:pos="4920" w:val="left"/>
          <w:tab w:leader="none" w:pos="5680" w:val="left"/>
        </w:tabs>
        <w:rPr>
          <w:sz w:val="20"/>
          <w:szCs w:val="20"/>
          <w:color w:val="auto"/>
        </w:rPr>
      </w:pPr>
      <w:r>
        <w:rPr>
          <w:rFonts w:ascii="Arial" w:cs="Arial" w:eastAsia="Arial" w:hAnsi="Arial"/>
          <w:sz w:val="18"/>
          <w:szCs w:val="18"/>
          <w:color w:val="auto"/>
        </w:rPr>
        <w:t>Statements</w:t>
        <w:tab/>
        <w:t>of</w:t>
        <w:tab/>
        <w:t>Income,</w:t>
        <w:tab/>
        <w:t>(iii)</w:t>
        <w:tab/>
        <w:t>Statements</w:t>
        <w:tab/>
        <w:t>of</w:t>
        <w:tab/>
        <w:t>Changes</w:t>
      </w:r>
      <w:r>
        <w:rPr>
          <w:sz w:val="20"/>
          <w:szCs w:val="20"/>
          <w:color w:val="auto"/>
        </w:rPr>
        <w:tab/>
      </w:r>
      <w:r>
        <w:rPr>
          <w:rFonts w:ascii="Arial" w:cs="Arial" w:eastAsia="Arial" w:hAnsi="Arial"/>
          <w:sz w:val="17"/>
          <w:szCs w:val="17"/>
          <w:color w:val="auto"/>
        </w:rPr>
        <w:t>in</w:t>
      </w:r>
    </w:p>
    <w:p>
      <w:pPr>
        <w:spacing w:after="0" w:line="9"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Shareholders’ Equity, (iv) Statement of Cash Flows and (v)</w:t>
      </w:r>
    </w:p>
    <w:p>
      <w:pPr>
        <w:spacing w:after="0" w:line="9"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Notes to Financial Statements</w:t>
      </w:r>
    </w:p>
    <w:p>
      <w:pPr>
        <w:spacing w:after="0" w:line="373" w:lineRule="exact"/>
        <w:rPr>
          <w:sz w:val="20"/>
          <w:szCs w:val="20"/>
          <w:color w:val="auto"/>
        </w:rPr>
      </w:pPr>
    </w:p>
    <w:p>
      <w:pPr>
        <w:ind w:left="560" w:right="60" w:hanging="552"/>
        <w:spacing w:after="0" w:line="277" w:lineRule="auto"/>
        <w:tabs>
          <w:tab w:leader="none" w:pos="5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This certification is deemed not filed for purposes of Section 18 of the Exchange Act or otherwise subject to the liability of that section, nor shall it be deemed incorporated by reference into any filing under the Securities Act or the Exchange Act.</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6" w:right="239" w:bottom="1440" w:gutter="0" w:footer="0" w:header="0"/>
        </w:sectPr>
      </w:pPr>
    </w:p>
    <w:bookmarkStart w:id="49" w:name="page50"/>
    <w:bookmarkEnd w:id="49"/>
    <w:p>
      <w:pPr>
        <w:jc w:val="center"/>
        <w:spacing w:after="0"/>
        <w:rPr>
          <w:sz w:val="20"/>
          <w:szCs w:val="20"/>
          <w:color w:val="auto"/>
        </w:rPr>
      </w:pPr>
      <w:r>
        <w:rPr>
          <w:rFonts w:ascii="Arial" w:cs="Arial" w:eastAsia="Arial" w:hAnsi="Arial"/>
          <w:sz w:val="18"/>
          <w:szCs w:val="18"/>
          <w:b w:val="1"/>
          <w:bCs w:val="1"/>
          <w:color w:val="auto"/>
        </w:rPr>
        <w:t>SIGNATURES</w:t>
      </w:r>
    </w:p>
    <w:p>
      <w:pPr>
        <w:spacing w:after="0" w:line="189" w:lineRule="exact"/>
        <w:rPr>
          <w:sz w:val="20"/>
          <w:szCs w:val="20"/>
          <w:color w:val="auto"/>
        </w:rPr>
      </w:pPr>
    </w:p>
    <w:p>
      <w:pPr>
        <w:ind w:firstLine="81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40" w:type="dxa"/>
            <w:vAlign w:val="bottom"/>
          </w:tcPr>
          <w:p>
            <w:pPr>
              <w:spacing w:after="0"/>
              <w:rPr>
                <w:sz w:val="20"/>
                <w:szCs w:val="20"/>
                <w:color w:val="auto"/>
              </w:rPr>
            </w:pPr>
          </w:p>
        </w:tc>
        <w:tc>
          <w:tcPr>
            <w:tcW w:w="7780" w:type="dxa"/>
            <w:vAlign w:val="bottom"/>
            <w:gridSpan w:val="2"/>
          </w:tcPr>
          <w:p>
            <w:pPr>
              <w:ind w:left="2240"/>
              <w:spacing w:after="0"/>
              <w:rPr>
                <w:sz w:val="20"/>
                <w:szCs w:val="20"/>
                <w:color w:val="auto"/>
              </w:rPr>
            </w:pPr>
            <w:r>
              <w:rPr>
                <w:rFonts w:ascii="Arial" w:cs="Arial" w:eastAsia="Arial" w:hAnsi="Arial"/>
                <w:sz w:val="18"/>
                <w:szCs w:val="18"/>
                <w:color w:val="auto"/>
              </w:rPr>
              <w:t>VERRA MOBILITY CORPORATION</w:t>
            </w:r>
          </w:p>
        </w:tc>
      </w:tr>
      <w:tr>
        <w:trPr>
          <w:trHeight w:val="446"/>
        </w:trPr>
        <w:tc>
          <w:tcPr>
            <w:tcW w:w="3640" w:type="dxa"/>
            <w:vAlign w:val="bottom"/>
          </w:tcPr>
          <w:p>
            <w:pPr>
              <w:spacing w:after="0"/>
              <w:rPr>
                <w:sz w:val="20"/>
                <w:szCs w:val="20"/>
                <w:color w:val="auto"/>
              </w:rPr>
            </w:pPr>
            <w:r>
              <w:rPr>
                <w:rFonts w:ascii="Arial" w:cs="Arial" w:eastAsia="Arial" w:hAnsi="Arial"/>
                <w:sz w:val="18"/>
                <w:szCs w:val="18"/>
                <w:color w:val="auto"/>
              </w:rPr>
              <w:t>Date: August 06, 2019</w:t>
            </w:r>
          </w:p>
        </w:tc>
        <w:tc>
          <w:tcPr>
            <w:tcW w:w="7780" w:type="dxa"/>
            <w:vAlign w:val="bottom"/>
            <w:gridSpan w:val="2"/>
          </w:tcPr>
          <w:p>
            <w:pPr>
              <w:ind w:left="2240"/>
              <w:spacing w:after="0"/>
              <w:rPr>
                <w:sz w:val="20"/>
                <w:szCs w:val="20"/>
                <w:color w:val="auto"/>
              </w:rPr>
            </w:pPr>
            <w:r>
              <w:rPr>
                <w:rFonts w:ascii="Arial" w:cs="Arial" w:eastAsia="Arial" w:hAnsi="Arial"/>
                <w:sz w:val="18"/>
                <w:szCs w:val="18"/>
                <w:color w:val="auto"/>
              </w:rPr>
              <w:t>By:  /s/ David Roberts</w:t>
            </w:r>
          </w:p>
        </w:tc>
      </w:tr>
      <w:tr>
        <w:trPr>
          <w:trHeight w:val="195"/>
        </w:trPr>
        <w:tc>
          <w:tcPr>
            <w:tcW w:w="364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50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David Roberts</w:t>
            </w:r>
          </w:p>
        </w:tc>
      </w:tr>
      <w:tr>
        <w:trPr>
          <w:trHeight w:val="216"/>
        </w:trPr>
        <w:tc>
          <w:tcPr>
            <w:tcW w:w="364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230"/>
        </w:trPr>
        <w:tc>
          <w:tcPr>
            <w:tcW w:w="364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(Principal Executive Officer)</w:t>
            </w:r>
          </w:p>
        </w:tc>
      </w:tr>
      <w:tr>
        <w:trPr>
          <w:trHeight w:val="648"/>
        </w:trPr>
        <w:tc>
          <w:tcPr>
            <w:tcW w:w="3640" w:type="dxa"/>
            <w:vAlign w:val="bottom"/>
          </w:tcPr>
          <w:p>
            <w:pPr>
              <w:spacing w:after="0"/>
              <w:rPr>
                <w:sz w:val="24"/>
                <w:szCs w:val="24"/>
                <w:color w:val="auto"/>
              </w:rPr>
            </w:pPr>
          </w:p>
        </w:tc>
        <w:tc>
          <w:tcPr>
            <w:tcW w:w="2700" w:type="dxa"/>
            <w:vAlign w:val="bottom"/>
          </w:tcPr>
          <w:p>
            <w:pPr>
              <w:jc w:val="right"/>
              <w:ind w:right="450"/>
              <w:spacing w:after="0"/>
              <w:rPr>
                <w:sz w:val="20"/>
                <w:szCs w:val="20"/>
                <w:color w:val="auto"/>
              </w:rPr>
            </w:pPr>
            <w:r>
              <w:rPr>
                <w:rFonts w:ascii="Arial" w:cs="Arial" w:eastAsia="Arial" w:hAnsi="Arial"/>
                <w:sz w:val="18"/>
                <w:szCs w:val="18"/>
                <w:color w:val="auto"/>
              </w:rPr>
              <w:t>50</w:t>
            </w:r>
          </w:p>
        </w:tc>
        <w:tc>
          <w:tcPr>
            <w:tcW w:w="5080" w:type="dxa"/>
            <w:vAlign w:val="bottom"/>
          </w:tcPr>
          <w:p>
            <w:pPr>
              <w:spacing w:after="0"/>
              <w:rPr>
                <w:sz w:val="24"/>
                <w:szCs w:val="24"/>
                <w:color w:val="auto"/>
              </w:rPr>
            </w:pPr>
          </w:p>
        </w:tc>
      </w:tr>
    </w:tbl>
    <w:p>
      <w:pPr>
        <w:sectPr>
          <w:pgSz w:w="11900" w:h="16838" w:orient="portrait"/>
          <w:cols w:equalWidth="0" w:num="1">
            <w:col w:w="11420"/>
          </w:cols>
          <w:pgMar w:left="240" w:top="351" w:right="239" w:bottom="1440" w:gutter="0" w:footer="0" w:header="0"/>
        </w:sectPr>
      </w:pPr>
    </w:p>
    <w:bookmarkStart w:id="50" w:name="page51"/>
    <w:bookmarkEnd w:id="50"/>
    <w:p>
      <w:pPr>
        <w:ind w:left="10680"/>
        <w:spacing w:after="0"/>
        <w:rPr>
          <w:sz w:val="20"/>
          <w:szCs w:val="20"/>
          <w:color w:val="auto"/>
        </w:rPr>
      </w:pPr>
      <w:r>
        <w:rPr>
          <w:rFonts w:ascii="Arial" w:cs="Arial" w:eastAsia="Arial" w:hAnsi="Arial"/>
          <w:sz w:val="13"/>
          <w:szCs w:val="13"/>
          <w:b w:val="1"/>
          <w:bCs w:val="1"/>
          <w:color w:val="auto"/>
        </w:rPr>
        <w:t>Exhibit 10.1</w:t>
      </w:r>
    </w:p>
    <w:p>
      <w:pPr>
        <w:spacing w:after="0" w:line="200" w:lineRule="exact"/>
        <w:rPr>
          <w:sz w:val="20"/>
          <w:szCs w:val="20"/>
          <w:color w:val="auto"/>
        </w:rPr>
      </w:pPr>
    </w:p>
    <w:p>
      <w:pPr>
        <w:spacing w:after="0" w:line="244" w:lineRule="exact"/>
        <w:rPr>
          <w:sz w:val="20"/>
          <w:szCs w:val="20"/>
          <w:color w:val="auto"/>
        </w:rPr>
      </w:pPr>
    </w:p>
    <w:p>
      <w:pPr>
        <w:ind w:left="10500"/>
        <w:spacing w:after="0"/>
        <w:rPr>
          <w:sz w:val="20"/>
          <w:szCs w:val="20"/>
          <w:color w:val="auto"/>
        </w:rPr>
      </w:pPr>
      <w:r>
        <w:rPr>
          <w:rFonts w:ascii="Arial" w:cs="Arial" w:eastAsia="Arial" w:hAnsi="Arial"/>
          <w:sz w:val="13"/>
          <w:szCs w:val="13"/>
          <w:b w:val="1"/>
          <w:bCs w:val="1"/>
          <w:color w:val="auto"/>
        </w:rPr>
        <w:t>Verra Mobility</w:t>
      </w:r>
    </w:p>
    <w:p>
      <w:pPr>
        <w:spacing w:after="0" w:line="14" w:lineRule="exact"/>
        <w:rPr>
          <w:sz w:val="20"/>
          <w:szCs w:val="20"/>
          <w:color w:val="auto"/>
        </w:rPr>
      </w:pPr>
    </w:p>
    <w:p>
      <w:pPr>
        <w:ind w:left="9940"/>
        <w:spacing w:after="0"/>
        <w:rPr>
          <w:sz w:val="20"/>
          <w:szCs w:val="20"/>
          <w:color w:val="auto"/>
        </w:rPr>
      </w:pPr>
      <w:r>
        <w:rPr>
          <w:rFonts w:ascii="Arial" w:cs="Arial" w:eastAsia="Arial" w:hAnsi="Arial"/>
          <w:sz w:val="13"/>
          <w:szCs w:val="13"/>
          <w:color w:val="auto"/>
        </w:rPr>
        <w:t>1150 N. Alma School Rd.</w:t>
      </w:r>
    </w:p>
    <w:p>
      <w:pPr>
        <w:jc w:val="center"/>
        <w:ind w:left="10180"/>
        <w:spacing w:after="0"/>
        <w:rPr>
          <w:sz w:val="20"/>
          <w:szCs w:val="20"/>
          <w:color w:val="auto"/>
        </w:rPr>
      </w:pPr>
      <w:r>
        <w:rPr>
          <w:rFonts w:ascii="Arial" w:cs="Arial" w:eastAsia="Arial" w:hAnsi="Arial"/>
          <w:sz w:val="13"/>
          <w:szCs w:val="13"/>
          <w:color w:val="auto"/>
        </w:rPr>
        <w:t>Mesa, Arizona 85201</w:t>
      </w:r>
    </w:p>
    <w:p>
      <w:pPr>
        <w:jc w:val="center"/>
        <w:ind w:left="10280"/>
        <w:spacing w:after="0"/>
        <w:rPr>
          <w:sz w:val="20"/>
          <w:szCs w:val="20"/>
          <w:color w:val="auto"/>
        </w:rPr>
      </w:pPr>
      <w:r>
        <w:rPr>
          <w:rFonts w:ascii="Arial" w:cs="Arial" w:eastAsia="Arial" w:hAnsi="Arial"/>
          <w:sz w:val="13"/>
          <w:szCs w:val="13"/>
          <w:b w:val="1"/>
          <w:bCs w:val="1"/>
          <w:color w:val="auto"/>
        </w:rPr>
        <w:t>verramobility.com</w:t>
      </w:r>
    </w:p>
    <w:p>
      <w:pPr>
        <w:jc w:val="center"/>
        <w:ind w:left="10160"/>
        <w:spacing w:after="0"/>
        <w:rPr>
          <w:sz w:val="20"/>
          <w:szCs w:val="20"/>
          <w:color w:val="auto"/>
        </w:rPr>
      </w:pPr>
      <w:r>
        <w:rPr>
          <w:rFonts w:ascii="Arial" w:cs="Arial" w:eastAsia="Arial" w:hAnsi="Arial"/>
          <w:sz w:val="12"/>
          <w:szCs w:val="12"/>
          <w:color w:val="auto"/>
        </w:rPr>
        <w:t>+1480.443.7000 main</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color w:val="auto"/>
        </w:rPr>
        <w:t>April 24,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Garrett Miller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via hand delivery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Dear Garrett,</w:t>
      </w:r>
    </w:p>
    <w:p>
      <w:pPr>
        <w:spacing w:after="0" w:line="22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Welcome to Verra Mobility! On behalf of VM Consolidated, Inc., a Verra Mobility company (“Verra Mobility” or the “Company”), we are thrilled to extend a formal offer of employment to you to join the Executive Leadership Team as General Manager, Government Solutions.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Here is a summary of the terms, as explained further below:</w:t>
      </w:r>
    </w:p>
    <w:p>
      <w:pPr>
        <w:spacing w:after="0" w:line="229" w:lineRule="exact"/>
        <w:rPr>
          <w:sz w:val="20"/>
          <w:szCs w:val="20"/>
          <w:color w:val="auto"/>
        </w:rPr>
      </w:pPr>
    </w:p>
    <w:p>
      <w:pPr>
        <w:ind w:left="880" w:hanging="440"/>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Position Title: General Manager, Government Solutions</w:t>
      </w:r>
    </w:p>
    <w:p>
      <w:pPr>
        <w:spacing w:after="0" w:line="23" w:lineRule="exact"/>
        <w:rPr>
          <w:rFonts w:ascii="Arial" w:cs="Arial" w:eastAsia="Arial" w:hAnsi="Arial"/>
          <w:sz w:val="18"/>
          <w:szCs w:val="18"/>
          <w:color w:val="auto"/>
        </w:rPr>
      </w:pPr>
    </w:p>
    <w:p>
      <w:pPr>
        <w:ind w:left="880" w:hanging="440"/>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Proposed Start Date: Monday, May 20, 2019</w:t>
      </w:r>
    </w:p>
    <w:p>
      <w:pPr>
        <w:spacing w:after="0" w:line="9" w:lineRule="exact"/>
        <w:rPr>
          <w:rFonts w:ascii="Arial" w:cs="Arial" w:eastAsia="Arial" w:hAnsi="Arial"/>
          <w:sz w:val="18"/>
          <w:szCs w:val="18"/>
          <w:color w:val="auto"/>
        </w:rPr>
      </w:pPr>
    </w:p>
    <w:p>
      <w:pPr>
        <w:ind w:left="880" w:hanging="440"/>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Reporting to: David Roberts, Chief Executive Officer</w:t>
      </w:r>
    </w:p>
    <w:p>
      <w:pPr>
        <w:spacing w:after="0" w:line="9" w:lineRule="exact"/>
        <w:rPr>
          <w:rFonts w:ascii="Arial" w:cs="Arial" w:eastAsia="Arial" w:hAnsi="Arial"/>
          <w:sz w:val="18"/>
          <w:szCs w:val="18"/>
          <w:color w:val="auto"/>
        </w:rPr>
      </w:pPr>
    </w:p>
    <w:p>
      <w:pPr>
        <w:ind w:left="880" w:hanging="440"/>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Office Location: Mesa, AZ</w:t>
      </w:r>
    </w:p>
    <w:p>
      <w:pPr>
        <w:spacing w:after="0" w:line="9" w:lineRule="exact"/>
        <w:rPr>
          <w:rFonts w:ascii="Arial" w:cs="Arial" w:eastAsia="Arial" w:hAnsi="Arial"/>
          <w:sz w:val="18"/>
          <w:szCs w:val="18"/>
          <w:color w:val="auto"/>
        </w:rPr>
      </w:pPr>
    </w:p>
    <w:p>
      <w:pPr>
        <w:ind w:left="880" w:hanging="440"/>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Annual Salary: $280,000</w:t>
      </w:r>
    </w:p>
    <w:p>
      <w:pPr>
        <w:spacing w:after="0" w:line="9" w:lineRule="exact"/>
        <w:rPr>
          <w:rFonts w:ascii="Arial" w:cs="Arial" w:eastAsia="Arial" w:hAnsi="Arial"/>
          <w:sz w:val="18"/>
          <w:szCs w:val="18"/>
          <w:color w:val="auto"/>
        </w:rPr>
      </w:pPr>
    </w:p>
    <w:p>
      <w:pPr>
        <w:ind w:left="880" w:hanging="440"/>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Target Annual Bonus: 75%</w:t>
      </w:r>
    </w:p>
    <w:p>
      <w:pPr>
        <w:spacing w:after="0" w:line="9" w:lineRule="exact"/>
        <w:rPr>
          <w:rFonts w:ascii="Arial" w:cs="Arial" w:eastAsia="Arial" w:hAnsi="Arial"/>
          <w:sz w:val="18"/>
          <w:szCs w:val="18"/>
          <w:color w:val="auto"/>
        </w:rPr>
      </w:pPr>
    </w:p>
    <w:p>
      <w:pPr>
        <w:ind w:left="880" w:hanging="440"/>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Initial Equity Grant Recommendation: $280,000 (approx. value)</w:t>
      </w:r>
    </w:p>
    <w:p>
      <w:pPr>
        <w:spacing w:after="0" w:line="207"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b w:val="1"/>
          <w:bCs w:val="1"/>
          <w:color w:val="auto"/>
        </w:rPr>
        <w:t xml:space="preserve">Compensation: </w:t>
      </w:r>
      <w:r>
        <w:rPr>
          <w:rFonts w:ascii="Arial" w:cs="Arial" w:eastAsia="Arial" w:hAnsi="Arial"/>
          <w:sz w:val="18"/>
          <w:szCs w:val="18"/>
          <w:color w:val="auto"/>
        </w:rPr>
        <w:t>Your starting annualized base salary will be $280,000.00 less applicable taxes, deductions and withholdings, paid in bi-weekly installments equivalent</w:t>
      </w:r>
      <w:r>
        <w:rPr>
          <w:rFonts w:ascii="Arial" w:cs="Arial" w:eastAsia="Arial" w:hAnsi="Arial"/>
          <w:sz w:val="18"/>
          <w:szCs w:val="18"/>
          <w:b w:val="1"/>
          <w:bCs w:val="1"/>
          <w:color w:val="auto"/>
        </w:rPr>
        <w:t xml:space="preserve"> </w:t>
      </w:r>
      <w:r>
        <w:rPr>
          <w:rFonts w:ascii="Arial" w:cs="Arial" w:eastAsia="Arial" w:hAnsi="Arial"/>
          <w:sz w:val="18"/>
          <w:szCs w:val="18"/>
          <w:color w:val="auto"/>
        </w:rPr>
        <w:t>to the rate of $10,769.23 in accordance with Verra Mobility’s payroll policies and subject to annual review.</w:t>
      </w:r>
    </w:p>
    <w:p>
      <w:pPr>
        <w:spacing w:after="0" w:line="162" w:lineRule="exact"/>
        <w:rPr>
          <w:sz w:val="20"/>
          <w:szCs w:val="20"/>
          <w:color w:val="auto"/>
        </w:rPr>
      </w:pPr>
    </w:p>
    <w:p>
      <w:pPr>
        <w:ind w:right="20"/>
        <w:spacing w:after="0" w:line="329" w:lineRule="auto"/>
        <w:rPr>
          <w:sz w:val="20"/>
          <w:szCs w:val="20"/>
          <w:color w:val="auto"/>
        </w:rPr>
      </w:pPr>
      <w:r>
        <w:rPr>
          <w:rFonts w:ascii="Arial" w:cs="Arial" w:eastAsia="Arial" w:hAnsi="Arial"/>
          <w:sz w:val="15"/>
          <w:szCs w:val="15"/>
          <w:b w:val="1"/>
          <w:bCs w:val="1"/>
          <w:color w:val="auto"/>
        </w:rPr>
        <w:t xml:space="preserve">Target Annual Bonus: </w:t>
      </w:r>
      <w:r>
        <w:rPr>
          <w:rFonts w:ascii="Arial" w:cs="Arial" w:eastAsia="Arial" w:hAnsi="Arial"/>
          <w:sz w:val="15"/>
          <w:szCs w:val="15"/>
          <w:color w:val="auto"/>
        </w:rPr>
        <w:t>You will be eligible to participate in our company Annual Incentive Bonus Program, with a target payout equal to 75% of your base salary. The</w:t>
      </w:r>
      <w:r>
        <w:rPr>
          <w:rFonts w:ascii="Arial" w:cs="Arial" w:eastAsia="Arial" w:hAnsi="Arial"/>
          <w:sz w:val="15"/>
          <w:szCs w:val="15"/>
          <w:b w:val="1"/>
          <w:bCs w:val="1"/>
          <w:color w:val="auto"/>
        </w:rPr>
        <w:t xml:space="preserve"> </w:t>
      </w:r>
      <w:r>
        <w:rPr>
          <w:rFonts w:ascii="Arial" w:cs="Arial" w:eastAsia="Arial" w:hAnsi="Arial"/>
          <w:sz w:val="15"/>
          <w:szCs w:val="15"/>
          <w:color w:val="auto"/>
        </w:rPr>
        <w:t>amount paid will be based upon the achievement of certain financial targets (as established by Verra Mobility) as well as your personal performance, and you will have the opportunity to earn up to 200% of your target bonus. For 2019, the annual bonus will be prorated based on your start date with Verra Mobility. Ongoing participation in the program as well as the program components are governed by the terms of the Bonus Plan, a copy of which will be provided to you after your start date.</w:t>
      </w:r>
    </w:p>
    <w:p>
      <w:pPr>
        <w:spacing w:after="0" w:line="135"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b w:val="1"/>
          <w:bCs w:val="1"/>
          <w:color w:val="auto"/>
        </w:rPr>
        <w:t xml:space="preserve">Equity: </w:t>
      </w:r>
      <w:r>
        <w:rPr>
          <w:rFonts w:ascii="Arial" w:cs="Arial" w:eastAsia="Arial" w:hAnsi="Arial"/>
          <w:sz w:val="16"/>
          <w:szCs w:val="16"/>
          <w:color w:val="auto"/>
        </w:rPr>
        <w:t>Subject to the approval of the Company’s Board of Directors (or its Compensation Committee), you will be granted restricted stock units (“RSUs”) in an</w:t>
      </w:r>
      <w:r>
        <w:rPr>
          <w:rFonts w:ascii="Arial" w:cs="Arial" w:eastAsia="Arial" w:hAnsi="Arial"/>
          <w:sz w:val="16"/>
          <w:szCs w:val="16"/>
          <w:b w:val="1"/>
          <w:bCs w:val="1"/>
          <w:color w:val="auto"/>
        </w:rPr>
        <w:t xml:space="preserve"> </w:t>
      </w:r>
      <w:r>
        <w:rPr>
          <w:rFonts w:ascii="Arial" w:cs="Arial" w:eastAsia="Arial" w:hAnsi="Arial"/>
          <w:sz w:val="16"/>
          <w:szCs w:val="16"/>
          <w:color w:val="auto"/>
        </w:rPr>
        <w:t>amount approximating $280,000 (valued as of the date of the grant). The RSUs will be subject to the terms and conditions set forth in the 2018 Verra Mobility Equity Incentive Plan (the “Equity Plan”) and the grant agreement, which you will be required to sign. Unless otherwise set forth in the grant agreement, you will vest in 25% of the shares on each of the 12-month anniversary of your vesting commencement date. You will be eligible for additional grants of equity as determined by the Company’s Board of Directors (or its Compensation Committee) consistent with the terms of the Equity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448310</wp:posOffset>
            </wp:positionV>
            <wp:extent cx="72891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51" w:name="page52"/>
    <w:bookmarkEnd w:id="51"/>
    <w:p>
      <w:pPr>
        <w:ind w:left="10500"/>
        <w:spacing w:after="0"/>
        <w:rPr>
          <w:sz w:val="20"/>
          <w:szCs w:val="20"/>
          <w:color w:val="auto"/>
        </w:rPr>
      </w:pPr>
      <w:r>
        <w:rPr>
          <w:rFonts w:ascii="Arial" w:cs="Arial" w:eastAsia="Arial" w:hAnsi="Arial"/>
          <w:sz w:val="13"/>
          <w:szCs w:val="13"/>
          <w:b w:val="1"/>
          <w:bCs w:val="1"/>
          <w:color w:val="auto"/>
        </w:rPr>
        <w:t>Verra Mobility</w:t>
      </w:r>
    </w:p>
    <w:p>
      <w:pPr>
        <w:spacing w:after="0" w:line="14" w:lineRule="exact"/>
        <w:rPr>
          <w:sz w:val="20"/>
          <w:szCs w:val="20"/>
          <w:color w:val="auto"/>
        </w:rPr>
      </w:pPr>
    </w:p>
    <w:p>
      <w:pPr>
        <w:ind w:left="9940"/>
        <w:spacing w:after="0"/>
        <w:rPr>
          <w:sz w:val="20"/>
          <w:szCs w:val="20"/>
          <w:color w:val="auto"/>
        </w:rPr>
      </w:pPr>
      <w:r>
        <w:rPr>
          <w:rFonts w:ascii="Arial" w:cs="Arial" w:eastAsia="Arial" w:hAnsi="Arial"/>
          <w:sz w:val="13"/>
          <w:szCs w:val="13"/>
          <w:color w:val="auto"/>
        </w:rPr>
        <w:t>1150 N. Alma School Rd.</w:t>
      </w:r>
    </w:p>
    <w:p>
      <w:pPr>
        <w:jc w:val="center"/>
        <w:ind w:left="10180"/>
        <w:spacing w:after="0"/>
        <w:rPr>
          <w:sz w:val="20"/>
          <w:szCs w:val="20"/>
          <w:color w:val="auto"/>
        </w:rPr>
      </w:pPr>
      <w:r>
        <w:rPr>
          <w:rFonts w:ascii="Arial" w:cs="Arial" w:eastAsia="Arial" w:hAnsi="Arial"/>
          <w:sz w:val="13"/>
          <w:szCs w:val="13"/>
          <w:color w:val="auto"/>
        </w:rPr>
        <w:t>Mesa, Arizona 85201</w:t>
      </w:r>
    </w:p>
    <w:p>
      <w:pPr>
        <w:jc w:val="center"/>
        <w:ind w:left="10280"/>
        <w:spacing w:after="0"/>
        <w:rPr>
          <w:sz w:val="20"/>
          <w:szCs w:val="20"/>
          <w:color w:val="auto"/>
        </w:rPr>
      </w:pPr>
      <w:r>
        <w:rPr>
          <w:rFonts w:ascii="Arial" w:cs="Arial" w:eastAsia="Arial" w:hAnsi="Arial"/>
          <w:sz w:val="13"/>
          <w:szCs w:val="13"/>
          <w:b w:val="1"/>
          <w:bCs w:val="1"/>
          <w:color w:val="auto"/>
        </w:rPr>
        <w:t>verramobility.com</w:t>
      </w:r>
    </w:p>
    <w:p>
      <w:pPr>
        <w:jc w:val="center"/>
        <w:ind w:left="10160"/>
        <w:spacing w:after="0"/>
        <w:rPr>
          <w:sz w:val="20"/>
          <w:szCs w:val="20"/>
          <w:color w:val="auto"/>
        </w:rPr>
      </w:pPr>
      <w:r>
        <w:rPr>
          <w:rFonts w:ascii="Arial" w:cs="Arial" w:eastAsia="Arial" w:hAnsi="Arial"/>
          <w:sz w:val="12"/>
          <w:szCs w:val="12"/>
          <w:color w:val="auto"/>
        </w:rPr>
        <w:t>+1480.443.7000 main</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b w:val="1"/>
          <w:bCs w:val="1"/>
          <w:color w:val="auto"/>
        </w:rPr>
        <w:t xml:space="preserve">Relocation Assistance: </w:t>
      </w:r>
      <w:r>
        <w:rPr>
          <w:rFonts w:ascii="Arial" w:cs="Arial" w:eastAsia="Arial" w:hAnsi="Arial"/>
          <w:sz w:val="16"/>
          <w:szCs w:val="16"/>
          <w:color w:val="auto"/>
        </w:rPr>
        <w:t>It is agreed that you will relocate to the Phoenix metropolitan area no later than</w:t>
      </w:r>
      <w:r>
        <w:rPr>
          <w:rFonts w:ascii="Arial" w:cs="Arial" w:eastAsia="Arial" w:hAnsi="Arial"/>
          <w:sz w:val="16"/>
          <w:szCs w:val="16"/>
          <w:b w:val="1"/>
          <w:bCs w:val="1"/>
          <w:color w:val="auto"/>
        </w:rPr>
        <w:t xml:space="preserve"> July 1, 2019</w:t>
      </w:r>
      <w:r>
        <w:rPr>
          <w:rFonts w:ascii="Arial" w:cs="Arial" w:eastAsia="Arial" w:hAnsi="Arial"/>
          <w:sz w:val="16"/>
          <w:szCs w:val="16"/>
          <w:color w:val="auto"/>
        </w:rPr>
        <w:t>. In connection with your relocation, you will be</w:t>
      </w:r>
      <w:r>
        <w:rPr>
          <w:rFonts w:ascii="Arial" w:cs="Arial" w:eastAsia="Arial" w:hAnsi="Arial"/>
          <w:sz w:val="16"/>
          <w:szCs w:val="16"/>
          <w:b w:val="1"/>
          <w:bCs w:val="1"/>
          <w:color w:val="auto"/>
        </w:rPr>
        <w:t xml:space="preserve"> </w:t>
      </w:r>
      <w:r>
        <w:rPr>
          <w:rFonts w:ascii="Arial" w:cs="Arial" w:eastAsia="Arial" w:hAnsi="Arial"/>
          <w:sz w:val="16"/>
          <w:szCs w:val="16"/>
          <w:color w:val="auto"/>
        </w:rPr>
        <w:t>entitled to relocation assistance benefits, a summary of which is attached to this letter. Should you choose to voluntarily terminate your employment with the Company without Good Reason (as defined below) within the first twelve months (12) months of employment, you voluntarily agree to repay the Company, within thirty (30) days of terminating employment, the gross amount of any and all relocation expenses incurred or reimbursed by the Company (and agree to allow the Company to withhold any such amount from your final paycheck, as permitted by applicable law).</w:t>
      </w:r>
    </w:p>
    <w:p>
      <w:pPr>
        <w:spacing w:after="0" w:line="154"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b w:val="1"/>
          <w:bCs w:val="1"/>
          <w:color w:val="auto"/>
        </w:rPr>
        <w:t xml:space="preserve">Benefits: </w:t>
      </w:r>
      <w:r>
        <w:rPr>
          <w:rFonts w:ascii="Arial" w:cs="Arial" w:eastAsia="Arial" w:hAnsi="Arial"/>
          <w:sz w:val="18"/>
          <w:szCs w:val="18"/>
          <w:color w:val="auto"/>
        </w:rPr>
        <w:t>You are eligible to participate in Verra Mobility’s competitive employee benefits package. On the first of the month following 60 days of employment,</w:t>
      </w:r>
      <w:r>
        <w:rPr>
          <w:rFonts w:ascii="Arial" w:cs="Arial" w:eastAsia="Arial" w:hAnsi="Arial"/>
          <w:sz w:val="18"/>
          <w:szCs w:val="18"/>
          <w:b w:val="1"/>
          <w:bCs w:val="1"/>
          <w:color w:val="auto"/>
        </w:rPr>
        <w:t xml:space="preserve"> </w:t>
      </w:r>
      <w:r>
        <w:rPr>
          <w:rFonts w:ascii="Arial" w:cs="Arial" w:eastAsia="Arial" w:hAnsi="Arial"/>
          <w:sz w:val="18"/>
          <w:szCs w:val="18"/>
          <w:color w:val="auto"/>
        </w:rPr>
        <w:t>you will become eligible for medical benefits. The enclosed Benefits Summary provides you with an overview of your benefits; however, more detailed information will be provided on your first day of employment. Due to the waiting period for medical benefits, Verra Mobility will cover the costs associated with your obtaining COBRA coverage until you are eligible for our plan.</w:t>
      </w:r>
    </w:p>
    <w:p>
      <w:pPr>
        <w:spacing w:after="0" w:line="180" w:lineRule="exact"/>
        <w:rPr>
          <w:sz w:val="20"/>
          <w:szCs w:val="20"/>
          <w:color w:val="auto"/>
        </w:rPr>
      </w:pPr>
    </w:p>
    <w:p>
      <w:pPr>
        <w:ind w:right="60"/>
        <w:spacing w:after="0" w:line="289" w:lineRule="auto"/>
        <w:rPr>
          <w:sz w:val="20"/>
          <w:szCs w:val="20"/>
          <w:color w:val="auto"/>
        </w:rPr>
      </w:pPr>
      <w:r>
        <w:rPr>
          <w:rFonts w:ascii="Arial" w:cs="Arial" w:eastAsia="Arial" w:hAnsi="Arial"/>
          <w:sz w:val="17"/>
          <w:szCs w:val="17"/>
          <w:b w:val="1"/>
          <w:bCs w:val="1"/>
          <w:color w:val="auto"/>
        </w:rPr>
        <w:t xml:space="preserve">401(k): </w:t>
      </w:r>
      <w:r>
        <w:rPr>
          <w:rFonts w:ascii="Arial" w:cs="Arial" w:eastAsia="Arial" w:hAnsi="Arial"/>
          <w:sz w:val="17"/>
          <w:szCs w:val="17"/>
          <w:color w:val="auto"/>
        </w:rPr>
        <w:t>You are eligible to participate in the 401(k) plan on the first of the month following 30 days of employment. Verra Mobility matches 100% of your</w:t>
      </w:r>
      <w:r>
        <w:rPr>
          <w:rFonts w:ascii="Arial" w:cs="Arial" w:eastAsia="Arial" w:hAnsi="Arial"/>
          <w:sz w:val="17"/>
          <w:szCs w:val="17"/>
          <w:b w:val="1"/>
          <w:bCs w:val="1"/>
          <w:color w:val="auto"/>
        </w:rPr>
        <w:t xml:space="preserve"> </w:t>
      </w:r>
      <w:r>
        <w:rPr>
          <w:rFonts w:ascii="Arial" w:cs="Arial" w:eastAsia="Arial" w:hAnsi="Arial"/>
          <w:sz w:val="17"/>
          <w:szCs w:val="17"/>
          <w:color w:val="auto"/>
        </w:rPr>
        <w:t>first 3% contribution, and 50% of the next 2%, subject to the terms of the plan. The match is immediately 100% vested and posted following each payday. As a new hire, you will be auto-enrolled with a 3% contribution, but you can opt out or change your contribution amount if desired.</w:t>
      </w:r>
    </w:p>
    <w:p>
      <w:pPr>
        <w:spacing w:after="0" w:line="158"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b w:val="1"/>
          <w:bCs w:val="1"/>
          <w:color w:val="auto"/>
        </w:rPr>
        <w:t xml:space="preserve">Paid Time Off (PTO) and Sick Leave: </w:t>
      </w:r>
      <w:r>
        <w:rPr>
          <w:rFonts w:ascii="Arial" w:cs="Arial" w:eastAsia="Arial" w:hAnsi="Arial"/>
          <w:sz w:val="18"/>
          <w:szCs w:val="18"/>
          <w:color w:val="auto"/>
        </w:rPr>
        <w:t>Starting on your first day of employment with the Company, you will be eligible for paid time away from work in</w:t>
      </w:r>
      <w:r>
        <w:rPr>
          <w:rFonts w:ascii="Arial" w:cs="Arial" w:eastAsia="Arial" w:hAnsi="Arial"/>
          <w:sz w:val="18"/>
          <w:szCs w:val="18"/>
          <w:b w:val="1"/>
          <w:bCs w:val="1"/>
          <w:color w:val="auto"/>
        </w:rPr>
        <w:t xml:space="preserve"> </w:t>
      </w:r>
      <w:r>
        <w:rPr>
          <w:rFonts w:ascii="Arial" w:cs="Arial" w:eastAsia="Arial" w:hAnsi="Arial"/>
          <w:sz w:val="18"/>
          <w:szCs w:val="18"/>
          <w:color w:val="auto"/>
        </w:rPr>
        <w:t>accordance with Verra Mobility’s Paid Time Off (PTO) and Paid Sick Leave (PSL) policies, as may be amended from time to time. Under our current policies, you will accrue PTO per pay period equivalent to 168 hours per year, and will be eligible to use 40 hours of PSL per year (if your start date occurs after July 1 of the calendar year, your PSL allotment for your first year will be 20 hours).</w:t>
      </w:r>
    </w:p>
    <w:p>
      <w:pPr>
        <w:spacing w:after="0" w:line="180"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b w:val="1"/>
          <w:bCs w:val="1"/>
          <w:color w:val="auto"/>
        </w:rPr>
        <w:t xml:space="preserve">Background Check / Drug Screen: </w:t>
      </w:r>
      <w:r>
        <w:rPr>
          <w:rFonts w:ascii="Arial" w:cs="Arial" w:eastAsia="Arial" w:hAnsi="Arial"/>
          <w:sz w:val="18"/>
          <w:szCs w:val="18"/>
          <w:color w:val="auto"/>
        </w:rPr>
        <w:t>This offer of employment is contingent on the successful completion of all pre-employment processes including a</w:t>
      </w:r>
      <w:r>
        <w:rPr>
          <w:rFonts w:ascii="Arial" w:cs="Arial" w:eastAsia="Arial" w:hAnsi="Arial"/>
          <w:sz w:val="18"/>
          <w:szCs w:val="18"/>
          <w:b w:val="1"/>
          <w:bCs w:val="1"/>
          <w:color w:val="auto"/>
        </w:rPr>
        <w:t xml:space="preserve"> </w:t>
      </w:r>
      <w:r>
        <w:rPr>
          <w:rFonts w:ascii="Arial" w:cs="Arial" w:eastAsia="Arial" w:hAnsi="Arial"/>
          <w:sz w:val="18"/>
          <w:szCs w:val="18"/>
          <w:color w:val="auto"/>
        </w:rPr>
        <w:t>background check, drug screen, and verification of employment and education. We reserve the right to withdraw this offer or terminate your employment on the basis of the results of these processes at any time. In addition, your proposed start date may require changes based on the length of time for the processes to clear.</w:t>
      </w:r>
    </w:p>
    <w:p>
      <w:pPr>
        <w:spacing w:after="0" w:line="180" w:lineRule="exact"/>
        <w:rPr>
          <w:sz w:val="20"/>
          <w:szCs w:val="20"/>
          <w:color w:val="auto"/>
        </w:rPr>
      </w:pPr>
    </w:p>
    <w:p>
      <w:pPr>
        <w:ind w:right="40"/>
        <w:spacing w:after="0" w:line="266" w:lineRule="auto"/>
        <w:rPr>
          <w:sz w:val="20"/>
          <w:szCs w:val="20"/>
          <w:color w:val="auto"/>
        </w:rPr>
      </w:pPr>
      <w:r>
        <w:rPr>
          <w:rFonts w:ascii="Arial" w:cs="Arial" w:eastAsia="Arial" w:hAnsi="Arial"/>
          <w:sz w:val="18"/>
          <w:szCs w:val="18"/>
          <w:b w:val="1"/>
          <w:bCs w:val="1"/>
          <w:color w:val="auto"/>
        </w:rPr>
        <w:t xml:space="preserve">I-9: </w:t>
      </w:r>
      <w:r>
        <w:rPr>
          <w:rFonts w:ascii="Arial" w:cs="Arial" w:eastAsia="Arial" w:hAnsi="Arial"/>
          <w:sz w:val="18"/>
          <w:szCs w:val="18"/>
          <w:color w:val="auto"/>
        </w:rPr>
        <w:t>On your start date, you will be required to provide proof that you are presently eligible to work in the United States, and your continued employment will</w:t>
      </w:r>
      <w:r>
        <w:rPr>
          <w:rFonts w:ascii="Arial" w:cs="Arial" w:eastAsia="Arial" w:hAnsi="Arial"/>
          <w:sz w:val="18"/>
          <w:szCs w:val="18"/>
          <w:b w:val="1"/>
          <w:bCs w:val="1"/>
          <w:color w:val="auto"/>
        </w:rPr>
        <w:t xml:space="preserve"> </w:t>
      </w:r>
      <w:r>
        <w:rPr>
          <w:rFonts w:ascii="Arial" w:cs="Arial" w:eastAsia="Arial" w:hAnsi="Arial"/>
          <w:sz w:val="18"/>
          <w:szCs w:val="18"/>
          <w:color w:val="auto"/>
        </w:rPr>
        <w:t>be conditioned upon maintaining that status. Failure to provide appropriate documentation within three days of hire will result in immediate termination of employment in accordance with the terms of the Immigration Reform and Control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462280</wp:posOffset>
            </wp:positionV>
            <wp:extent cx="72891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62" w:right="239" w:bottom="1440" w:gutter="0" w:footer="0" w:header="0"/>
        </w:sectPr>
      </w:pPr>
    </w:p>
    <w:bookmarkStart w:id="52" w:name="page53"/>
    <w:bookmarkEnd w:id="52"/>
    <w:p>
      <w:pPr>
        <w:ind w:left="10500"/>
        <w:spacing w:after="0"/>
        <w:rPr>
          <w:sz w:val="20"/>
          <w:szCs w:val="20"/>
          <w:color w:val="auto"/>
        </w:rPr>
      </w:pPr>
      <w:r>
        <w:rPr>
          <w:rFonts w:ascii="Arial" w:cs="Arial" w:eastAsia="Arial" w:hAnsi="Arial"/>
          <w:sz w:val="13"/>
          <w:szCs w:val="13"/>
          <w:b w:val="1"/>
          <w:bCs w:val="1"/>
          <w:color w:val="auto"/>
        </w:rPr>
        <w:t>Verra Mobility</w:t>
      </w:r>
    </w:p>
    <w:p>
      <w:pPr>
        <w:spacing w:after="0" w:line="14" w:lineRule="exact"/>
        <w:rPr>
          <w:sz w:val="20"/>
          <w:szCs w:val="20"/>
          <w:color w:val="auto"/>
        </w:rPr>
      </w:pPr>
    </w:p>
    <w:p>
      <w:pPr>
        <w:ind w:left="9940"/>
        <w:spacing w:after="0"/>
        <w:rPr>
          <w:sz w:val="20"/>
          <w:szCs w:val="20"/>
          <w:color w:val="auto"/>
        </w:rPr>
      </w:pPr>
      <w:r>
        <w:rPr>
          <w:rFonts w:ascii="Arial" w:cs="Arial" w:eastAsia="Arial" w:hAnsi="Arial"/>
          <w:sz w:val="13"/>
          <w:szCs w:val="13"/>
          <w:color w:val="auto"/>
        </w:rPr>
        <w:t>1150 N. Alma School Rd.</w:t>
      </w:r>
    </w:p>
    <w:p>
      <w:pPr>
        <w:jc w:val="center"/>
        <w:ind w:left="10180"/>
        <w:spacing w:after="0"/>
        <w:rPr>
          <w:sz w:val="20"/>
          <w:szCs w:val="20"/>
          <w:color w:val="auto"/>
        </w:rPr>
      </w:pPr>
      <w:r>
        <w:rPr>
          <w:rFonts w:ascii="Arial" w:cs="Arial" w:eastAsia="Arial" w:hAnsi="Arial"/>
          <w:sz w:val="13"/>
          <w:szCs w:val="13"/>
          <w:color w:val="auto"/>
        </w:rPr>
        <w:t>Mesa, Arizona 85201</w:t>
      </w:r>
    </w:p>
    <w:p>
      <w:pPr>
        <w:jc w:val="center"/>
        <w:ind w:left="10280"/>
        <w:spacing w:after="0"/>
        <w:rPr>
          <w:sz w:val="20"/>
          <w:szCs w:val="20"/>
          <w:color w:val="auto"/>
        </w:rPr>
      </w:pPr>
      <w:r>
        <w:rPr>
          <w:rFonts w:ascii="Arial" w:cs="Arial" w:eastAsia="Arial" w:hAnsi="Arial"/>
          <w:sz w:val="13"/>
          <w:szCs w:val="13"/>
          <w:b w:val="1"/>
          <w:bCs w:val="1"/>
          <w:color w:val="auto"/>
        </w:rPr>
        <w:t>verramobility.com</w:t>
      </w:r>
    </w:p>
    <w:p>
      <w:pPr>
        <w:jc w:val="center"/>
        <w:ind w:left="10140"/>
        <w:spacing w:after="0"/>
        <w:rPr>
          <w:sz w:val="20"/>
          <w:szCs w:val="20"/>
          <w:color w:val="auto"/>
        </w:rPr>
      </w:pPr>
      <w:r>
        <w:rPr>
          <w:rFonts w:ascii="Arial" w:cs="Arial" w:eastAsia="Arial" w:hAnsi="Arial"/>
          <w:sz w:val="13"/>
          <w:szCs w:val="13"/>
          <w:color w:val="auto"/>
        </w:rPr>
        <w:t>+1480.443.7000 main</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b w:val="1"/>
          <w:bCs w:val="1"/>
          <w:color w:val="auto"/>
        </w:rPr>
        <w:t xml:space="preserve">At Will Employment: </w:t>
      </w:r>
      <w:r>
        <w:rPr>
          <w:rFonts w:ascii="Arial" w:cs="Arial" w:eastAsia="Arial" w:hAnsi="Arial"/>
          <w:sz w:val="18"/>
          <w:szCs w:val="18"/>
          <w:color w:val="auto"/>
        </w:rPr>
        <w:t>Your employment is on an at-will basis unless otherwise stated in a written individual employment agreement signed by the CEO of</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This means that you or the Company may terminate your employment at any time, for any reason or for no reason, and with or without prior notice. Nothing in any Company policy, or contained in any statement (other than a written statement signed by the CEO) creates an employment agreement, express or implied, that alters this at-will relationship.</w:t>
      </w:r>
    </w:p>
    <w:p>
      <w:pPr>
        <w:spacing w:after="0" w:line="180" w:lineRule="exact"/>
        <w:rPr>
          <w:sz w:val="20"/>
          <w:szCs w:val="20"/>
          <w:color w:val="auto"/>
        </w:rPr>
      </w:pPr>
    </w:p>
    <w:p>
      <w:pPr>
        <w:jc w:val="both"/>
        <w:spacing w:after="0" w:line="292" w:lineRule="auto"/>
        <w:rPr>
          <w:sz w:val="20"/>
          <w:szCs w:val="20"/>
          <w:color w:val="auto"/>
        </w:rPr>
      </w:pPr>
      <w:r>
        <w:rPr>
          <w:rFonts w:ascii="Arial" w:cs="Arial" w:eastAsia="Arial" w:hAnsi="Arial"/>
          <w:sz w:val="16"/>
          <w:szCs w:val="16"/>
          <w:b w:val="1"/>
          <w:bCs w:val="1"/>
          <w:color w:val="auto"/>
        </w:rPr>
        <w:t xml:space="preserve">Severance: </w:t>
      </w:r>
      <w:r>
        <w:rPr>
          <w:rFonts w:ascii="Arial" w:cs="Arial" w:eastAsia="Arial" w:hAnsi="Arial"/>
          <w:sz w:val="16"/>
          <w:szCs w:val="16"/>
          <w:color w:val="auto"/>
        </w:rPr>
        <w:t>In the event your employment is terminated by the Company without Cause, as defined below, or if you terminate your employment with the Company for</w:t>
      </w:r>
      <w:r>
        <w:rPr>
          <w:rFonts w:ascii="Arial" w:cs="Arial" w:eastAsia="Arial" w:hAnsi="Arial"/>
          <w:sz w:val="16"/>
          <w:szCs w:val="16"/>
          <w:b w:val="1"/>
          <w:bCs w:val="1"/>
          <w:color w:val="auto"/>
        </w:rPr>
        <w:t xml:space="preserve"> </w:t>
      </w:r>
      <w:r>
        <w:rPr>
          <w:rFonts w:ascii="Arial" w:cs="Arial" w:eastAsia="Arial" w:hAnsi="Arial"/>
          <w:sz w:val="16"/>
          <w:szCs w:val="16"/>
          <w:color w:val="auto"/>
        </w:rPr>
        <w:t>Good Reason, also as defined below, in each case, subject to your execution (and, if applicable, non-revocation) of a Release Agreement (which will be provided to you no later than 10 business days after your employment ends), the Company will provide you with Severance Benefits constituting 12-months of your salary (as in effect on the date of termination), paid in equal installments beginning in the first payroll period whose cutoff date follows the effective-date of the Release Agreement (which payments are subject to applicable taxes and statutory deductions), provided that if the 60</w:t>
      </w:r>
      <w:r>
        <w:rPr>
          <w:rFonts w:ascii="Arial" w:cs="Arial" w:eastAsia="Arial" w:hAnsi="Arial"/>
          <w:sz w:val="13"/>
          <w:szCs w:val="13"/>
          <w:color w:val="auto"/>
        </w:rPr>
        <w:t>th</w:t>
      </w:r>
      <w:r>
        <w:rPr>
          <w:rFonts w:ascii="Arial" w:cs="Arial" w:eastAsia="Arial" w:hAnsi="Arial"/>
          <w:sz w:val="16"/>
          <w:szCs w:val="16"/>
          <w:color w:val="auto"/>
        </w:rPr>
        <w:t xml:space="preserve"> day falls in a calendar year subsequent to the year in which your employment ends, the payments will not be made or begin, as applicable, before the first business day in such subsequent year. Payments may be further delayed if required for compliance with Internal Revenue Code Section 409A.</w:t>
      </w:r>
    </w:p>
    <w:p>
      <w:pPr>
        <w:spacing w:after="0" w:line="166" w:lineRule="exact"/>
        <w:rPr>
          <w:sz w:val="20"/>
          <w:szCs w:val="20"/>
          <w:color w:val="auto"/>
        </w:rPr>
      </w:pPr>
    </w:p>
    <w:p>
      <w:pPr>
        <w:jc w:val="both"/>
        <w:ind w:left="880" w:hanging="440"/>
        <w:spacing w:after="0" w:line="276" w:lineRule="auto"/>
        <w:tabs>
          <w:tab w:leader="none" w:pos="880" w:val="left"/>
        </w:tabs>
        <w:numPr>
          <w:ilvl w:val="0"/>
          <w:numId w:val="30"/>
        </w:numPr>
        <w:rPr>
          <w:rFonts w:ascii="Arial" w:cs="Arial" w:eastAsia="Arial" w:hAnsi="Arial"/>
          <w:sz w:val="17"/>
          <w:szCs w:val="17"/>
          <w:color w:val="auto"/>
        </w:rPr>
      </w:pPr>
      <w:r>
        <w:rPr>
          <w:rFonts w:ascii="Arial" w:cs="Arial" w:eastAsia="Arial" w:hAnsi="Arial"/>
          <w:sz w:val="17"/>
          <w:szCs w:val="17"/>
          <w:color w:val="auto"/>
        </w:rPr>
        <w:t>“Good Reason” means a change in authority, duties, or responsibilities resulting in a material diminution of, or a material alteration to, your position; provided that such a material change will not constitute Good Reason unless (a) you provide written notice to the Company of the condition claimed to constitute Good Reason within 90 days of the initial existence of such condition; (b) the Company fails to remedy such condition within 30 days of receiving such written notice; and (c) your resignation from employment with the Company occurs within 60 days following the end of the period for the Company to remedy the condition (assuming the Company fails to do so).</w:t>
      </w:r>
    </w:p>
    <w:p>
      <w:pPr>
        <w:spacing w:after="0" w:line="172" w:lineRule="exact"/>
        <w:rPr>
          <w:rFonts w:ascii="Arial" w:cs="Arial" w:eastAsia="Arial" w:hAnsi="Arial"/>
          <w:sz w:val="17"/>
          <w:szCs w:val="17"/>
          <w:color w:val="auto"/>
        </w:rPr>
      </w:pPr>
    </w:p>
    <w:p>
      <w:pPr>
        <w:jc w:val="both"/>
        <w:ind w:left="880" w:hanging="440"/>
        <w:spacing w:after="0" w:line="287" w:lineRule="auto"/>
        <w:tabs>
          <w:tab w:leader="none" w:pos="8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 xml:space="preserve">“Cause” means (1) your being charged with a felony or misdemeanor criminal offense, other than a misdemeanor traffic offense; (2) your engagement in any act involving gross misconduct or dishonesty that is materially injurious to the Company or any of its affiliates; (3) your willful and continued breach of, or failure to substantially perform under or comply with any of the material terms and covenants of any written agreement with the Company or any of its affiliates; (4) your willful and continued breach of, or refusal or failure substantially to perform under, any policy or reasonable performance goals set by the Company or its affiliates with respect to your job duties or responsibilities, the operation of the Company’s or its affiliates’ business and affairs, or the management of the Company’s or its affiliates’ employees; or (5) you commit or have committed a breach of any laws or regulations which may affect or relate to the conduct of the Company’s or its affiliates’ business;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with respect to (3) and (4) above, you will be provided notice of any misconduct and/or breach constituting Cause and be given a reasonable opportunity (not to exceed 30 consecutive days) to cure the misconduct and/or breach (unless such misconduct and/or breach is determined by the Company not to be susceptible to cure, in which case the termination shall be deemed to be immediate), and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that such cure period shall only be available for the first such act of misconduct and/or breach of the same or substantially similar type, and subsequent acts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320675</wp:posOffset>
            </wp:positionV>
            <wp:extent cx="72891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62" w:right="239" w:bottom="1440" w:gutter="0" w:footer="0" w:header="0"/>
        </w:sectPr>
      </w:pPr>
    </w:p>
    <w:bookmarkStart w:id="53" w:name="page54"/>
    <w:bookmarkEnd w:id="53"/>
    <w:p>
      <w:pPr>
        <w:ind w:left="10500"/>
        <w:spacing w:after="0"/>
        <w:rPr>
          <w:sz w:val="20"/>
          <w:szCs w:val="20"/>
          <w:color w:val="auto"/>
        </w:rPr>
      </w:pPr>
      <w:r>
        <w:rPr>
          <w:rFonts w:ascii="Arial" w:cs="Arial" w:eastAsia="Arial" w:hAnsi="Arial"/>
          <w:sz w:val="13"/>
          <w:szCs w:val="13"/>
          <w:b w:val="1"/>
          <w:bCs w:val="1"/>
          <w:color w:val="auto"/>
        </w:rPr>
        <w:t>Verra Mobility</w:t>
      </w:r>
    </w:p>
    <w:p>
      <w:pPr>
        <w:spacing w:after="0" w:line="14" w:lineRule="exact"/>
        <w:rPr>
          <w:sz w:val="20"/>
          <w:szCs w:val="20"/>
          <w:color w:val="auto"/>
        </w:rPr>
      </w:pPr>
    </w:p>
    <w:p>
      <w:pPr>
        <w:ind w:left="9940"/>
        <w:spacing w:after="0"/>
        <w:rPr>
          <w:sz w:val="20"/>
          <w:szCs w:val="20"/>
          <w:color w:val="auto"/>
        </w:rPr>
      </w:pPr>
      <w:r>
        <w:rPr>
          <w:rFonts w:ascii="Arial" w:cs="Arial" w:eastAsia="Arial" w:hAnsi="Arial"/>
          <w:sz w:val="13"/>
          <w:szCs w:val="13"/>
          <w:color w:val="auto"/>
        </w:rPr>
        <w:t>1150 N. Alma School Rd.</w:t>
      </w:r>
    </w:p>
    <w:p>
      <w:pPr>
        <w:jc w:val="center"/>
        <w:ind w:left="10180"/>
        <w:spacing w:after="0"/>
        <w:rPr>
          <w:sz w:val="20"/>
          <w:szCs w:val="20"/>
          <w:color w:val="auto"/>
        </w:rPr>
      </w:pPr>
      <w:r>
        <w:rPr>
          <w:rFonts w:ascii="Arial" w:cs="Arial" w:eastAsia="Arial" w:hAnsi="Arial"/>
          <w:sz w:val="13"/>
          <w:szCs w:val="13"/>
          <w:color w:val="auto"/>
        </w:rPr>
        <w:t>Mesa, Arizona 85201</w:t>
      </w:r>
    </w:p>
    <w:p>
      <w:pPr>
        <w:jc w:val="center"/>
        <w:ind w:left="10280"/>
        <w:spacing w:after="0"/>
        <w:rPr>
          <w:sz w:val="20"/>
          <w:szCs w:val="20"/>
          <w:color w:val="auto"/>
        </w:rPr>
      </w:pPr>
      <w:r>
        <w:rPr>
          <w:rFonts w:ascii="Arial" w:cs="Arial" w:eastAsia="Arial" w:hAnsi="Arial"/>
          <w:sz w:val="13"/>
          <w:szCs w:val="13"/>
          <w:b w:val="1"/>
          <w:bCs w:val="1"/>
          <w:color w:val="auto"/>
        </w:rPr>
        <w:t>verramobility.com</w:t>
      </w:r>
    </w:p>
    <w:p>
      <w:pPr>
        <w:jc w:val="center"/>
        <w:ind w:left="10160"/>
        <w:spacing w:after="0"/>
        <w:rPr>
          <w:sz w:val="20"/>
          <w:szCs w:val="20"/>
          <w:color w:val="auto"/>
        </w:rPr>
      </w:pPr>
      <w:r>
        <w:rPr>
          <w:rFonts w:ascii="Arial" w:cs="Arial" w:eastAsia="Arial" w:hAnsi="Arial"/>
          <w:sz w:val="12"/>
          <w:szCs w:val="12"/>
          <w:color w:val="auto"/>
        </w:rPr>
        <w:t>+1480.443.7000 main</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880"/>
        <w:spacing w:after="0"/>
        <w:rPr>
          <w:sz w:val="20"/>
          <w:szCs w:val="20"/>
          <w:color w:val="auto"/>
        </w:rPr>
      </w:pPr>
      <w:r>
        <w:rPr>
          <w:rFonts w:ascii="Arial" w:cs="Arial" w:eastAsia="Arial" w:hAnsi="Arial"/>
          <w:sz w:val="16"/>
          <w:szCs w:val="16"/>
          <w:color w:val="auto"/>
        </w:rPr>
        <w:t>of misconduct and/or breach of the same or substantially similar type shall constitute Cause without regard to your subsequent cure of same.</w:t>
      </w:r>
    </w:p>
    <w:p>
      <w:pPr>
        <w:spacing w:after="0" w:line="24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Non-Compete Statement / Protection of Company Assets: </w:t>
      </w:r>
      <w:r>
        <w:rPr>
          <w:rFonts w:ascii="Arial" w:cs="Arial" w:eastAsia="Arial" w:hAnsi="Arial"/>
          <w:sz w:val="18"/>
          <w:szCs w:val="18"/>
          <w:color w:val="auto"/>
        </w:rPr>
        <w:t>As part of accepting this offer of employment, you are representing to us that you are not subject to any</w:t>
      </w:r>
      <w:r>
        <w:rPr>
          <w:rFonts w:ascii="Arial" w:cs="Arial" w:eastAsia="Arial" w:hAnsi="Arial"/>
          <w:sz w:val="18"/>
          <w:szCs w:val="18"/>
          <w:b w:val="1"/>
          <w:bCs w:val="1"/>
          <w:color w:val="auto"/>
        </w:rPr>
        <w:t xml:space="preserve"> </w:t>
      </w:r>
      <w:r>
        <w:rPr>
          <w:rFonts w:ascii="Arial" w:cs="Arial" w:eastAsia="Arial" w:hAnsi="Arial"/>
          <w:sz w:val="18"/>
          <w:szCs w:val="18"/>
          <w:color w:val="auto"/>
        </w:rPr>
        <w:t>non-competition or non-disclosure agreements or other restrictive covenants that would prevent you from undertaking the employment contemplated in this offer. If such representation is false in any way, we reserve the right to rescind this offer and/or terminate your employment immediately without liability or additional compensation.</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as a condition of employment, you must sign and comply with Verra Mobility’s Proprietary Rights and Non-Competition Agreement, a document you will receive with the new hire forms.</w:t>
      </w:r>
    </w:p>
    <w:p>
      <w:pPr>
        <w:spacing w:after="0" w:line="170"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Garrett, congratulations on your new opportunity! We believe you will greatly contribute to the Company and its future success. I look forward to your acceptance of this offer of employment by electronically acknowledging and signing this offer letter. If not previously accepted by you, this letter will expire at the close of business Monday, April 29</w:t>
      </w:r>
      <w:r>
        <w:rPr>
          <w:rFonts w:ascii="Arial" w:cs="Arial" w:eastAsia="Arial" w:hAnsi="Arial"/>
          <w:sz w:val="15"/>
          <w:szCs w:val="15"/>
          <w:color w:val="auto"/>
        </w:rPr>
        <w:t>th</w:t>
      </w:r>
      <w:r>
        <w:rPr>
          <w:rFonts w:ascii="Arial" w:cs="Arial" w:eastAsia="Arial" w:hAnsi="Arial"/>
          <w:sz w:val="18"/>
          <w:szCs w:val="18"/>
          <w:color w:val="auto"/>
        </w:rPr>
        <w:t>. Of course, please let us know if you have any questions!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David Roberts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Verra Mobility</w:t>
      </w:r>
    </w:p>
    <w:p>
      <w:pPr>
        <w:sectPr>
          <w:pgSz w:w="11900" w:h="16838" w:orient="portrait"/>
          <w:cols w:equalWidth="0" w:num="1">
            <w:col w:w="11420"/>
          </w:cols>
          <w:pgMar w:left="240" w:top="563" w:right="239" w:bottom="1440" w:gutter="0" w:footer="0" w:header="0"/>
        </w:sect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 Garrett Miller</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Employee: Garrett Miller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355917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9">
                      <a:extLst>
                        <a:ext uri="{28A0092B-C50C-407E-A947-70E740481C1C}"/>
                      </a:extLst>
                    </a:blip>
                    <a:srcRect/>
                    <a:stretch>
                      <a:fillRect/>
                    </a:stretch>
                  </pic:blipFill>
                  <pic:spPr bwMode="auto">
                    <a:xfrm>
                      <a:off x="0" y="0"/>
                      <a:ext cx="355917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color w:val="auto"/>
        </w:rPr>
        <w:t>April 24, 2019</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-130810</wp:posOffset>
            </wp:positionV>
            <wp:extent cx="355028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0">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ectPr>
          <w:pgSz w:w="11900" w:h="16838" w:orient="portrait"/>
          <w:cols w:equalWidth="0" w:num="2">
            <w:col w:w="5100" w:space="720"/>
            <w:col w:w="5600"/>
          </w:cols>
          <w:pgMar w:left="240" w:top="563" w:right="239" w:bottom="1440" w:gutter="0" w:footer="0" w:header="0"/>
          <w:type w:val="continuous"/>
        </w:sectPr>
      </w:pPr>
    </w:p>
    <w:bookmarkStart w:id="54" w:name="page55"/>
    <w:bookmarkEnd w:id="54"/>
    <w:p>
      <w:pPr>
        <w:jc w:val="right"/>
        <w:spacing w:after="0"/>
        <w:rPr>
          <w:sz w:val="20"/>
          <w:szCs w:val="20"/>
          <w:color w:val="auto"/>
        </w:rPr>
      </w:pPr>
      <w:r>
        <w:rPr>
          <w:rFonts w:ascii="Arial" w:cs="Arial" w:eastAsia="Arial" w:hAnsi="Arial"/>
          <w:sz w:val="18"/>
          <w:szCs w:val="18"/>
          <w:b w:val="1"/>
          <w:bCs w:val="1"/>
          <w:color w:val="auto"/>
        </w:rPr>
        <w:t>Exhibit 31.1</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Exchange Act Rules 13a-14(a) and 15d-14(a)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I, David Roberts, certify that:</w:t>
      </w:r>
    </w:p>
    <w:p>
      <w:pPr>
        <w:spacing w:after="0" w:line="185" w:lineRule="exact"/>
        <w:rPr>
          <w:sz w:val="20"/>
          <w:szCs w:val="20"/>
          <w:color w:val="auto"/>
        </w:rPr>
      </w:pPr>
    </w:p>
    <w:p>
      <w:pPr>
        <w:ind w:left="580" w:hanging="572"/>
        <w:spacing w:after="0"/>
        <w:tabs>
          <w:tab w:leader="none" w:pos="5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Verra Mobility Corporation;</w:t>
      </w:r>
    </w:p>
    <w:p>
      <w:pPr>
        <w:spacing w:after="0" w:line="184" w:lineRule="exact"/>
        <w:rPr>
          <w:rFonts w:ascii="Arial" w:cs="Arial" w:eastAsia="Arial" w:hAnsi="Arial"/>
          <w:sz w:val="18"/>
          <w:szCs w:val="18"/>
          <w:color w:val="auto"/>
        </w:rPr>
      </w:pPr>
    </w:p>
    <w:p>
      <w:pPr>
        <w:jc w:val="both"/>
        <w:ind w:left="580" w:right="20" w:hanging="572"/>
        <w:spacing w:after="0" w:line="264" w:lineRule="auto"/>
        <w:tabs>
          <w:tab w:leader="none" w:pos="5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Based on my knowledge, this Quarterly Report on Form 10-Q does not contain any untrue statement of a material fact or omit to state a material fact necessary to make the statements made, in light of the circumstances under which such statements were made, not misleading with respect to the period covered by this Quarterly Report on Form 10-Q;</w:t>
      </w:r>
    </w:p>
    <w:p>
      <w:pPr>
        <w:spacing w:after="0" w:line="140" w:lineRule="exact"/>
        <w:rPr>
          <w:rFonts w:ascii="Arial" w:cs="Arial" w:eastAsia="Arial" w:hAnsi="Arial"/>
          <w:sz w:val="18"/>
          <w:szCs w:val="18"/>
          <w:color w:val="auto"/>
        </w:rPr>
      </w:pPr>
    </w:p>
    <w:p>
      <w:pPr>
        <w:ind w:left="580" w:hanging="572"/>
        <w:spacing w:after="0" w:line="342" w:lineRule="auto"/>
        <w:tabs>
          <w:tab w:leader="none" w:pos="5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83" w:lineRule="exact"/>
        <w:rPr>
          <w:rFonts w:ascii="Arial" w:cs="Arial" w:eastAsia="Arial" w:hAnsi="Arial"/>
          <w:sz w:val="16"/>
          <w:szCs w:val="16"/>
          <w:color w:val="auto"/>
        </w:rPr>
      </w:pPr>
    </w:p>
    <w:p>
      <w:pPr>
        <w:jc w:val="both"/>
        <w:ind w:left="580" w:hanging="572"/>
        <w:spacing w:after="0" w:line="264" w:lineRule="auto"/>
        <w:tabs>
          <w:tab w:leader="none" w:pos="5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jc w:val="both"/>
        <w:ind w:left="1140" w:hanging="565"/>
        <w:spacing w:after="0" w:line="264" w:lineRule="auto"/>
        <w:tabs>
          <w:tab w:leader="none" w:pos="114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on Form 10-Q is being prepared;</w:t>
      </w:r>
    </w:p>
    <w:p>
      <w:pPr>
        <w:spacing w:after="0" w:line="73" w:lineRule="exact"/>
        <w:rPr>
          <w:rFonts w:ascii="Arial" w:cs="Arial" w:eastAsia="Arial" w:hAnsi="Arial"/>
          <w:sz w:val="18"/>
          <w:szCs w:val="18"/>
          <w:color w:val="auto"/>
        </w:rPr>
      </w:pPr>
    </w:p>
    <w:p>
      <w:pPr>
        <w:jc w:val="both"/>
        <w:ind w:left="1140" w:hanging="565"/>
        <w:spacing w:after="0" w:line="264" w:lineRule="auto"/>
        <w:tabs>
          <w:tab w:leader="none" w:pos="114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1140" w:hanging="565"/>
        <w:spacing w:after="0" w:line="264" w:lineRule="auto"/>
        <w:tabs>
          <w:tab w:leader="none" w:pos="1140" w:val="left"/>
        </w:tabs>
        <w:numPr>
          <w:ilvl w:val="1"/>
          <w:numId w:val="3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Quarterly Report on Form 10-Q our conclusions about the effectiveness of the disclosure controls and procedures, as of the end of the period covered by this Quarterly Report on Form 10-Q based on such evaluation; and</w:t>
      </w:r>
    </w:p>
    <w:p>
      <w:pPr>
        <w:spacing w:after="0" w:line="73" w:lineRule="exact"/>
        <w:rPr>
          <w:rFonts w:ascii="Arial" w:cs="Arial" w:eastAsia="Arial" w:hAnsi="Arial"/>
          <w:sz w:val="18"/>
          <w:szCs w:val="18"/>
          <w:color w:val="auto"/>
        </w:rPr>
      </w:pPr>
    </w:p>
    <w:p>
      <w:pPr>
        <w:jc w:val="both"/>
        <w:ind w:left="1140" w:hanging="565"/>
        <w:spacing w:after="0" w:line="264" w:lineRule="auto"/>
        <w:tabs>
          <w:tab w:leader="none" w:pos="114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Disclosed in this Quarterly Report on Form 10-Q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rFonts w:ascii="Arial" w:cs="Arial" w:eastAsia="Arial" w:hAnsi="Arial"/>
          <w:sz w:val="18"/>
          <w:szCs w:val="18"/>
          <w:color w:val="auto"/>
        </w:rPr>
      </w:pPr>
    </w:p>
    <w:p>
      <w:pPr>
        <w:ind w:left="580" w:hanging="572"/>
        <w:spacing w:after="0" w:line="308" w:lineRule="auto"/>
        <w:tabs>
          <w:tab w:leader="none" w:pos="58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140" w:hanging="565"/>
        <w:spacing w:after="0" w:line="308" w:lineRule="auto"/>
        <w:tabs>
          <w:tab w:leader="none" w:pos="1140" w:val="left"/>
        </w:tabs>
        <w:numPr>
          <w:ilvl w:val="1"/>
          <w:numId w:val="3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1140" w:hanging="565"/>
        <w:spacing w:after="0" w:line="277" w:lineRule="auto"/>
        <w:tabs>
          <w:tab w:leader="none" w:pos="1140" w:val="left"/>
        </w:tabs>
        <w:numPr>
          <w:ilvl w:val="1"/>
          <w:numId w:val="3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p>
      <w:pPr>
        <w:spacing w:after="0"/>
        <w:tabs>
          <w:tab w:leader="none" w:pos="6840" w:val="left"/>
          <w:tab w:leader="none" w:pos="7300" w:val="left"/>
        </w:tabs>
        <w:rPr>
          <w:sz w:val="20"/>
          <w:szCs w:val="20"/>
          <w:color w:val="auto"/>
        </w:rPr>
      </w:pPr>
      <w:r>
        <w:rPr>
          <w:rFonts w:ascii="Arial" w:cs="Arial" w:eastAsia="Arial" w:hAnsi="Arial"/>
          <w:sz w:val="18"/>
          <w:szCs w:val="18"/>
          <w:color w:val="auto"/>
        </w:rPr>
        <w:t>Dated: August 6,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David Roberts</w:t>
      </w:r>
    </w:p>
    <w:p>
      <w:pPr>
        <w:spacing w:after="0" w:line="50"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David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-130175</wp:posOffset>
            </wp:positionV>
            <wp:extent cx="260731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1">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16"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351" w:right="239" w:bottom="1440" w:gutter="0" w:footer="0" w:header="0"/>
        </w:sectPr>
      </w:pPr>
    </w:p>
    <w:bookmarkStart w:id="55" w:name="page56"/>
    <w:bookmarkEnd w:id="55"/>
    <w:p>
      <w:pPr>
        <w:jc w:val="right"/>
        <w:spacing w:after="0"/>
        <w:rPr>
          <w:sz w:val="20"/>
          <w:szCs w:val="20"/>
          <w:color w:val="auto"/>
        </w:rPr>
      </w:pPr>
      <w:r>
        <w:rPr>
          <w:rFonts w:ascii="Arial" w:cs="Arial" w:eastAsia="Arial" w:hAnsi="Arial"/>
          <w:sz w:val="18"/>
          <w:szCs w:val="18"/>
          <w:b w:val="1"/>
          <w:bCs w:val="1"/>
          <w:color w:val="auto"/>
        </w:rPr>
        <w:t>Exhibit 31.2</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Exchange Act Rules 13a-14(a) and 15d-14(a)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I, Patricia Chiodo, certify that:</w:t>
      </w:r>
    </w:p>
    <w:p>
      <w:pPr>
        <w:spacing w:after="0" w:line="185" w:lineRule="exact"/>
        <w:rPr>
          <w:sz w:val="20"/>
          <w:szCs w:val="20"/>
          <w:color w:val="auto"/>
        </w:rPr>
      </w:pPr>
    </w:p>
    <w:p>
      <w:pPr>
        <w:ind w:left="580" w:hanging="572"/>
        <w:spacing w:after="0"/>
        <w:tabs>
          <w:tab w:leader="none" w:pos="5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Verra Mobility Corporation;</w:t>
      </w:r>
    </w:p>
    <w:p>
      <w:pPr>
        <w:spacing w:after="0" w:line="184" w:lineRule="exact"/>
        <w:rPr>
          <w:rFonts w:ascii="Arial" w:cs="Arial" w:eastAsia="Arial" w:hAnsi="Arial"/>
          <w:sz w:val="18"/>
          <w:szCs w:val="18"/>
          <w:color w:val="auto"/>
        </w:rPr>
      </w:pPr>
    </w:p>
    <w:p>
      <w:pPr>
        <w:jc w:val="both"/>
        <w:ind w:left="580" w:right="20" w:hanging="572"/>
        <w:spacing w:after="0" w:line="264" w:lineRule="auto"/>
        <w:tabs>
          <w:tab w:leader="none" w:pos="5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Based on my knowledge, this Quarterly Report on Form 10-Q does not contain any untrue statement of a material fact or omit to state a material fact necessary to make the statements made, in light of the circumstances under which such statements were made, not misleading with respect to the period covered by this Quarterly Report on Form 10-Q;</w:t>
      </w:r>
    </w:p>
    <w:p>
      <w:pPr>
        <w:spacing w:after="0" w:line="140" w:lineRule="exact"/>
        <w:rPr>
          <w:rFonts w:ascii="Arial" w:cs="Arial" w:eastAsia="Arial" w:hAnsi="Arial"/>
          <w:sz w:val="18"/>
          <w:szCs w:val="18"/>
          <w:color w:val="auto"/>
        </w:rPr>
      </w:pPr>
    </w:p>
    <w:p>
      <w:pPr>
        <w:ind w:left="580" w:hanging="572"/>
        <w:spacing w:after="0" w:line="342" w:lineRule="auto"/>
        <w:tabs>
          <w:tab w:leader="none" w:pos="5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83" w:lineRule="exact"/>
        <w:rPr>
          <w:rFonts w:ascii="Arial" w:cs="Arial" w:eastAsia="Arial" w:hAnsi="Arial"/>
          <w:sz w:val="16"/>
          <w:szCs w:val="16"/>
          <w:color w:val="auto"/>
        </w:rPr>
      </w:pPr>
    </w:p>
    <w:p>
      <w:pPr>
        <w:jc w:val="both"/>
        <w:ind w:left="580" w:hanging="572"/>
        <w:spacing w:after="0" w:line="264" w:lineRule="auto"/>
        <w:tabs>
          <w:tab w:leader="none" w:pos="5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jc w:val="both"/>
        <w:ind w:left="1140" w:hanging="565"/>
        <w:spacing w:after="0" w:line="264" w:lineRule="auto"/>
        <w:tabs>
          <w:tab w:leader="none" w:pos="1140" w:val="left"/>
        </w:tabs>
        <w:numPr>
          <w:ilvl w:val="1"/>
          <w:numId w:val="3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on Form 10-Q is being prepared;</w:t>
      </w:r>
    </w:p>
    <w:p>
      <w:pPr>
        <w:spacing w:after="0" w:line="73" w:lineRule="exact"/>
        <w:rPr>
          <w:rFonts w:ascii="Arial" w:cs="Arial" w:eastAsia="Arial" w:hAnsi="Arial"/>
          <w:sz w:val="18"/>
          <w:szCs w:val="18"/>
          <w:color w:val="auto"/>
        </w:rPr>
      </w:pPr>
    </w:p>
    <w:p>
      <w:pPr>
        <w:jc w:val="both"/>
        <w:ind w:left="1140" w:hanging="565"/>
        <w:spacing w:after="0" w:line="264" w:lineRule="auto"/>
        <w:tabs>
          <w:tab w:leader="none" w:pos="1140" w:val="left"/>
        </w:tabs>
        <w:numPr>
          <w:ilvl w:val="1"/>
          <w:numId w:val="3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1140" w:hanging="565"/>
        <w:spacing w:after="0" w:line="264" w:lineRule="auto"/>
        <w:tabs>
          <w:tab w:leader="none" w:pos="1140" w:val="left"/>
        </w:tabs>
        <w:numPr>
          <w:ilvl w:val="1"/>
          <w:numId w:val="3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Quarterly Report on Form 10-Q our conclusions about the effectiveness of the disclosure controls and procedures, as of the end of the period covered by this Quarterly Report on Form 10-Q based on such evaluation; and</w:t>
      </w:r>
    </w:p>
    <w:p>
      <w:pPr>
        <w:spacing w:after="0" w:line="73" w:lineRule="exact"/>
        <w:rPr>
          <w:rFonts w:ascii="Arial" w:cs="Arial" w:eastAsia="Arial" w:hAnsi="Arial"/>
          <w:sz w:val="18"/>
          <w:szCs w:val="18"/>
          <w:color w:val="auto"/>
        </w:rPr>
      </w:pPr>
    </w:p>
    <w:p>
      <w:pPr>
        <w:jc w:val="both"/>
        <w:ind w:left="1140" w:hanging="565"/>
        <w:spacing w:after="0" w:line="264" w:lineRule="auto"/>
        <w:tabs>
          <w:tab w:leader="none" w:pos="1140" w:val="left"/>
        </w:tabs>
        <w:numPr>
          <w:ilvl w:val="1"/>
          <w:numId w:val="3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rFonts w:ascii="Arial" w:cs="Arial" w:eastAsia="Arial" w:hAnsi="Arial"/>
          <w:sz w:val="18"/>
          <w:szCs w:val="18"/>
          <w:color w:val="auto"/>
        </w:rPr>
      </w:pPr>
    </w:p>
    <w:p>
      <w:pPr>
        <w:ind w:left="580" w:hanging="572"/>
        <w:spacing w:after="0" w:line="308" w:lineRule="auto"/>
        <w:tabs>
          <w:tab w:leader="none" w:pos="58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140" w:hanging="565"/>
        <w:spacing w:after="0" w:line="308" w:lineRule="auto"/>
        <w:tabs>
          <w:tab w:leader="none" w:pos="1140" w:val="left"/>
        </w:tabs>
        <w:numPr>
          <w:ilvl w:val="1"/>
          <w:numId w:val="3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1140" w:hanging="565"/>
        <w:spacing w:after="0" w:line="277" w:lineRule="auto"/>
        <w:tabs>
          <w:tab w:leader="none" w:pos="1140" w:val="left"/>
        </w:tabs>
        <w:numPr>
          <w:ilvl w:val="1"/>
          <w:numId w:val="3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p>
      <w:pPr>
        <w:spacing w:after="0"/>
        <w:tabs>
          <w:tab w:leader="none" w:pos="6840" w:val="left"/>
          <w:tab w:leader="none" w:pos="7300" w:val="left"/>
        </w:tabs>
        <w:rPr>
          <w:sz w:val="20"/>
          <w:szCs w:val="20"/>
          <w:color w:val="auto"/>
        </w:rPr>
      </w:pPr>
      <w:r>
        <w:rPr>
          <w:rFonts w:ascii="Arial" w:cs="Arial" w:eastAsia="Arial" w:hAnsi="Arial"/>
          <w:sz w:val="18"/>
          <w:szCs w:val="18"/>
          <w:color w:val="auto"/>
        </w:rPr>
        <w:t>Dated: August 6,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Patricia Chiodo</w:t>
      </w:r>
    </w:p>
    <w:p>
      <w:pPr>
        <w:spacing w:after="0" w:line="50"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Patricia Chiodo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-130175</wp:posOffset>
            </wp:positionV>
            <wp:extent cx="260731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2">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16"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351" w:right="239" w:bottom="1440" w:gutter="0" w:footer="0" w:header="0"/>
        </w:sectPr>
      </w:pPr>
    </w:p>
    <w:bookmarkStart w:id="56" w:name="page57"/>
    <w:bookmarkEnd w:id="56"/>
    <w:p>
      <w:pPr>
        <w:jc w:val="right"/>
        <w:spacing w:after="0"/>
        <w:rPr>
          <w:sz w:val="20"/>
          <w:szCs w:val="20"/>
          <w:color w:val="auto"/>
        </w:rPr>
      </w:pPr>
      <w:r>
        <w:rPr>
          <w:rFonts w:ascii="Arial" w:cs="Arial" w:eastAsia="Arial" w:hAnsi="Arial"/>
          <w:sz w:val="18"/>
          <w:szCs w:val="18"/>
          <w:b w:val="1"/>
          <w:bCs w:val="1"/>
          <w:color w:val="auto"/>
        </w:rPr>
        <w:t>Exhibit 32.1</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VERRA MOBILITY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 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18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periodic report of Verra Mobility Corporation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on Form 10-Q for the period ended June 30, 2019 as filed with the Securities and Exchange Commission (the “</w:t>
      </w:r>
      <w:r>
        <w:rPr>
          <w:rFonts w:ascii="Arial" w:cs="Arial" w:eastAsia="Arial" w:hAnsi="Arial"/>
          <w:sz w:val="17"/>
          <w:szCs w:val="17"/>
          <w:b w:val="1"/>
          <w:bCs w:val="1"/>
          <w:i w:val="1"/>
          <w:iCs w:val="1"/>
          <w:color w:val="auto"/>
        </w:rPr>
        <w:t>Report</w:t>
      </w:r>
      <w:r>
        <w:rPr>
          <w:rFonts w:ascii="Arial" w:cs="Arial" w:eastAsia="Arial" w:hAnsi="Arial"/>
          <w:sz w:val="17"/>
          <w:szCs w:val="17"/>
          <w:color w:val="auto"/>
        </w:rPr>
        <w:t>”), I, David Roberts, President and Chief Executive Officer of the Company, hereby certify as of the date hereof, solely for purposes of Title 18, Chapter 63, Section 1350 of the United States Code, that to the best of my knowledge:</w:t>
      </w:r>
    </w:p>
    <w:p>
      <w:pPr>
        <w:spacing w:after="0" w:line="57" w:lineRule="exact"/>
        <w:rPr>
          <w:sz w:val="20"/>
          <w:szCs w:val="20"/>
          <w:color w:val="auto"/>
        </w:rPr>
      </w:pPr>
    </w:p>
    <w:p>
      <w:pPr>
        <w:ind w:left="580" w:hanging="572"/>
        <w:spacing w:after="0"/>
        <w:tabs>
          <w:tab w:leader="none" w:pos="5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as applicable, of the Securities Exchange Act of 1934, and</w:t>
      </w:r>
    </w:p>
    <w:p>
      <w:pPr>
        <w:spacing w:after="0" w:line="117" w:lineRule="exact"/>
        <w:rPr>
          <w:rFonts w:ascii="Arial" w:cs="Arial" w:eastAsia="Arial" w:hAnsi="Arial"/>
          <w:sz w:val="18"/>
          <w:szCs w:val="18"/>
          <w:color w:val="auto"/>
        </w:rPr>
      </w:pPr>
    </w:p>
    <w:p>
      <w:pPr>
        <w:ind w:left="580" w:right="20" w:hanging="572"/>
        <w:spacing w:after="0" w:line="277" w:lineRule="auto"/>
        <w:tabs>
          <w:tab w:leader="none" w:pos="5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at the dates and for the periods indicated.</w:t>
      </w:r>
    </w:p>
    <w:p>
      <w:pPr>
        <w:spacing w:after="0" w:line="129" w:lineRule="exact"/>
        <w:rPr>
          <w:rFonts w:ascii="Arial" w:cs="Arial" w:eastAsia="Arial" w:hAnsi="Arial"/>
          <w:sz w:val="18"/>
          <w:szCs w:val="18"/>
          <w:color w:val="auto"/>
        </w:rPr>
      </w:pPr>
    </w:p>
    <w:p>
      <w:pPr>
        <w:ind w:left="580"/>
        <w:spacing w:after="0"/>
        <w:rPr>
          <w:rFonts w:ascii="Arial" w:cs="Arial" w:eastAsia="Arial" w:hAnsi="Arial"/>
          <w:sz w:val="18"/>
          <w:szCs w:val="18"/>
          <w:color w:val="auto"/>
        </w:rPr>
      </w:pPr>
      <w:r>
        <w:rPr>
          <w:rFonts w:ascii="Arial" w:cs="Arial" w:eastAsia="Arial" w:hAnsi="Arial"/>
          <w:sz w:val="18"/>
          <w:szCs w:val="18"/>
          <w:color w:val="auto"/>
        </w:rPr>
        <w:t>This Certification has not been, and shall not be deemed, “filed” with the Securities and Exchange Commission.</w:t>
      </w:r>
    </w:p>
    <w:p>
      <w:pPr>
        <w:spacing w:after="0" w:line="252" w:lineRule="exact"/>
        <w:rPr>
          <w:sz w:val="20"/>
          <w:szCs w:val="20"/>
          <w:color w:val="auto"/>
        </w:rPr>
      </w:pPr>
    </w:p>
    <w:p>
      <w:pPr>
        <w:spacing w:after="0"/>
        <w:tabs>
          <w:tab w:leader="none" w:pos="6840" w:val="left"/>
          <w:tab w:leader="none" w:pos="7300" w:val="left"/>
        </w:tabs>
        <w:rPr>
          <w:sz w:val="20"/>
          <w:szCs w:val="20"/>
          <w:color w:val="auto"/>
        </w:rPr>
      </w:pPr>
      <w:r>
        <w:rPr>
          <w:rFonts w:ascii="Arial" w:cs="Arial" w:eastAsia="Arial" w:hAnsi="Arial"/>
          <w:sz w:val="18"/>
          <w:szCs w:val="18"/>
          <w:color w:val="auto"/>
        </w:rPr>
        <w:t>Dated: August 6,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David Roberts</w:t>
      </w:r>
    </w:p>
    <w:p>
      <w:pPr>
        <w:spacing w:after="0" w:line="50"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David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-130175</wp:posOffset>
            </wp:positionV>
            <wp:extent cx="260731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3">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16"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121" w:right="239" w:bottom="1440" w:gutter="0" w:footer="0" w:header="0"/>
        </w:sectPr>
      </w:pPr>
    </w:p>
    <w:bookmarkStart w:id="57" w:name="page58"/>
    <w:bookmarkEnd w:id="57"/>
    <w:p>
      <w:pPr>
        <w:jc w:val="right"/>
        <w:spacing w:after="0"/>
        <w:rPr>
          <w:sz w:val="20"/>
          <w:szCs w:val="20"/>
          <w:color w:val="auto"/>
        </w:rPr>
      </w:pPr>
      <w:r>
        <w:rPr>
          <w:rFonts w:ascii="Arial" w:cs="Arial" w:eastAsia="Arial" w:hAnsi="Arial"/>
          <w:sz w:val="18"/>
          <w:szCs w:val="18"/>
          <w:b w:val="1"/>
          <w:bCs w:val="1"/>
          <w:color w:val="auto"/>
        </w:rPr>
        <w:t>Exhibit 32.2</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VERRA MOBILITY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 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18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connection with the periodic report of Verra Mobility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on Form 10-Q for the period ended June 30, 2019 as filed with the Securities and Exchange Commission (the “</w:t>
      </w:r>
      <w:r>
        <w:rPr>
          <w:rFonts w:ascii="Arial" w:cs="Arial" w:eastAsia="Arial" w:hAnsi="Arial"/>
          <w:sz w:val="18"/>
          <w:szCs w:val="18"/>
          <w:b w:val="1"/>
          <w:bCs w:val="1"/>
          <w:i w:val="1"/>
          <w:iCs w:val="1"/>
          <w:color w:val="auto"/>
        </w:rPr>
        <w:t>Report</w:t>
      </w:r>
      <w:r>
        <w:rPr>
          <w:rFonts w:ascii="Arial" w:cs="Arial" w:eastAsia="Arial" w:hAnsi="Arial"/>
          <w:sz w:val="18"/>
          <w:szCs w:val="18"/>
          <w:color w:val="auto"/>
        </w:rPr>
        <w:t>”), I, Patricia Chiodo, Chief Financial Officer of the Company, hereby certify as of the date hereof, solely for purposes of Title 18, Chapter 63, Section 1350 of the United States Code, that to the best of my knowledge:</w:t>
      </w:r>
    </w:p>
    <w:p>
      <w:pPr>
        <w:spacing w:after="0" w:line="73" w:lineRule="exact"/>
        <w:rPr>
          <w:sz w:val="20"/>
          <w:szCs w:val="20"/>
          <w:color w:val="auto"/>
        </w:rPr>
      </w:pPr>
    </w:p>
    <w:p>
      <w:pPr>
        <w:ind w:left="580" w:hanging="572"/>
        <w:spacing w:after="0"/>
        <w:tabs>
          <w:tab w:leader="none" w:pos="5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as applicable, of the Securities Exchange Act of 1934, and</w:t>
      </w:r>
    </w:p>
    <w:p>
      <w:pPr>
        <w:spacing w:after="0" w:line="117" w:lineRule="exact"/>
        <w:rPr>
          <w:rFonts w:ascii="Arial" w:cs="Arial" w:eastAsia="Arial" w:hAnsi="Arial"/>
          <w:sz w:val="18"/>
          <w:szCs w:val="18"/>
          <w:color w:val="auto"/>
        </w:rPr>
      </w:pPr>
    </w:p>
    <w:p>
      <w:pPr>
        <w:ind w:left="580" w:right="20" w:hanging="572"/>
        <w:spacing w:after="0" w:line="277" w:lineRule="auto"/>
        <w:tabs>
          <w:tab w:leader="none" w:pos="5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at the dates and for the periods indicated.</w:t>
      </w:r>
    </w:p>
    <w:p>
      <w:pPr>
        <w:spacing w:after="0" w:line="129" w:lineRule="exact"/>
        <w:rPr>
          <w:rFonts w:ascii="Arial" w:cs="Arial" w:eastAsia="Arial" w:hAnsi="Arial"/>
          <w:sz w:val="18"/>
          <w:szCs w:val="18"/>
          <w:color w:val="auto"/>
        </w:rPr>
      </w:pPr>
    </w:p>
    <w:p>
      <w:pPr>
        <w:ind w:left="580"/>
        <w:spacing w:after="0"/>
        <w:rPr>
          <w:rFonts w:ascii="Arial" w:cs="Arial" w:eastAsia="Arial" w:hAnsi="Arial"/>
          <w:sz w:val="18"/>
          <w:szCs w:val="18"/>
          <w:color w:val="auto"/>
        </w:rPr>
      </w:pPr>
      <w:r>
        <w:rPr>
          <w:rFonts w:ascii="Arial" w:cs="Arial" w:eastAsia="Arial" w:hAnsi="Arial"/>
          <w:sz w:val="18"/>
          <w:szCs w:val="18"/>
          <w:color w:val="auto"/>
        </w:rPr>
        <w:t>This Certification has not been, and shall not be deemed, “filed” with the Securities and Exchange Commission.</w:t>
      </w:r>
    </w:p>
    <w:p>
      <w:pPr>
        <w:spacing w:after="0" w:line="252" w:lineRule="exact"/>
        <w:rPr>
          <w:sz w:val="20"/>
          <w:szCs w:val="20"/>
          <w:color w:val="auto"/>
        </w:rPr>
      </w:pPr>
    </w:p>
    <w:p>
      <w:pPr>
        <w:spacing w:after="0"/>
        <w:tabs>
          <w:tab w:leader="none" w:pos="6840" w:val="left"/>
          <w:tab w:leader="none" w:pos="7300" w:val="left"/>
        </w:tabs>
        <w:rPr>
          <w:sz w:val="20"/>
          <w:szCs w:val="20"/>
          <w:color w:val="auto"/>
        </w:rPr>
      </w:pPr>
      <w:r>
        <w:rPr>
          <w:rFonts w:ascii="Arial" w:cs="Arial" w:eastAsia="Arial" w:hAnsi="Arial"/>
          <w:sz w:val="18"/>
          <w:szCs w:val="18"/>
          <w:color w:val="auto"/>
        </w:rPr>
        <w:t>Dated: August 6,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Patricia Chiodo</w:t>
      </w:r>
    </w:p>
    <w:p>
      <w:pPr>
        <w:spacing w:after="0" w:line="50"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Patricia Chiodo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-130175</wp:posOffset>
            </wp:positionV>
            <wp:extent cx="260731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4">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16"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9B500D"/>
    <w:multiLevelType w:val="hybridMultilevel"/>
    <w:lvl w:ilvl="0">
      <w:lvlJc w:val="left"/>
      <w:lvlText w:val="☒"/>
      <w:numFmt w:val="bullet"/>
      <w:start w:val="1"/>
    </w:lvl>
  </w:abstractNum>
  <w:abstractNum w:abstractNumId="1">
    <w:nsid w:val="431BD7B7"/>
    <w:multiLevelType w:val="hybridMultilevel"/>
    <w:lvl w:ilvl="0">
      <w:lvlJc w:val="left"/>
      <w:lvlText w:val="☐"/>
      <w:numFmt w:val="bullet"/>
      <w:start w:val="1"/>
    </w:lvl>
  </w:abstractNum>
  <w:abstractNum w:abstractNumId="2">
    <w:nsid w:val="3F2DBA31"/>
    <w:multiLevelType w:val="hybridMultilevel"/>
    <w:lvl w:ilvl="0">
      <w:lvlJc w:val="left"/>
      <w:lvlText w:val="%1."/>
      <w:numFmt w:val="decimal"/>
      <w:start w:val="1"/>
    </w:lvl>
  </w:abstractNum>
  <w:abstractNum w:abstractNumId="3">
    <w:nsid w:val="7C83E458"/>
    <w:multiLevelType w:val="hybridMultilevel"/>
    <w:lvl w:ilvl="0">
      <w:lvlJc w:val="left"/>
      <w:lvlText w:val="%1."/>
      <w:numFmt w:val="decimal"/>
      <w:start w:val="2"/>
    </w:lvl>
  </w:abstractNum>
  <w:abstractNum w:abstractNumId="4">
    <w:nsid w:val="257130A3"/>
    <w:multiLevelType w:val="hybridMultilevel"/>
    <w:lvl w:ilvl="0">
      <w:lvlJc w:val="left"/>
      <w:lvlText w:val="%1)"/>
      <w:numFmt w:val="lowerLetter"/>
      <w:start w:val="1"/>
    </w:lvl>
    <w:lvl w:ilvl="1">
      <w:lvlJc w:val="left"/>
      <w:lvlText w:val="•"/>
      <w:numFmt w:val="bullet"/>
      <w:start w:val="1"/>
    </w:lvl>
  </w:abstractNum>
  <w:abstractNum w:abstractNumId="5">
    <w:nsid w:val="62BBD95A"/>
    <w:multiLevelType w:val="hybridMultilevel"/>
    <w:lvl w:ilvl="0">
      <w:lvlJc w:val="left"/>
      <w:lvlText w:val="•"/>
      <w:numFmt w:val="bullet"/>
      <w:start w:val="1"/>
    </w:lvl>
  </w:abstractNum>
  <w:abstractNum w:abstractNumId="6">
    <w:nsid w:val="436C6125"/>
    <w:multiLevelType w:val="hybridMultilevel"/>
    <w:lvl w:ilvl="0">
      <w:lvlJc w:val="left"/>
      <w:lvlText w:val="%1."/>
      <w:numFmt w:val="decimal"/>
      <w:start w:val="3"/>
    </w:lvl>
  </w:abstractNum>
  <w:abstractNum w:abstractNumId="7">
    <w:nsid w:val="628C895D"/>
    <w:multiLevelType w:val="hybridMultilevel"/>
    <w:lvl w:ilvl="0">
      <w:lvlJc w:val="left"/>
      <w:lvlText w:val="%1."/>
      <w:numFmt w:val="decimal"/>
      <w:start w:val="5"/>
    </w:lvl>
  </w:abstractNum>
  <w:abstractNum w:abstractNumId="8">
    <w:nsid w:val="333AB105"/>
    <w:multiLevelType w:val="hybridMultilevel"/>
    <w:lvl w:ilvl="0">
      <w:lvlJc w:val="left"/>
      <w:lvlText w:val="%1."/>
      <w:numFmt w:val="decimal"/>
      <w:start w:val="6"/>
    </w:lvl>
  </w:abstractNum>
  <w:abstractNum w:abstractNumId="9">
    <w:nsid w:val="721DA317"/>
    <w:multiLevelType w:val="hybridMultilevel"/>
    <w:lvl w:ilvl="0">
      <w:lvlJc w:val="left"/>
      <w:lvlText w:val="%1."/>
      <w:numFmt w:val="decimal"/>
      <w:start w:val="7"/>
    </w:lvl>
  </w:abstractNum>
  <w:abstractNum w:abstractNumId="10">
    <w:nsid w:val="2443A858"/>
    <w:multiLevelType w:val="hybridMultilevel"/>
    <w:lvl w:ilvl="0">
      <w:lvlJc w:val="left"/>
      <w:lvlText w:val="%1."/>
      <w:numFmt w:val="decimal"/>
      <w:start w:val="9"/>
    </w:lvl>
  </w:abstractNum>
  <w:abstractNum w:abstractNumId="11">
    <w:nsid w:val="2D1D5AE9"/>
    <w:multiLevelType w:val="hybridMultilevel"/>
    <w:lvl w:ilvl="0">
      <w:lvlJc w:val="left"/>
      <w:lvlText w:val="%1."/>
      <w:numFmt w:val="decimal"/>
      <w:start w:val="10"/>
    </w:lvl>
  </w:abstractNum>
  <w:abstractNum w:abstractNumId="12">
    <w:nsid w:val="6763845E"/>
    <w:multiLevelType w:val="hybridMultilevel"/>
    <w:lvl w:ilvl="0">
      <w:lvlJc w:val="left"/>
      <w:lvlText w:val="(%1)"/>
      <w:numFmt w:val="decimal"/>
      <w:start w:val="1"/>
    </w:lvl>
  </w:abstractNum>
  <w:abstractNum w:abstractNumId="13">
    <w:nsid w:val="75A2A8D4"/>
    <w:multiLevelType w:val="hybridMultilevel"/>
    <w:lvl w:ilvl="0">
      <w:lvlJc w:val="left"/>
      <w:lvlText w:val="%1."/>
      <w:numFmt w:val="decimal"/>
      <w:start w:val="11"/>
    </w:lvl>
  </w:abstractNum>
  <w:abstractNum w:abstractNumId="14">
    <w:nsid w:val="8EDBDAB"/>
    <w:multiLevelType w:val="hybridMultilevel"/>
    <w:lvl w:ilvl="0">
      <w:lvlJc w:val="left"/>
      <w:lvlText w:val="%1."/>
      <w:numFmt w:val="decimal"/>
      <w:start w:val="12"/>
    </w:lvl>
  </w:abstractNum>
  <w:abstractNum w:abstractNumId="15">
    <w:nsid w:val="79838CB2"/>
    <w:multiLevelType w:val="hybridMultilevel"/>
    <w:lvl w:ilvl="0">
      <w:lvlJc w:val="left"/>
      <w:lvlText w:val="%1."/>
      <w:numFmt w:val="decimal"/>
      <w:start w:val="13"/>
    </w:lvl>
  </w:abstractNum>
  <w:abstractNum w:abstractNumId="16">
    <w:nsid w:val="4353D0CD"/>
    <w:multiLevelType w:val="hybridMultilevel"/>
    <w:lvl w:ilvl="0">
      <w:lvlJc w:val="left"/>
      <w:lvlText w:val="•"/>
      <w:numFmt w:val="bullet"/>
      <w:start w:val="1"/>
    </w:lvl>
  </w:abstractNum>
  <w:abstractNum w:abstractNumId="17">
    <w:nsid w:val="B03E0C6"/>
    <w:multiLevelType w:val="hybridMultilevel"/>
    <w:lvl w:ilvl="0">
      <w:lvlJc w:val="left"/>
      <w:lvlText w:val="%1."/>
      <w:numFmt w:val="decimal"/>
      <w:start w:val="14"/>
    </w:lvl>
  </w:abstractNum>
  <w:abstractNum w:abstractNumId="18">
    <w:nsid w:val="189A769B"/>
    <w:multiLevelType w:val="hybridMultilevel"/>
    <w:lvl w:ilvl="0">
      <w:lvlJc w:val="left"/>
      <w:lvlText w:val="%1."/>
      <w:numFmt w:val="decimal"/>
      <w:start w:val="15"/>
    </w:lvl>
  </w:abstractNum>
  <w:abstractNum w:abstractNumId="19">
    <w:nsid w:val="54E49EB4"/>
    <w:multiLevelType w:val="hybridMultilevel"/>
    <w:lvl w:ilvl="0">
      <w:lvlJc w:val="left"/>
      <w:lvlText w:val="%1."/>
      <w:numFmt w:val="decimal"/>
      <w:start w:val="16"/>
    </w:lvl>
  </w:abstractNum>
  <w:abstractNum w:abstractNumId="20">
    <w:nsid w:val="71F32454"/>
    <w:multiLevelType w:val="hybridMultilevel"/>
    <w:lvl w:ilvl="0">
      <w:lvlJc w:val="left"/>
      <w:lvlText w:val="•"/>
      <w:numFmt w:val="bullet"/>
      <w:start w:val="1"/>
    </w:lvl>
  </w:abstractNum>
  <w:abstractNum w:abstractNumId="21">
    <w:nsid w:val="2CA88611"/>
    <w:multiLevelType w:val="hybridMultilevel"/>
    <w:lvl w:ilvl="0">
      <w:lvlJc w:val="left"/>
      <w:lvlText w:val="•"/>
      <w:numFmt w:val="bullet"/>
      <w:start w:val="1"/>
    </w:lvl>
  </w:abstractNum>
  <w:abstractNum w:abstractNumId="22">
    <w:nsid w:val="836C40E"/>
    <w:multiLevelType w:val="hybridMultilevel"/>
    <w:lvl w:ilvl="0">
      <w:lvlJc w:val="left"/>
      <w:lvlText w:val="(%1)"/>
      <w:numFmt w:val="decimal"/>
      <w:start w:val="1"/>
    </w:lvl>
  </w:abstractNum>
  <w:abstractNum w:abstractNumId="23">
    <w:nsid w:val="2901D82"/>
    <w:multiLevelType w:val="hybridMultilevel"/>
    <w:lvl w:ilvl="0">
      <w:lvlJc w:val="left"/>
      <w:lvlText w:val="(%1)"/>
      <w:numFmt w:val="decimal"/>
      <w:start w:val="1"/>
    </w:lvl>
  </w:abstractNum>
  <w:abstractNum w:abstractNumId="24">
    <w:nsid w:val="3A95F874"/>
    <w:multiLevelType w:val="hybridMultilevel"/>
    <w:lvl w:ilvl="0">
      <w:lvlJc w:val="left"/>
      <w:lvlText w:val="•"/>
      <w:numFmt w:val="bullet"/>
      <w:start w:val="1"/>
    </w:lvl>
  </w:abstractNum>
  <w:abstractNum w:abstractNumId="25">
    <w:nsid w:val="8138641"/>
    <w:multiLevelType w:val="hybridMultilevel"/>
    <w:lvl w:ilvl="0">
      <w:lvlJc w:val="left"/>
      <w:lvlText w:val="•"/>
      <w:numFmt w:val="bullet"/>
      <w:start w:val="1"/>
    </w:lvl>
  </w:abstractNum>
  <w:abstractNum w:abstractNumId="26">
    <w:nsid w:val="1E7FF521"/>
    <w:multiLevelType w:val="hybridMultilevel"/>
    <w:lvl w:ilvl="0">
      <w:lvlJc w:val="left"/>
      <w:lvlText w:val="(%1)"/>
      <w:numFmt w:val="lowerRoman"/>
      <w:start w:val="1"/>
    </w:lvl>
  </w:abstractNum>
  <w:abstractNum w:abstractNumId="27">
    <w:nsid w:val="7C3DBD3D"/>
    <w:multiLevelType w:val="hybridMultilevel"/>
    <w:lvl w:ilvl="0">
      <w:lvlJc w:val="left"/>
      <w:lvlText w:val="*"/>
      <w:numFmt w:val="bullet"/>
      <w:start w:val="1"/>
    </w:lvl>
  </w:abstractNum>
  <w:abstractNum w:abstractNumId="28">
    <w:nsid w:val="737B8DDC"/>
    <w:multiLevelType w:val="hybridMultilevel"/>
    <w:lvl w:ilvl="0">
      <w:lvlJc w:val="left"/>
      <w:lvlText w:val="•"/>
      <w:numFmt w:val="bullet"/>
      <w:start w:val="1"/>
    </w:lvl>
  </w:abstractNum>
  <w:abstractNum w:abstractNumId="29">
    <w:nsid w:val="6CEAF087"/>
    <w:multiLevelType w:val="hybridMultilevel"/>
    <w:lvl w:ilvl="0">
      <w:lvlJc w:val="left"/>
      <w:lvlText w:val="•"/>
      <w:numFmt w:val="bullet"/>
      <w:start w:val="1"/>
    </w:lvl>
  </w:abstractNum>
  <w:abstractNum w:abstractNumId="30">
    <w:nsid w:val="22221A70"/>
    <w:multiLevelType w:val="hybridMultilevel"/>
    <w:lvl w:ilvl="0">
      <w:lvlJc w:val="left"/>
      <w:lvlText w:val="%1."/>
      <w:numFmt w:val="decimal"/>
      <w:start w:val="1"/>
    </w:lvl>
    <w:lvl w:ilvl="1">
      <w:lvlJc w:val="left"/>
      <w:lvlText w:val="%2)"/>
      <w:numFmt w:val="lowerLetter"/>
      <w:start w:val="1"/>
    </w:lvl>
  </w:abstractNum>
  <w:abstractNum w:abstractNumId="31">
    <w:nsid w:val="4516DDE9"/>
    <w:multiLevelType w:val="hybridMultilevel"/>
    <w:lvl w:ilvl="0">
      <w:lvlJc w:val="left"/>
      <w:lvlText w:val="%1."/>
      <w:numFmt w:val="decimal"/>
      <w:start w:val="1"/>
    </w:lvl>
    <w:lvl w:ilvl="1">
      <w:lvlJc w:val="left"/>
      <w:lvlText w:val="%2)"/>
      <w:numFmt w:val="lowerLetter"/>
      <w:start w:val="1"/>
    </w:lvl>
  </w:abstractNum>
  <w:abstractNum w:abstractNumId="32">
    <w:nsid w:val="3006C83E"/>
    <w:multiLevelType w:val="hybridMultilevel"/>
    <w:lvl w:ilvl="0">
      <w:lvlJc w:val="left"/>
      <w:lvlText w:val="(%1)"/>
      <w:numFmt w:val="decimal"/>
      <w:start w:val="1"/>
    </w:lvl>
  </w:abstractNum>
  <w:abstractNum w:abstractNumId="33">
    <w:nsid w:val="614FD4A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83" Type="http://schemas.openxmlformats.org/officeDocument/2006/relationships/image" Target="media/image69.png"/><Relationship Id="rId84" Type="http://schemas.openxmlformats.org/officeDocument/2006/relationships/image" Target="media/image70.png"/><Relationship Id="rId85" Type="http://schemas.openxmlformats.org/officeDocument/2006/relationships/image" Target="media/image71.png"/><Relationship Id="rId86" Type="http://schemas.openxmlformats.org/officeDocument/2006/relationships/image" Target="media/image72.png"/><Relationship Id="rId87" Type="http://schemas.openxmlformats.org/officeDocument/2006/relationships/image" Target="media/image73.png"/><Relationship Id="rId88" Type="http://schemas.openxmlformats.org/officeDocument/2006/relationships/image" Target="media/image74.png"/><Relationship Id="rId89" Type="http://schemas.openxmlformats.org/officeDocument/2006/relationships/image" Target="media/image75.png"/><Relationship Id="rId90" Type="http://schemas.openxmlformats.org/officeDocument/2006/relationships/image" Target="media/image76.png"/><Relationship Id="rId91" Type="http://schemas.openxmlformats.org/officeDocument/2006/relationships/image" Target="media/image77.png"/><Relationship Id="rId92" Type="http://schemas.openxmlformats.org/officeDocument/2006/relationships/image" Target="media/image78.png"/><Relationship Id="rId93" Type="http://schemas.openxmlformats.org/officeDocument/2006/relationships/image" Target="media/image79.png"/><Relationship Id="rId94" Type="http://schemas.openxmlformats.org/officeDocument/2006/relationships/image" Target="media/image80.png"/><Relationship Id="rId76" Type="http://schemas.openxmlformats.org/officeDocument/2006/relationships/hyperlink" Target="http://www.sec.gov/Archives/edgar/data/0001682745/000110465918041476/a18-15692_1ex2d1.htm" TargetMode="External"/><Relationship Id="rId77" Type="http://schemas.openxmlformats.org/officeDocument/2006/relationships/hyperlink" Target="http://www.sec.gov/Archives/edgar/data/0001682745/000104746918005773/a2236552zex-2_2.htm" TargetMode="External"/><Relationship Id="rId78" Type="http://schemas.openxmlformats.org/officeDocument/2006/relationships/hyperlink" Target="http://www.sec.gov/Archives/edgar/data/0001682745/000156459018024644/vrrm-ex31_941.htm" TargetMode="External"/><Relationship Id="rId79" Type="http://schemas.openxmlformats.org/officeDocument/2006/relationships/hyperlink" Target="http://www.sec.gov/Archives/edgar/data/0001682745/000156459018024644/vrrm-ex32_939.htm" TargetMode="External"/><Relationship Id="rId80" Type="http://schemas.openxmlformats.org/officeDocument/2006/relationships/hyperlink" Target="http://www.sec.gov/Archives/edgar/data/0001682745/000104746916017126/a2230401zex-4_2.htm" TargetMode="External"/><Relationship Id="rId81" Type="http://schemas.openxmlformats.org/officeDocument/2006/relationships/hyperlink" Target="http://www.sec.gov/Archives/edgar/data/0001682745/000104746916017126/a2230401zex-4_3.htm" TargetMode="External"/><Relationship Id="rId82" Type="http://schemas.openxmlformats.org/officeDocument/2006/relationships/hyperlink" Target="http://www.sec.gov/Archives/edgar/data/0001682745/000110465917003086/a17-2559_1ex4d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2019-12-28T08:25:06Z</dcterms:created>
  <dcterms:modified xsi:type="dcterms:W3CDTF">2019-12-28T08:25:06Z</dcterms:modified>
</cp:coreProperties>
</file>