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-228600</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96520</wp:posOffset>
            </wp:positionV>
            <wp:extent cx="1903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640" w:right="1700" w:hanging="3632"/>
        <w:spacing w:after="0" w:line="266" w:lineRule="auto"/>
        <w:tabs>
          <w:tab w:leader="none" w:pos="3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3300" w:right="1700" w:hanging="3292"/>
        <w:spacing w:after="0" w:line="336" w:lineRule="auto"/>
        <w:tabs>
          <w:tab w:leader="none" w:pos="36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80010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VERRA MOBILITY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Exact name of registrant as specified in its charter</w:t>
      </w:r>
      <w:r>
        <w:rPr>
          <w:rFonts w:ascii="Times New Roman" w:cs="Times New Roman" w:eastAsia="Times New Roman" w:hAnsi="Times New Roman"/>
          <w:sz w:val="17"/>
          <w:szCs w:val="17"/>
          <w:color w:val="auto"/>
        </w:rPr>
        <w:t>)</w:t>
      </w:r>
    </w:p>
    <w:p>
      <w:pPr>
        <w:spacing w:after="0" w:line="207" w:lineRule="exact"/>
        <w:rPr>
          <w:sz w:val="24"/>
          <w:szCs w:val="24"/>
          <w:color w:val="auto"/>
        </w:rPr>
      </w:pPr>
    </w:p>
    <w:tbl>
      <w:tblPr>
        <w:tblLayout w:type="fixed"/>
        <w:tblInd w:w="1400" w:type="dxa"/>
        <w:tblCellMar>
          <w:top w:w="0" w:type="dxa"/>
          <w:left w:w="0" w:type="dxa"/>
          <w:bottom w:w="0" w:type="dxa"/>
          <w:right w:w="0" w:type="dxa"/>
        </w:tblCellMar>
      </w:tblPr>
      <w:tr>
        <w:trPr>
          <w:trHeight w:val="190"/>
        </w:trPr>
        <w:tc>
          <w:tcPr>
            <w:tcW w:w="27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Delaware</w:t>
            </w:r>
          </w:p>
        </w:tc>
        <w:tc>
          <w:tcPr>
            <w:tcW w:w="300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jc w:val="right"/>
              <w:ind w:right="135"/>
              <w:spacing w:after="0" w:line="190" w:lineRule="exact"/>
              <w:rPr>
                <w:sz w:val="20"/>
                <w:szCs w:val="20"/>
                <w:color w:val="auto"/>
              </w:rPr>
            </w:pPr>
            <w:r>
              <w:rPr>
                <w:rFonts w:ascii="Times New Roman" w:cs="Times New Roman" w:eastAsia="Times New Roman" w:hAnsi="Times New Roman"/>
                <w:sz w:val="17"/>
                <w:szCs w:val="17"/>
                <w:b w:val="1"/>
                <w:bCs w:val="1"/>
                <w:color w:val="auto"/>
              </w:rPr>
              <w:t>81-3563824</w:t>
            </w:r>
          </w:p>
        </w:tc>
      </w:tr>
      <w:tr>
        <w:trPr>
          <w:trHeight w:val="203"/>
        </w:trPr>
        <w:tc>
          <w:tcPr>
            <w:tcW w:w="628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State or other jurisdiction of</w:t>
            </w:r>
          </w:p>
        </w:tc>
        <w:tc>
          <w:tcPr>
            <w:tcW w:w="142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I.R.S. Employer</w:t>
            </w:r>
          </w:p>
        </w:tc>
      </w:tr>
      <w:tr>
        <w:trPr>
          <w:trHeight w:val="226"/>
        </w:trPr>
        <w:tc>
          <w:tcPr>
            <w:tcW w:w="628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i w:val="1"/>
                <w:iCs w:val="1"/>
                <w:color w:val="auto"/>
                <w:w w:val="99"/>
              </w:rPr>
              <w:t>incorporation or organization</w:t>
            </w:r>
            <w:r>
              <w:rPr>
                <w:rFonts w:ascii="Times New Roman" w:cs="Times New Roman" w:eastAsia="Times New Roman" w:hAnsi="Times New Roman"/>
                <w:sz w:val="17"/>
                <w:szCs w:val="17"/>
                <w:color w:val="auto"/>
                <w:w w:val="99"/>
              </w:rPr>
              <w:t>)</w:t>
            </w:r>
          </w:p>
        </w:tc>
        <w:tc>
          <w:tcPr>
            <w:tcW w:w="1420" w:type="dxa"/>
            <w:vAlign w:val="bottom"/>
          </w:tcPr>
          <w:p>
            <w:pPr>
              <w:jc w:val="center"/>
              <w:ind w:left="75"/>
              <w:spacing w:after="0"/>
              <w:rPr>
                <w:sz w:val="20"/>
                <w:szCs w:val="20"/>
                <w:color w:val="auto"/>
              </w:rPr>
            </w:pPr>
            <w:r>
              <w:rPr>
                <w:rFonts w:ascii="Times New Roman" w:cs="Times New Roman" w:eastAsia="Times New Roman" w:hAnsi="Times New Roman"/>
                <w:sz w:val="17"/>
                <w:szCs w:val="17"/>
                <w:i w:val="1"/>
                <w:iCs w:val="1"/>
                <w:color w:val="auto"/>
              </w:rPr>
              <w:t>Identification No.</w:t>
            </w:r>
            <w:r>
              <w:rPr>
                <w:rFonts w:ascii="Times New Roman" w:cs="Times New Roman" w:eastAsia="Times New Roman" w:hAnsi="Times New Roman"/>
                <w:sz w:val="17"/>
                <w:szCs w:val="17"/>
                <w:color w:val="auto"/>
              </w:rPr>
              <w:t>)</w:t>
            </w:r>
          </w:p>
        </w:tc>
      </w:tr>
      <w:tr>
        <w:trPr>
          <w:trHeight w:val="381"/>
        </w:trPr>
        <w:tc>
          <w:tcPr>
            <w:tcW w:w="628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b w:val="1"/>
                <w:bCs w:val="1"/>
                <w:color w:val="auto"/>
              </w:rPr>
              <w:t>1150 North Alma School Road</w:t>
            </w:r>
          </w:p>
        </w:tc>
        <w:tc>
          <w:tcPr>
            <w:tcW w:w="142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85201</w:t>
            </w:r>
          </w:p>
        </w:tc>
      </w:tr>
      <w:tr>
        <w:trPr>
          <w:trHeight w:val="203"/>
        </w:trPr>
        <w:tc>
          <w:tcPr>
            <w:tcW w:w="628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b w:val="1"/>
                <w:bCs w:val="1"/>
                <w:color w:val="auto"/>
              </w:rPr>
              <w:t>Mesa, Arizona</w:t>
            </w:r>
          </w:p>
        </w:tc>
        <w:tc>
          <w:tcPr>
            <w:tcW w:w="142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17"/>
                <w:szCs w:val="17"/>
                <w:i w:val="1"/>
                <w:iCs w:val="1"/>
                <w:color w:val="auto"/>
                <w:w w:val="99"/>
              </w:rPr>
              <w:t>Zip Code</w:t>
            </w:r>
            <w:r>
              <w:rPr>
                <w:rFonts w:ascii="Times New Roman" w:cs="Times New Roman" w:eastAsia="Times New Roman" w:hAnsi="Times New Roman"/>
                <w:sz w:val="17"/>
                <w:szCs w:val="17"/>
                <w:color w:val="auto"/>
                <w:w w:val="99"/>
              </w:rPr>
              <w:t>)</w:t>
            </w:r>
          </w:p>
        </w:tc>
      </w:tr>
      <w:tr>
        <w:trPr>
          <w:trHeight w:val="226"/>
        </w:trPr>
        <w:tc>
          <w:tcPr>
            <w:tcW w:w="6280" w:type="dxa"/>
            <w:vAlign w:val="bottom"/>
            <w:gridSpan w:val="3"/>
          </w:tcPr>
          <w:p>
            <w:pPr>
              <w:jc w:val="center"/>
              <w:ind w:right="3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Address of Principal Executive Offices</w:t>
            </w:r>
            <w:r>
              <w:rPr>
                <w:rFonts w:ascii="Times New Roman" w:cs="Times New Roman" w:eastAsia="Times New Roman" w:hAnsi="Times New Roman"/>
                <w:sz w:val="17"/>
                <w:szCs w:val="17"/>
                <w:color w:val="auto"/>
              </w:rPr>
              <w:t>)</w:t>
            </w:r>
          </w:p>
        </w:tc>
        <w:tc>
          <w:tcPr>
            <w:tcW w:w="1420" w:type="dxa"/>
            <w:vAlign w:val="bottom"/>
          </w:tcPr>
          <w:p>
            <w:pPr>
              <w:spacing w:after="0"/>
              <w:rPr>
                <w:sz w:val="19"/>
                <w:szCs w:val="19"/>
                <w:color w:val="auto"/>
              </w:rPr>
            </w:pPr>
          </w:p>
        </w:tc>
      </w:tr>
      <w:tr>
        <w:trPr>
          <w:trHeight w:val="246"/>
        </w:trPr>
        <w:tc>
          <w:tcPr>
            <w:tcW w:w="5720" w:type="dxa"/>
            <w:vAlign w:val="bottom"/>
            <w:gridSpan w:val="2"/>
          </w:tcPr>
          <w:p>
            <w:pPr>
              <w:jc w:val="right"/>
              <w:ind w:right="960"/>
              <w:spacing w:after="0"/>
              <w:rPr>
                <w:sz w:val="20"/>
                <w:szCs w:val="20"/>
                <w:color w:val="auto"/>
              </w:rPr>
            </w:pPr>
            <w:r>
              <w:rPr>
                <w:rFonts w:ascii="Times New Roman" w:cs="Times New Roman" w:eastAsia="Times New Roman" w:hAnsi="Times New Roman"/>
                <w:sz w:val="17"/>
                <w:szCs w:val="17"/>
                <w:b w:val="1"/>
                <w:bCs w:val="1"/>
                <w:color w:val="auto"/>
              </w:rPr>
              <w:t>(480) 443-7000</w:t>
            </w:r>
          </w:p>
        </w:tc>
        <w:tc>
          <w:tcPr>
            <w:tcW w:w="5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6"/>
        </w:trPr>
        <w:tc>
          <w:tcPr>
            <w:tcW w:w="6280" w:type="dxa"/>
            <w:vAlign w:val="bottom"/>
            <w:gridSpan w:val="3"/>
          </w:tcPr>
          <w:p>
            <w:pPr>
              <w:jc w:val="center"/>
              <w:ind w:left="209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Registrant’s Telephone Number, Including Area Code</w:t>
            </w:r>
            <w:r>
              <w:rPr>
                <w:rFonts w:ascii="Times New Roman" w:cs="Times New Roman" w:eastAsia="Times New Roman" w:hAnsi="Times New Roman"/>
                <w:sz w:val="17"/>
                <w:szCs w:val="17"/>
                <w:color w:val="auto"/>
              </w:rPr>
              <w:t>)</w:t>
            </w:r>
          </w:p>
        </w:tc>
        <w:tc>
          <w:tcPr>
            <w:tcW w:w="142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348" w:right="339" w:bottom="1440" w:gutter="0" w:footer="0" w:header="0"/>
        </w:sectPr>
      </w:pPr>
    </w:p>
    <w:p>
      <w:pPr>
        <w:spacing w:after="0" w:line="84"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Symbol)</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48" w:lineRule="exact"/>
        <w:rPr>
          <w:sz w:val="24"/>
          <w:szCs w:val="24"/>
          <w:color w:val="auto"/>
        </w:rPr>
      </w:pPr>
    </w:p>
    <w:p>
      <w:pPr>
        <w:sectPr>
          <w:pgSz w:w="11900" w:h="16838" w:orient="portrait"/>
          <w:cols w:equalWidth="0" w:num="3">
            <w:col w:w="4520" w:space="720"/>
            <w:col w:w="1500" w:space="720"/>
            <w:col w:w="3780"/>
          </w:cols>
          <w:pgMar w:left="320" w:top="1348"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b w:val="1"/>
          <w:bCs w:val="1"/>
          <w:color w:val="auto"/>
        </w:rPr>
        <w:t>Class A 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VRRM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Nasdaq Capital Market</w:t>
      </w:r>
    </w:p>
    <w:p>
      <w:pPr>
        <w:spacing w:after="0" w:line="133" w:lineRule="exact"/>
        <w:rPr>
          <w:sz w:val="24"/>
          <w:szCs w:val="24"/>
          <w:color w:val="auto"/>
        </w:rPr>
      </w:pPr>
    </w:p>
    <w:p>
      <w:pPr>
        <w:sectPr>
          <w:pgSz w:w="11900" w:h="16838" w:orient="portrait"/>
          <w:cols w:equalWidth="0" w:num="3">
            <w:col w:w="4860" w:space="720"/>
            <w:col w:w="1940" w:space="720"/>
            <w:col w:w="3000"/>
          </w:cols>
          <w:pgMar w:left="320" w:top="1348" w:right="339" w:bottom="1440" w:gutter="0" w:footer="0" w:header="0"/>
          <w:type w:val="continuous"/>
        </w:sect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5120" w:type="dxa"/>
            <w:vAlign w:val="bottom"/>
          </w:tcPr>
          <w:p>
            <w:pPr>
              <w:ind w:left="2960"/>
              <w:spacing w:after="0"/>
              <w:rPr>
                <w:sz w:val="20"/>
                <w:szCs w:val="20"/>
                <w:color w:val="auto"/>
              </w:rPr>
            </w:pPr>
            <w:r>
              <w:rPr>
                <w:rFonts w:ascii="Times New Roman" w:cs="Times New Roman" w:eastAsia="Times New Roman" w:hAnsi="Times New Roman"/>
                <w:sz w:val="17"/>
                <w:szCs w:val="17"/>
                <w:color w:val="auto"/>
              </w:rPr>
              <w:t>Accelerated filer</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5120" w:type="dxa"/>
            <w:vAlign w:val="bottom"/>
          </w:tcPr>
          <w:p>
            <w:pPr>
              <w:ind w:left="29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20" w:type="dxa"/>
            <w:vAlign w:val="bottom"/>
          </w:tcPr>
          <w:p>
            <w:pPr>
              <w:ind w:left="2960"/>
              <w:spacing w:after="0"/>
              <w:rPr>
                <w:sz w:val="20"/>
                <w:szCs w:val="20"/>
                <w:color w:val="auto"/>
              </w:rPr>
            </w:pPr>
            <w:r>
              <w:rPr>
                <w:rFonts w:ascii="Times New Roman" w:cs="Times New Roman" w:eastAsia="Times New Roman" w:hAnsi="Times New Roman"/>
                <w:sz w:val="17"/>
                <w:szCs w:val="17"/>
                <w:color w:val="auto"/>
              </w:rPr>
              <w:t>Emerging growth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89" w:lineRule="exact"/>
        <w:rPr>
          <w:sz w:val="24"/>
          <w:szCs w:val="24"/>
          <w:color w:val="auto"/>
        </w:rPr>
      </w:pPr>
    </w:p>
    <w:p>
      <w:pPr>
        <w:ind w:right="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October 24, 2025, there were 159,564,447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80" w:type="dxa"/>
            <w:vAlign w:val="bottom"/>
            <w:gridSpan w:val="6"/>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VERRA MOBILITY CORPORATION</w:t>
            </w:r>
          </w:p>
        </w:tc>
        <w:tc>
          <w:tcPr>
            <w:tcW w:w="1840" w:type="dxa"/>
            <w:vAlign w:val="bottom"/>
          </w:tcPr>
          <w:p>
            <w:pPr>
              <w:spacing w:after="0"/>
              <w:rPr>
                <w:sz w:val="20"/>
                <w:szCs w:val="20"/>
                <w:color w:val="auto"/>
              </w:rPr>
            </w:pPr>
          </w:p>
        </w:tc>
      </w:tr>
      <w:tr>
        <w:trPr>
          <w:trHeight w:val="392"/>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00" w:type="dxa"/>
            <w:vAlign w:val="bottom"/>
            <w:gridSpan w:val="5"/>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84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60" w:type="dxa"/>
            <w:vAlign w:val="bottom"/>
            <w:gridSpan w:val="7"/>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2025</w:t>
            </w:r>
          </w:p>
        </w:tc>
        <w:tc>
          <w:tcPr>
            <w:tcW w:w="184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80" w:type="dxa"/>
            <w:vAlign w:val="bottom"/>
            <w:gridSpan w:val="6"/>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840" w:type="dxa"/>
            <w:vAlign w:val="bottom"/>
          </w:tcPr>
          <w:p>
            <w:pPr>
              <w:spacing w:after="0"/>
              <w:rPr>
                <w:sz w:val="24"/>
                <w:szCs w:val="24"/>
                <w:color w:val="auto"/>
              </w:rPr>
            </w:pPr>
          </w:p>
        </w:tc>
      </w:tr>
      <w:tr>
        <w:trPr>
          <w:trHeight w:val="391"/>
        </w:trPr>
        <w:tc>
          <w:tcPr>
            <w:tcW w:w="32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6200" w:type="dxa"/>
            <w:vAlign w:val="bottom"/>
            <w:gridSpan w:val="8"/>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380" w:type="dxa"/>
            <w:vAlign w:val="bottom"/>
          </w:tcPr>
          <w:p>
            <w:pPr>
              <w:spacing w:after="0"/>
              <w:rPr>
                <w:sz w:val="17"/>
                <w:szCs w:val="17"/>
                <w:color w:val="auto"/>
              </w:rPr>
            </w:pPr>
          </w:p>
        </w:tc>
        <w:tc>
          <w:tcPr>
            <w:tcW w:w="9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6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tcBorders>
              <w:right w:val="single" w:sz="8" w:color="0000EE"/>
            </w:tcBorders>
            <w:gridSpan w:val="3"/>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4140" w:type="dxa"/>
            <w:vAlign w:val="bottom"/>
            <w:tcBorders>
              <w:left w:val="single" w:sz="8" w:color="0000FF"/>
            </w:tcBorders>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29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II—OTHER INFORMATION</w:t>
            </w:r>
          </w:p>
        </w:tc>
        <w:tc>
          <w:tcPr>
            <w:tcW w:w="6500" w:type="dxa"/>
            <w:vAlign w:val="bottom"/>
            <w:gridSpan w:val="9"/>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380" w:type="dxa"/>
            <w:vAlign w:val="bottom"/>
          </w:tcPr>
          <w:p>
            <w:pPr>
              <w:spacing w:after="0"/>
              <w:rPr>
                <w:sz w:val="17"/>
                <w:szCs w:val="17"/>
                <w:color w:val="auto"/>
              </w:rPr>
            </w:pPr>
          </w:p>
        </w:tc>
        <w:tc>
          <w:tcPr>
            <w:tcW w:w="9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160" w:type="dxa"/>
            <w:vAlign w:val="bottom"/>
            <w:gridSpan w:val="7"/>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720" w:type="dxa"/>
            <w:vAlign w:val="bottom"/>
            <w:gridSpan w:val="1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Item 5. Other Information</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180" w:type="dxa"/>
            <w:vAlign w:val="bottom"/>
            <w:gridSpan w:val="1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1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SIGNATURES</w:t>
            </w:r>
          </w:p>
        </w:tc>
        <w:tc>
          <w:tcPr>
            <w:tcW w:w="8220" w:type="dxa"/>
            <w:vAlign w:val="bottom"/>
            <w:gridSpan w:val="15"/>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668"/>
        </w:trPr>
        <w:tc>
          <w:tcPr>
            <w:tcW w:w="6700" w:type="dxa"/>
            <w:vAlign w:val="bottom"/>
            <w:gridSpan w:val="16"/>
          </w:tcPr>
          <w:p>
            <w:pPr>
              <w:jc w:val="center"/>
              <w:ind w:left="4450"/>
              <w:spacing w:after="0"/>
              <w:rPr>
                <w:sz w:val="20"/>
                <w:szCs w:val="20"/>
                <w:color w:val="auto"/>
              </w:rPr>
            </w:pPr>
            <w:r>
              <w:rPr>
                <w:rFonts w:ascii="Times New Roman" w:cs="Times New Roman" w:eastAsia="Times New Roman" w:hAnsi="Times New Roman"/>
                <w:sz w:val="18"/>
                <w:szCs w:val="18"/>
                <w:color w:val="auto"/>
                <w:w w:val="88"/>
              </w:rPr>
              <w:t>2</w:t>
            </w:r>
          </w:p>
        </w:tc>
        <w:tc>
          <w:tcPr>
            <w:tcW w:w="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63"/>
        </w:trPr>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(this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contains forward-looking statements within the meaning of Section 27A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Section 21E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All statements contained in this Report other than statements of historical fact, including statements regarding our future operating results and financial position, our business strategy and plans, products, services,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future events and trends discussed in this Report may not occur and actual results could differ materially and adversely from those anticipated or implied in the forward-looking statements. Factors that could cause actual results to differ include the risks and uncertainties described in Part I, Item 1A. “Risk Factors” of our Annual Report on Form 10-K for the year ended December 31, 2024 (our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Part II, Item 1A. “Risk Factors” of this Report, and in other filings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which highlight, among other risks:</w:t>
      </w:r>
    </w:p>
    <w:p>
      <w:pPr>
        <w:spacing w:after="0" w:line="72" w:lineRule="exact"/>
        <w:rPr>
          <w:sz w:val="20"/>
          <w:szCs w:val="20"/>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industry and macroeconomic conditions, including the impact of government actions and regulations, such as tariffs, trade protection measures or a prolonged government shutdown, on our customers or us may materially and adversely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in our Commercial Services and Government Solutions segments, including risks impacting these segments such as travel demand and legislation, and risks relating to our contract with NYCDOT (defined below), which comprises a material portion of our revenue. We extended our current contract with NYCDOT through December 31, 2025 to allow NYCDOT to continue to operate its automated enforcement program. On March 31, 2025, NYCDOT announced that it identified the Company as the vendor to manage New York City’s automated enforcement camera safety programs for an expected five-year period after the Company’s current contract expires in December 2025. The New York City automated enforcement program remains an active procurement. We are currently engaged in contract negotiations with NYCDOT and if the contract terms and pricing are materially different from our current contract, or if the parties ultimately fail to consummate a new agreement, it could have a material adverse effect on our business, financial condition, and results of operations;</w:t>
      </w:r>
    </w:p>
    <w:p>
      <w:pPr>
        <w:spacing w:after="0" w:line="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specialized third-party providers;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government contracts, including legislative changes, termination rights, delays in payments, audits, and investigations;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prevalence or political acceptance of, or an increase in governmental restrictions regarding, automated and other similar methods of photo enforcement, parking solutions, or the use of tolling;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acquisition strategy or integrate acquisitions;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a highly competitive and rapidly evolving market, including our ability to keep up with technological developments and changing customer preferences;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or breaches of our networks or systems, including as a result of cyber-attacks or other incidents;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acquire necessary intellectual property or adequately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litigation and other disputes and regulatory investigations;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substantial level of indebtedness.</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operate in a very competitive and rapidly changing environment and new risks emerge from time to time. The forward-looking statements in this Report represent our views as of the date hereof. Except as may be required by law, we undertake no obligation to update any of these forward-looking statements for any reason or to conform these statements to actual results or revised expectations.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Report or any other report or document we file with the SEC. Any reference to our website in this Report is intended to be an inactive textual reference only.</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the terms “Verra Mobility,” the “Company,” “we,” “us,” and “our” as used in this Report refer to Verra Mobility Corporation, a Delaware corporation, and its subsidiaries taken as a whole.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2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196,096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77,560</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tcPr>
          <w:p>
            <w:pPr>
              <w:spacing w:after="0"/>
              <w:rPr>
                <w:sz w:val="18"/>
                <w:szCs w:val="18"/>
                <w:color w:val="auto"/>
              </w:rPr>
            </w:pPr>
          </w:p>
        </w:tc>
      </w:tr>
      <w:tr>
        <w:trPr>
          <w:trHeight w:val="198"/>
        </w:trPr>
        <w:tc>
          <w:tcPr>
            <w:tcW w:w="7440" w:type="dxa"/>
            <w:vAlign w:val="bottom"/>
            <w:gridSpan w:val="2"/>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$23.1 million and</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$17.0 million at September 30, 2025 and December 31, 2024, respectively)</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228,756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206,503</w:t>
            </w:r>
          </w:p>
        </w:tc>
        <w:tc>
          <w:tcPr>
            <w:tcW w:w="120" w:type="dxa"/>
            <w:vAlign w:val="bottom"/>
            <w:shd w:val="clear" w:color="auto" w:fill="CFF0FC"/>
          </w:tcPr>
          <w:p>
            <w:pPr>
              <w:spacing w:after="0"/>
              <w:rPr>
                <w:sz w:val="20"/>
                <w:szCs w:val="20"/>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48,193</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42,647</w:t>
            </w:r>
          </w:p>
        </w:tc>
        <w:tc>
          <w:tcPr>
            <w:tcW w:w="120" w:type="dxa"/>
            <w:vAlign w:val="bottom"/>
          </w:tcPr>
          <w:p>
            <w:pPr>
              <w:spacing w:after="0"/>
              <w:rPr>
                <w:sz w:val="18"/>
                <w:szCs w:val="18"/>
                <w:color w:val="auto"/>
              </w:rPr>
            </w:pPr>
          </w:p>
        </w:tc>
      </w:tr>
      <w:tr>
        <w:trPr>
          <w:trHeight w:val="210"/>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557,828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393,999</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Installation and service parts,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36,631</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195,793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141,601</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29,895</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185,205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232,297</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735,615</w:t>
            </w:r>
          </w:p>
        </w:tc>
        <w:tc>
          <w:tcPr>
            <w:tcW w:w="120" w:type="dxa"/>
            <w:vAlign w:val="bottom"/>
          </w:tcPr>
          <w:p>
            <w:pPr>
              <w:spacing w:after="0"/>
              <w:rPr>
                <w:sz w:val="18"/>
                <w:szCs w:val="18"/>
                <w:color w:val="auto"/>
              </w:rPr>
            </w:pPr>
          </w:p>
        </w:tc>
      </w:tr>
      <w:tr>
        <w:trPr>
          <w:trHeight w:val="216"/>
        </w:trPr>
        <w:tc>
          <w:tcPr>
            <w:tcW w:w="74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34,662</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44,451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1,778,341</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1,614,489</w:t>
            </w:r>
          </w:p>
        </w:tc>
        <w:tc>
          <w:tcPr>
            <w:tcW w:w="120" w:type="dxa"/>
            <w:vAlign w:val="bottom"/>
          </w:tcPr>
          <w:p>
            <w:pPr>
              <w:spacing w:after="0"/>
              <w:rPr>
                <w:sz w:val="18"/>
                <w:szCs w:val="18"/>
                <w:color w:val="auto"/>
              </w:rPr>
            </w:pPr>
          </w:p>
        </w:tc>
      </w:tr>
      <w:tr>
        <w:trPr>
          <w:trHeight w:val="20"/>
        </w:trPr>
        <w:tc>
          <w:tcPr>
            <w:tcW w:w="22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4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122,033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91,224</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29,374</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71,222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73,980</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receivable agreement liability, current portion</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20" w:type="dxa"/>
            <w:vAlign w:val="bottom"/>
          </w:tcPr>
          <w:p>
            <w:pPr>
              <w:spacing w:after="0"/>
              <w:rPr>
                <w:sz w:val="18"/>
                <w:szCs w:val="18"/>
                <w:color w:val="auto"/>
              </w:rPr>
            </w:pPr>
          </w:p>
        </w:tc>
      </w:tr>
      <w:tr>
        <w:trPr>
          <w:trHeight w:val="210"/>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227,894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199,741</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1,034,211</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25,757</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Tax receivable agreement liability, net of current portion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42,977</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120" w:type="dxa"/>
            <w:vAlign w:val="bottom"/>
          </w:tcPr>
          <w:p>
            <w:pPr>
              <w:spacing w:after="0"/>
              <w:rPr>
                <w:sz w:val="18"/>
                <w:szCs w:val="18"/>
                <w:color w:val="auto"/>
              </w:rPr>
            </w:pPr>
          </w:p>
        </w:tc>
      </w:tr>
      <w:tr>
        <w:trPr>
          <w:trHeight w:val="216"/>
        </w:trPr>
        <w:tc>
          <w:tcPr>
            <w:tcW w:w="74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1,375,193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1,349,364</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440" w:type="dxa"/>
            <w:vAlign w:val="bottom"/>
            <w:gridSpan w:val="2"/>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 shares authorized with no shares issued and outstanding at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September 30, 2025 and December 31, 2024</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260,000 shares authorized with 159,564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and 159,594 shares issued and outstanding at September 30, 2025 and December 31, 2024,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562,172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551,955</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(149,204)</w:t>
            </w: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(269,287)</w:t>
            </w: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(9,836)</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(17,559)</w:t>
            </w:r>
          </w:p>
        </w:tc>
      </w:tr>
      <w:tr>
        <w:trPr>
          <w:trHeight w:val="210"/>
        </w:trPr>
        <w:tc>
          <w:tcPr>
            <w:tcW w:w="74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403,148</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265,125</w:t>
            </w:r>
          </w:p>
        </w:tc>
        <w:tc>
          <w:tcPr>
            <w:tcW w:w="120" w:type="dxa"/>
            <w:vAlign w:val="bottom"/>
            <w:tcBorders>
              <w:top w:val="single" w:sz="8" w:color="CFF0FC"/>
            </w:tcBorders>
          </w:tcPr>
          <w:p>
            <w:pPr>
              <w:spacing w:after="0"/>
              <w:rPr>
                <w:sz w:val="18"/>
                <w:szCs w:val="18"/>
                <w:color w:val="auto"/>
              </w:rPr>
            </w:pPr>
          </w:p>
        </w:tc>
      </w:tr>
      <w:tr>
        <w:trPr>
          <w:trHeight w:val="249"/>
        </w:trPr>
        <w:tc>
          <w:tcPr>
            <w:tcW w:w="7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1,778,341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1,614,489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-3796665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-3796665</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-1833880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-1833880</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-316865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80" w:type="dxa"/>
            <w:vAlign w:val="bottom"/>
          </w:tcPr>
          <w:p>
            <w:pPr>
              <w:spacing w:after="0"/>
              <w:rPr>
                <w:sz w:val="15"/>
                <w:szCs w:val="15"/>
                <w:color w:val="auto"/>
              </w:rPr>
            </w:pPr>
          </w:p>
        </w:tc>
        <w:tc>
          <w:tcPr>
            <w:tcW w:w="28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8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243,219</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217,267</w:t>
            </w:r>
          </w:p>
        </w:tc>
        <w:tc>
          <w:tcPr>
            <w:tcW w:w="2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678,598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632,005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18,719</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42,619</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261,938</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225,551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721,217</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657,707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service revenue, excluding depreciation and amortization</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18,658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12,826</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5,621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29,804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88,036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243,092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221,569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47,757</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47,918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147,724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142,432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Depreciation, amortization and (gain) loss on disposal of assets, net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29,264</w:t>
            </w:r>
          </w:p>
        </w:tc>
        <w:tc>
          <w:tcPr>
            <w:tcW w:w="2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26,718</w:t>
            </w:r>
          </w:p>
        </w:tc>
        <w:tc>
          <w:tcPr>
            <w:tcW w:w="2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86,551</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81,215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187,129</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161,661</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525,829</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478,295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74,809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63,890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195,388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16,421</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18,723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49,629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57,203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interest rate swap</w:t>
            </w:r>
          </w:p>
        </w:tc>
        <w:tc>
          <w:tcPr>
            <w:tcW w:w="18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18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(6,298)</w:t>
            </w:r>
          </w:p>
        </w:tc>
        <w:tc>
          <w:tcPr>
            <w:tcW w:w="2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(4,272)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(16,410)</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(13,970)</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Total other expenses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10,144</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15,397</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33,288</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64,665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48,493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162,100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17,826</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13,761</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44,347</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36,953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46,839</w:t>
            </w:r>
          </w:p>
        </w:tc>
        <w:tc>
          <w:tcPr>
            <w:tcW w:w="280" w:type="dxa"/>
            <w:vAlign w:val="bottom"/>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34,732</w:t>
            </w:r>
          </w:p>
        </w:tc>
        <w:tc>
          <w:tcPr>
            <w:tcW w:w="200" w:type="dxa"/>
            <w:vAlign w:val="bottom"/>
          </w:tcPr>
          <w:p>
            <w:pPr>
              <w:spacing w:after="0"/>
              <w:rPr>
                <w:sz w:val="17"/>
                <w:szCs w:val="17"/>
                <w:color w:val="auto"/>
              </w:rPr>
            </w:pPr>
          </w:p>
        </w:tc>
        <w:tc>
          <w:tcPr>
            <w:tcW w:w="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117,753</w:t>
            </w:r>
          </w:p>
        </w:tc>
        <w:tc>
          <w:tcPr>
            <w:tcW w:w="260" w:type="dxa"/>
            <w:vAlign w:val="bottom"/>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gridSpan w:val="2"/>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Other comprehensive (loss) income:</w:t>
            </w: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foreign currency translation adjustment</w:t>
            </w:r>
          </w:p>
        </w:tc>
        <w:tc>
          <w:tcPr>
            <w:tcW w:w="18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(790)</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40" w:type="dxa"/>
            <w:vAlign w:val="bottom"/>
            <w:tcBorders>
              <w:top w:val="single" w:sz="8" w:color="CFF0FC"/>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46,049</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39,922</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125,476</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101,468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1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Net income per share: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2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0.74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280" w:type="dxa"/>
            <w:vAlign w:val="bottom"/>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200" w:type="dxa"/>
            <w:vAlign w:val="bottom"/>
          </w:tcPr>
          <w:p>
            <w:pPr>
              <w:spacing w:after="0"/>
              <w:rPr>
                <w:sz w:val="17"/>
                <w:szCs w:val="17"/>
                <w:color w:val="auto"/>
              </w:rPr>
            </w:pPr>
          </w:p>
        </w:tc>
        <w:tc>
          <w:tcPr>
            <w:tcW w:w="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0.73</w:t>
            </w:r>
          </w:p>
        </w:tc>
        <w:tc>
          <w:tcPr>
            <w:tcW w:w="260" w:type="dxa"/>
            <w:vAlign w:val="bottom"/>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Weighted average shares outstanding:</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159,552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164,735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159,525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161,861</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167,624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161,824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168,318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-2558415</wp:posOffset>
            </wp:positionV>
            <wp:extent cx="10287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-2558415</wp:posOffset>
            </wp:positionV>
            <wp:extent cx="939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-2558415</wp:posOffset>
            </wp:positionV>
            <wp:extent cx="939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-2558415</wp:posOffset>
            </wp:positionV>
            <wp:extent cx="939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-1619250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-1619250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-1619250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-1353820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-1353820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-1353820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-796290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-779145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-933450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-796290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-779145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-933450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-796290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-779145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-933450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 the Three and Nine Months Ended September 30, 2025</w:t>
      </w:r>
    </w:p>
    <w:tbl>
      <w:tblPr>
        <w:tblLayout w:type="fixed"/>
        <w:tblInd w:w="0" w:type="dxa"/>
        <w:tblCellMar>
          <w:top w:w="0" w:type="dxa"/>
          <w:left w:w="0" w:type="dxa"/>
          <w:bottom w:w="0" w:type="dxa"/>
          <w:right w:w="0" w:type="dxa"/>
        </w:tblCellMar>
      </w:tblPr>
      <w:tr>
        <w:trPr>
          <w:trHeight w:val="135"/>
        </w:trPr>
        <w:tc>
          <w:tcPr>
            <w:tcW w:w="9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9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0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159,594</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w:t>
            </w:r>
          </w:p>
        </w:tc>
        <w:tc>
          <w:tcPr>
            <w:tcW w:w="38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551,955</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(269,287)</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(17,559)</w:t>
            </w:r>
          </w:p>
        </w:tc>
        <w:tc>
          <w:tcPr>
            <w:tcW w:w="2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265,125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32,339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32,339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 repurchases and retirement</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(686)</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(2,372)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2,336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41"/>
        </w:trPr>
        <w:tc>
          <w:tcPr>
            <w:tcW w:w="3200" w:type="dxa"/>
            <w:vAlign w:val="bottom"/>
            <w:gridSpan w:val="2"/>
          </w:tcPr>
          <w:p>
            <w:pPr>
              <w:spacing w:after="0" w:line="141" w:lineRule="exact"/>
              <w:rPr>
                <w:sz w:val="20"/>
                <w:szCs w:val="20"/>
                <w:color w:val="auto"/>
              </w:rPr>
            </w:pPr>
            <w:r>
              <w:rPr>
                <w:rFonts w:ascii="Times New Roman" w:cs="Times New Roman" w:eastAsia="Times New Roman" w:hAnsi="Times New Roman"/>
                <w:sz w:val="15"/>
                <w:szCs w:val="15"/>
                <w:color w:val="auto"/>
              </w:rPr>
              <w:t>Vesting of restricted stock units ("</w:t>
            </w:r>
            <w:r>
              <w:rPr>
                <w:rFonts w:ascii="Times New Roman" w:cs="Times New Roman" w:eastAsia="Times New Roman" w:hAnsi="Times New Roman"/>
                <w:sz w:val="15"/>
                <w:szCs w:val="15"/>
                <w:b w:val="1"/>
                <w:bCs w:val="1"/>
                <w:i w:val="1"/>
                <w:iCs w:val="1"/>
                <w:color w:val="auto"/>
              </w:rPr>
              <w:t>RSU</w:t>
            </w:r>
            <w:r>
              <w:rPr>
                <w:rFonts w:ascii="Times New Roman" w:cs="Times New Roman" w:eastAsia="Times New Roman" w:hAnsi="Times New Roman"/>
                <w:sz w:val="15"/>
                <w:szCs w:val="15"/>
                <w:color w:val="auto"/>
              </w:rPr>
              <w:t>s") and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performance share units ("</w:t>
            </w:r>
            <w:r>
              <w:rPr>
                <w:rFonts w:ascii="Times New Roman" w:cs="Times New Roman" w:eastAsia="Times New Roman" w:hAnsi="Times New Roman"/>
                <w:sz w:val="15"/>
                <w:szCs w:val="15"/>
                <w:b w:val="1"/>
                <w:bCs w:val="1"/>
                <w:i w:val="1"/>
                <w:iCs w:val="1"/>
                <w:color w:val="auto"/>
              </w:rPr>
              <w:t>PSU</w:t>
            </w:r>
            <w:r>
              <w:rPr>
                <w:rFonts w:ascii="Times New Roman" w:cs="Times New Roman" w:eastAsia="Times New Roman" w:hAnsi="Times New Roman"/>
                <w:sz w:val="15"/>
                <w:szCs w:val="15"/>
                <w:color w:val="auto"/>
              </w:rPr>
              <w:t>s")</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Exercise of stock options</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20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20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(6,606)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(6,606)</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6,456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6,456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net of tax</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2,127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March 31, 2025</w:t>
            </w: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159,422</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549,603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(234,612)</w:t>
            </w: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(15,432)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299,575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38,575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38,575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RSUs and PSUs</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Exercise of stock options</w:t>
            </w:r>
          </w:p>
        </w:tc>
        <w:tc>
          <w:tcPr>
            <w:tcW w:w="2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200" w:type="dxa"/>
            <w:vAlign w:val="bottom"/>
            <w:gridSpan w:val="2"/>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(384)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(384)</w:t>
            </w: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20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Borders>
              <w:bottom w:val="single" w:sz="8" w:color="CFF0FC"/>
            </w:tcBorders>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net of tax</w:t>
            </w:r>
          </w:p>
        </w:tc>
        <w:tc>
          <w:tcPr>
            <w:tcW w:w="2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6,386</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6,386</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June 30, 2025</w:t>
            </w:r>
          </w:p>
        </w:tc>
        <w:tc>
          <w:tcPr>
            <w:tcW w:w="200" w:type="dxa"/>
            <w:vAlign w:val="bottom"/>
          </w:tcPr>
          <w:p>
            <w:pPr>
              <w:spacing w:after="0"/>
              <w:rPr>
                <w:sz w:val="13"/>
                <w:szCs w:val="13"/>
                <w:color w:val="auto"/>
              </w:rPr>
            </w:pP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159,532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557,169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(196,037)</w:t>
            </w:r>
          </w:p>
        </w:tc>
        <w:tc>
          <w:tcPr>
            <w:tcW w:w="120" w:type="dxa"/>
            <w:vAlign w:val="bottom"/>
          </w:tcPr>
          <w:p>
            <w:pPr>
              <w:spacing w:after="0"/>
              <w:rPr>
                <w:sz w:val="13"/>
                <w:szCs w:val="13"/>
                <w:color w:val="auto"/>
              </w:rPr>
            </w:pPr>
          </w:p>
        </w:tc>
        <w:tc>
          <w:tcPr>
            <w:tcW w:w="11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(9,046)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352,102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46,839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46,839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Vesting of RSUs and PSUs</w:t>
            </w:r>
          </w:p>
        </w:tc>
        <w:tc>
          <w:tcPr>
            <w:tcW w:w="2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Exercise of stock options</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20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20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(171)</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4,961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4,961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 net of tax</w:t>
            </w:r>
          </w:p>
        </w:tc>
        <w:tc>
          <w:tcPr>
            <w:tcW w:w="200" w:type="dxa"/>
            <w:vAlign w:val="bottom"/>
          </w:tcPr>
          <w:p>
            <w:pPr>
              <w:spacing w:after="0"/>
              <w:rPr>
                <w:sz w:val="14"/>
                <w:szCs w:val="14"/>
                <w:color w:val="auto"/>
              </w:rPr>
            </w:pPr>
          </w:p>
        </w:tc>
        <w:tc>
          <w:tcPr>
            <w:tcW w:w="11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(790)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(790)</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adjustments</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bottom w:val="single" w:sz="8" w:color="CFF0FC"/>
            </w:tcBorders>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September 30, 2025</w:t>
            </w:r>
          </w:p>
        </w:tc>
        <w:tc>
          <w:tcPr>
            <w:tcW w:w="2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159,564</w:t>
            </w:r>
          </w:p>
        </w:tc>
        <w:tc>
          <w:tcPr>
            <w:tcW w:w="240" w:type="dxa"/>
            <w:vAlign w:val="bottom"/>
            <w:tcBorders>
              <w:top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16</w:t>
            </w:r>
          </w:p>
        </w:tc>
        <w:tc>
          <w:tcPr>
            <w:tcW w:w="240" w:type="dxa"/>
            <w:vAlign w:val="bottom"/>
            <w:tcBorders>
              <w:top w:val="single" w:sz="8" w:color="CFF0FC"/>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562,172</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(149,204)</w:t>
            </w:r>
          </w:p>
        </w:tc>
        <w:tc>
          <w:tcPr>
            <w:tcW w:w="24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(9,836)</w:t>
            </w:r>
          </w:p>
        </w:tc>
        <w:tc>
          <w:tcPr>
            <w:tcW w:w="14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403,148</w:t>
            </w: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-1071245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-1071245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-1071245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-1071245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-1071245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-136525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-136525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-136525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-136525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-136525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 the Three and Nine Months Ended September 30,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00" w:type="dxa"/>
            <w:vAlign w:val="bottom"/>
            <w:gridSpan w:val="4"/>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9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60" w:type="dxa"/>
            <w:vAlign w:val="bottom"/>
          </w:tcPr>
          <w:p>
            <w:pPr>
              <w:spacing w:after="0"/>
              <w:rPr>
                <w:sz w:val="12"/>
                <w:szCs w:val="12"/>
                <w:color w:val="auto"/>
              </w:rPr>
            </w:pPr>
          </w:p>
        </w:tc>
        <w:tc>
          <w:tcPr>
            <w:tcW w:w="114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6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166,555</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557,513</w:t>
            </w:r>
          </w:p>
        </w:tc>
        <w:tc>
          <w:tcPr>
            <w:tcW w:w="10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(125,887)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(10,176)</w:t>
            </w:r>
          </w:p>
        </w:tc>
        <w:tc>
          <w:tcPr>
            <w:tcW w:w="2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421,467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38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29,149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29,149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 repurchases and retirement</w:t>
            </w:r>
          </w:p>
        </w:tc>
        <w:tc>
          <w:tcPr>
            <w:tcW w:w="124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(534)</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(1,789)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1,789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Vesting of RSUs and PSUs</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Exercise of stock options</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689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16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(4,608)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(4,608)</w:t>
            </w: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38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5,558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5,558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 net of tax</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(3,260)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(3,260)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March 31, 2024</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166,516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557,363</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(94,949)</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(13,436)</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448,995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38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34,223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34,223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 repurchases and retirement</w:t>
            </w:r>
          </w:p>
        </w:tc>
        <w:tc>
          <w:tcPr>
            <w:tcW w:w="124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(2,000)</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(6,694)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(45,155)</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(51,850)</w:t>
            </w: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Vesting of RSUs and PSUs</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Exercise of stock options</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16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(1,050)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(1,050)</w:t>
            </w: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38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6,590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6,590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net of tax</w:t>
            </w:r>
          </w:p>
        </w:tc>
        <w:tc>
          <w:tcPr>
            <w:tcW w:w="1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1,434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June 30, 2024</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164,658</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556,494</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(105,881)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(12,002)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438,627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38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34,732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34,732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RSUs and PSUs</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Exercise of stock options</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160" w:type="dxa"/>
            <w:vAlign w:val="bottom"/>
            <w:gridSpan w:val="2"/>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(168)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(168)</w:t>
            </w: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38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net of tax</w:t>
            </w:r>
          </w:p>
        </w:tc>
        <w:tc>
          <w:tcPr>
            <w:tcW w:w="138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5,190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5,190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60" w:type="dxa"/>
            <w:vAlign w:val="bottom"/>
            <w:tcBorders>
              <w:top w:val="single" w:sz="8" w:color="CFF0FC"/>
              <w:bottom w:val="single" w:sz="8" w:color="CFF0FC"/>
            </w:tcBorders>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September 30, 2024</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164,804</w:t>
            </w: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564,491</w:t>
            </w: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(71,149)</w:t>
            </w:r>
          </w:p>
        </w:tc>
        <w:tc>
          <w:tcPr>
            <w:tcW w:w="100" w:type="dxa"/>
            <w:vAlign w:val="bottom"/>
            <w:tcBorders>
              <w:top w:val="single" w:sz="8" w:color="CFF0FC"/>
              <w:bottom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(6,812)</w:t>
            </w:r>
          </w:p>
        </w:tc>
        <w:tc>
          <w:tcPr>
            <w:tcW w:w="100" w:type="dxa"/>
            <w:vAlign w:val="bottom"/>
            <w:tcBorders>
              <w:top w:val="single" w:sz="8" w:color="CFF0FC"/>
              <w:bottom w:val="single" w:sz="8" w:color="CFF0FC"/>
            </w:tcBorders>
          </w:tcPr>
          <w:p>
            <w:pPr>
              <w:spacing w:after="0"/>
              <w:rPr>
                <w:sz w:val="13"/>
                <w:szCs w:val="13"/>
                <w:color w:val="auto"/>
              </w:rPr>
            </w:pPr>
          </w:p>
        </w:tc>
        <w:tc>
          <w:tcPr>
            <w:tcW w:w="14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486,546</w:t>
            </w: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-136525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-136525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-136525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-136525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-136525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5800" w:type="dxa"/>
            <w:vAlign w:val="bottom"/>
            <w:vMerge w:val="restart"/>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58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117,753</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UTP reserve release</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(7,891)</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(10,441)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(13,912)</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(3,423)</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215,828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receipts for interest rate swap</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(84,868)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(52,009)</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proceeds from the sale of assets</w:t>
            </w:r>
          </w:p>
        </w:tc>
        <w:tc>
          <w:tcPr>
            <w:tcW w:w="9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(51,031)</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 repurchases and retirement</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(51,500)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 of employee tax withholding related to RSUs and PSUs vesting</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(5,826)</w:t>
            </w:r>
          </w:p>
        </w:tc>
        <w:tc>
          <w:tcPr>
            <w:tcW w:w="0" w:type="dxa"/>
            <w:vAlign w:val="bottom"/>
          </w:tcPr>
          <w:p>
            <w:pPr>
              <w:spacing w:after="0"/>
              <w:rPr>
                <w:sz w:val="1"/>
                <w:szCs w:val="1"/>
                <w:color w:val="auto"/>
              </w:rPr>
            </w:pPr>
          </w:p>
        </w:tc>
      </w:tr>
      <w:tr>
        <w:trPr>
          <w:trHeight w:val="210"/>
        </w:trPr>
        <w:tc>
          <w:tcPr>
            <w:tcW w:w="6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(59,574)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119,145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200,299</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58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-1713865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73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the condensed consolidated balance sheets</w:t>
            </w: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196,096</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200,299</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380" w:type="dxa"/>
            <w:vAlign w:val="bottom"/>
            <w:tcBorders>
              <w:top w:val="single" w:sz="8" w:color="CFF0FC"/>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44,508</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Purchases of installation and service parts and property and equipment in accounts payable and</w:t>
            </w: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 at period-end</w:t>
            </w:r>
          </w:p>
        </w:tc>
        <w:tc>
          <w:tcPr>
            <w:tcW w:w="4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-985520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-968375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We are a leading provider of smart mobility technology solutions, principally operating throughout the United States, Australia, Europe, and Canada. Our goal is to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The Company is organized into three operating segments: Commercial Services, Government Solutions, and Parking Solutions (see Note 14,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Commercial Services segment offers automated toll and violations management and title and registration solutions to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direct commercial fleet owner-operators (“</w:t>
      </w:r>
      <w:r>
        <w:rPr>
          <w:rFonts w:ascii="Times New Roman" w:cs="Times New Roman" w:eastAsia="Times New Roman" w:hAnsi="Times New Roman"/>
          <w:sz w:val="18"/>
          <w:szCs w:val="18"/>
          <w:b w:val="1"/>
          <w:bCs w:val="1"/>
          <w:i w:val="1"/>
          <w:iCs w:val="1"/>
          <w:color w:val="auto"/>
        </w:rPr>
        <w:t>Direct Fleets</w:t>
      </w:r>
      <w:r>
        <w:rPr>
          <w:rFonts w:ascii="Times New Roman" w:cs="Times New Roman" w:eastAsia="Times New Roman" w:hAnsi="Times New Roman"/>
          <w:sz w:val="18"/>
          <w:szCs w:val="18"/>
          <w:color w:val="auto"/>
        </w:rPr>
        <w:t>”) and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and other large fleet owners in North America. Through its established relationships with individual tolling authorities throughout the United States, the segment provides an automated and outsourced administrative solution for its customers while also providing a value-added convenience for vehicle drivers and benefits to tolling and issuing authorities. The toll and violations management solutions help ensure timely payment of tolls and violations incurred by the customers’ vehicles, perform timely transfers of liability on the customers’ behalf, and facilitate driver billing and collections, as applicable. It also manages regional toll transponder installation and vehicle association—a critical and highly complex process for RAC, Direct Fleet, and FMC customers—to ensure that the transponders and corresponding toll transactions are associated with the correct vehicle. In Europe, the Commercial Services segment provides violations processing through Euro Parking Collection plc and consumer tolling services through Pagatelia S.L.U.</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Government Solutions segment offers photo enforcement solutions and services to its customers which include complete, end-to-end speed, red-light, school bus stop arm, and bus lane enforcement solutions.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for this segment primarily involve the sale of traffic enforcement products and recurring maintenance services related to the equipment and software.</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Parking Solutions segment offers an integrated suite of parking software, transaction processing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its customers throughout the United States and Canada.</w:t>
      </w:r>
    </w:p>
    <w:p>
      <w:pPr>
        <w:spacing w:after="0" w:line="284"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prepared in accordance with generally accepted accounting principles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GAAP requires management to make estimates and assumptions that affect the amounts reported in the unaudited condensed consolidated financial statements and accompanying notes. There have been no material changes in the Company’s significant accounting policies from those disclosed in the Annual Report on Form 10-K for the year ended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Management believes that its estimates and assumptions are reasonable in the circumstances; however, actual results could differ materially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accounts receivable, net.</w:t>
      </w:r>
    </w:p>
    <w:p>
      <w:pPr>
        <w:spacing w:after="0" w:line="11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Revenue from a single Government Solutions customer exceeded 10% of total revenue. 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19.5% and 15.5% of total revenue for the three months ended September 30, 2025 and 2024, respectively, and 16.7% and 15.9% of total revenue for the nine months ended September 30, 2025 and 2024, respectively. NYCDOT represented 22.6% and 17.2% of total accounts receivable, net as of September 30, 2025 and December 31, 2024, respectively. There is no material reserve related to NYCDOT open receivables as amounts are deemed collectible based on current conditions and expectations. No other Government Solutions customer exceeded 10% of total accounts receivable, net as of September 30, 2025 or December 31, 2024.</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Significant customer revenues were generated through three of the Company’s Commercial Services customers, with each exceeding 10% of total revenue. Commercial Services Customer A represented 16.2% and 14.2% of total revenue for the three months ended September 30, 2025 and 2024, respectively, and 15.6% and 13.7% of total revenue for the nine months ended September 30, 2025 and 2024, respectively. Commercial Services Customer B represented 11.4% and 12.2% of total revenue for the three months ended September 30, 2025 and 2024, respectively, and 11.5% and 11.6% of total revenue for the nine months ended September 30, 2025 and 2024, respectively. Commercial Services Customer C represented 10.4% and 10.5% of total revenue for the three months ended September 30, 2025 and 2024, respectively, and 10.6% and 10.9% of total revenue for the nine months ended September 30, 2025 and 2024, respectively. No Commercial Services customer exceeded 10% of total accounts receivable, net as of September 30, 2025 or December 31, 2024.</w:t>
      </w:r>
    </w:p>
    <w:p>
      <w:pPr>
        <w:spacing w:after="0" w:line="8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were no significant customer concentrations that exceeded 10% of total revenue or accounts receivable, net for the Parking Solutions segment as of or for any period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reviews historical credit losses and customer payment trends on receivables and develops loss estimates as of the balance sheet date, which includes adjustments for current and future expectations. It identifies pools of receivables based on the type of business, industry in which the customer operates, and historical credit loss patterns. The Company uses collection assumptions (typically at the customer level) to estimate expected credit losses.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periodically evaluates the adequacy of its allowance for expected credit losses and adjusts appropriately.</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presents the activity in the allowance for credit losses by reportable segment for the nine months ended September 30, 2025 and 2024,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6"/>
              <w:spacing w:after="0" w:line="193" w:lineRule="exact"/>
              <w:rPr>
                <w:sz w:val="20"/>
                <w:szCs w:val="20"/>
                <w:color w:val="auto"/>
              </w:rPr>
            </w:pPr>
            <w:r>
              <w:rPr>
                <w:rFonts w:ascii="Times New Roman" w:cs="Times New Roman" w:eastAsia="Times New Roman" w:hAnsi="Times New Roman"/>
                <w:sz w:val="14"/>
                <w:szCs w:val="14"/>
                <w:b w:val="1"/>
                <w:bCs w:val="1"/>
                <w:color w:val="auto"/>
                <w:w w:val="97"/>
              </w:rPr>
              <w:t>Services</w:t>
            </w:r>
            <w:r>
              <w:rPr>
                <w:rFonts w:ascii="Times New Roman" w:cs="Times New Roman" w:eastAsia="Times New Roman" w:hAnsi="Times New Roman"/>
                <w:sz w:val="19"/>
                <w:szCs w:val="19"/>
                <w:b w:val="1"/>
                <w:bCs w:val="1"/>
                <w:color w:val="auto"/>
                <w:w w:val="97"/>
                <w:vertAlign w:val="superscript"/>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16,038</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648</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17,018</w:t>
            </w:r>
          </w:p>
        </w:tc>
        <w:tc>
          <w:tcPr>
            <w:tcW w:w="0" w:type="dxa"/>
            <w:vAlign w:val="bottom"/>
          </w:tcPr>
          <w:p>
            <w:pPr>
              <w:spacing w:after="0"/>
              <w:rPr>
                <w:sz w:val="1"/>
                <w:szCs w:val="1"/>
                <w:color w:val="auto"/>
              </w:rPr>
            </w:pPr>
          </w:p>
        </w:tc>
      </w:tr>
      <w:tr>
        <w:trPr>
          <w:trHeight w:val="216"/>
        </w:trPr>
        <w:tc>
          <w:tcPr>
            <w:tcW w:w="3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Credit loss expense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18,377</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(11,812)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(12,314)</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21,506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1,190</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23,081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6"/>
              <w:spacing w:after="0" w:line="193" w:lineRule="exact"/>
              <w:rPr>
                <w:sz w:val="20"/>
                <w:szCs w:val="20"/>
                <w:color w:val="auto"/>
              </w:rPr>
            </w:pPr>
            <w:r>
              <w:rPr>
                <w:rFonts w:ascii="Times New Roman" w:cs="Times New Roman" w:eastAsia="Times New Roman" w:hAnsi="Times New Roman"/>
                <w:sz w:val="14"/>
                <w:szCs w:val="14"/>
                <w:b w:val="1"/>
                <w:bCs w:val="1"/>
                <w:color w:val="auto"/>
                <w:w w:val="97"/>
              </w:rPr>
              <w:t>Services</w:t>
            </w:r>
            <w:r>
              <w:rPr>
                <w:rFonts w:ascii="Times New Roman" w:cs="Times New Roman" w:eastAsia="Times New Roman" w:hAnsi="Times New Roman"/>
                <w:sz w:val="19"/>
                <w:szCs w:val="19"/>
                <w:b w:val="1"/>
                <w:bCs w:val="1"/>
                <w:color w:val="auto"/>
                <w:w w:val="97"/>
                <w:vertAlign w:val="superscript"/>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15,661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2,426</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426</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18,513</w:t>
            </w:r>
          </w:p>
        </w:tc>
        <w:tc>
          <w:tcPr>
            <w:tcW w:w="0" w:type="dxa"/>
            <w:vAlign w:val="bottom"/>
          </w:tcPr>
          <w:p>
            <w:pPr>
              <w:spacing w:after="0"/>
              <w:rPr>
                <w:sz w:val="1"/>
                <w:szCs w:val="1"/>
                <w:color w:val="auto"/>
              </w:rPr>
            </w:pPr>
          </w:p>
        </w:tc>
      </w:tr>
      <w:tr>
        <w:trPr>
          <w:trHeight w:val="216"/>
        </w:trPr>
        <w:tc>
          <w:tcPr>
            <w:tcW w:w="3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11,599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11,425</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(10,240)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(10,363)</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17,020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19,575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-2073910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-2073910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-2073910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-2073910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-1079500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-1079500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-1079500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jc w:val="both"/>
        <w:ind w:left="680" w:hanging="372"/>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primarily consists of receivables from drivers of rental cars for which the Company bills on behalf of its customers. Receivables not collected from drivers within a defined number of days are transferred to customers subject to applicable bad debt sharing agreements. The allowance for credit losses for driver-billed receivables was 85% and 82% of the total Commercial Services allowance for credit losses as of September 30, 2025 and 2024,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Deferred revenue represents amounts that have been invoiced in advance and are expected to be recognized as revenue in future periods, and it primarily relates to Government Solutions and Parking Solutions customers. As of September 30, 2025 and December 31, 2024, the Company had approximately $9.6 million and $11.8 million of deferred revenue in the Government Solutions segment, respectively. The Company recognized $0.9 million and $1.1 million of revenue excluding exchange rate impact during the three months ended September 30, 2025 and 2024, respectively, and $6.5 million and $7.0 million, of revenue excluding exchange rate impact during the nine months ended September 30, 2025 and 2024, respectively, related to amounts that were included in deferred revenue as of December 31, 2024 and 2023. As of September 30, 2025 and December 31, 2024 the Company had approximately $23.2 million and $21.7 million of deferred revenue in the Parking Solutions segment, respectively. The Company recognized $1.1 million and $2.6 million of revenue during the three months ended September 30, 2025 and 2024, respectively, and $18.9 million and $18.0 million, of revenue during the nine months ended September 30, 2025 and 2024, respectively, related to amounts that were included in deferred revenue as of December 31, 2024 and 2023.</w:t>
      </w:r>
    </w:p>
    <w:p>
      <w:pPr>
        <w:spacing w:after="0" w:line="8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The Company elected the practical expedients to omit disclosure for the amount of the transaction price allocated to remaining performance obligations with original expected contract length of one year or less and the amount that relates to variable consideration allocated to a wholly unsatisfied performance obligation to transfer a distinct good or service within a series of distinct goods or services that form a single performance obligation. As of September 30, 2025, total transaction price allocated to performance obligations in the Government Solutions segment that were unsatisfied or partially unsatisfied was $159.6 million, of which $67.7 million is expected to be recognized as revenue in the next twelve months and the rest over the remaining performance obligation period.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December 2022, the Company entered into a cancelable interest rate swap agreement to hedge its exposure to interest rate fluctuations associated with the LIBOR (now transitioned to Term Secured Overnight Financing Rate,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portion of the variable interest rate on its 2021 Term Loan (as defined below). Under the interest rate swap agreement, the Company paid a fixed rate of 5.17% and the counterparty paid a variable interest rate. The Company entered into an International Swaps and Derivatives Association, Inc. Master Agreement with the counterparty which provided for the net settlement of all, or a specified group, of derivative transactions through a single payment. The notional amount on the interest rate swap was $675.0 million. The Company had the option to effectively terminate the interest rate swap agreement starting in December 2023, and monthly thereafter until December 2025. The Company treated the interest rate swap as an economic hedge for accounting purposes and any changes in the fair value of the derivative instrument (including accrued interest) and related cash receipts or payments were recorded in the condensed consolidated statements of operations within the loss on interest rate swap line item. The Company exercised its option to cancel the interest rate swap agreement during the third quarter of fiscal year 2024. The following details the components of the loss on interest rate swap for the respective periods: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500" w:type="dxa"/>
            <w:vAlign w:val="bottom"/>
            <w:vMerge w:val="restart"/>
          </w:tcPr>
          <w:p>
            <w:pPr>
              <w:spacing w:after="0"/>
              <w:rPr>
                <w:sz w:val="15"/>
                <w:szCs w:val="15"/>
                <w:color w:val="auto"/>
              </w:rPr>
            </w:pPr>
          </w:p>
        </w:tc>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3500" w:type="dxa"/>
            <w:vAlign w:val="bottom"/>
            <w:vMerge w:val="continue"/>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receipts</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loss on interest rate swap</w:t>
            </w:r>
          </w:p>
        </w:tc>
        <w:tc>
          <w:tcPr>
            <w:tcW w:w="2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50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The effect of remeasurement to fair value was recorded within the operating activities section and the monthly cash proceeds received were recorded within the investing activities section in the condensed consolidated statements of cash flows. See Note 7,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further discussion on the fair value measurement of the interest rate swap.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Improvements to Income Tax Disclosures</w:t>
      </w:r>
      <w:r>
        <w:rPr>
          <w:rFonts w:ascii="Times New Roman" w:cs="Times New Roman" w:eastAsia="Times New Roman" w:hAnsi="Times New Roman"/>
          <w:sz w:val="18"/>
          <w:szCs w:val="18"/>
          <w:color w:val="auto"/>
        </w:rPr>
        <w:t>. The ASU requires companies to disclose specific categories in the rate reconciliation,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disclosure for reconciling items that exceed proscribed thresholds, and enhance disclosure regarding income taxes paid and sources of income (loss) from continuing operations including the tax expense (or benefit) disaggregated by federal, state and foreign taxes. The guidance is effective for fiscal years beginning after December 15, 2024. The Company is currently evaluating the impact of this standard on its financial statements and disclosures.</w:t>
      </w:r>
    </w:p>
    <w:p>
      <w:pPr>
        <w:spacing w:after="0" w:line="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ASU requires public companies to disclose, in the notes to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information about certain costs and expenses at each interim and annual reporting period at a disaggregated level. The guidance is effective for fiscal years beginning after December 15, 2026 and interim periods within fiscal years beginning after December 15, 2027. Early adoption is permitted. The Company is currently evaluating the impact of this standard on its financial statements and disclosures.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The ASU removes all references to prescriptive and sequential software development stages.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ASU requires entities to begin capitalizing software costs when management authorizes and commits to funding the software project and it is probable that the project will be completed and the software will be used for its intended purpose. The guidance is effective for annual periods beginning after December 15, 2027 and interim periods within fiscal years beginning after December 15, 2027. The guidance can be applied on a prospective basis, a modified basis for in-process projects or on a retrospective basis. Early adoption is permitted. The Company is currently evaluating the impact of this accounting standard on its financial statements and disclosures.</w:t>
      </w:r>
    </w:p>
    <w:p>
      <w:pPr>
        <w:spacing w:after="0" w:line="289"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6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20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29,435</w:t>
            </w:r>
          </w:p>
        </w:tc>
        <w:tc>
          <w:tcPr>
            <w:tcW w:w="5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tolls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to fulfill a customer contract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00" w:type="dxa"/>
            <w:vAlign w:val="bottom"/>
            <w:shd w:val="clear" w:color="auto" w:fill="CFF0FC"/>
          </w:tcPr>
          <w:p>
            <w:pPr>
              <w:spacing w:after="0"/>
              <w:rPr>
                <w:sz w:val="18"/>
                <w:szCs w:val="18"/>
                <w:color w:val="auto"/>
              </w:rPr>
            </w:pPr>
          </w:p>
        </w:tc>
      </w:tr>
      <w:tr>
        <w:trPr>
          <w:trHeight w:val="210"/>
        </w:trPr>
        <w:tc>
          <w:tcPr>
            <w:tcW w:w="7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47,873</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42,647</w:t>
            </w:r>
          </w:p>
        </w:tc>
        <w:tc>
          <w:tcPr>
            <w:tcW w:w="1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changes in the carrying amount of goodwill by reportable segment: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4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420,167</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213,382</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102,066</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735,615</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00" w:type="dxa"/>
            <w:vAlign w:val="bottom"/>
          </w:tcPr>
          <w:p>
            <w:pPr>
              <w:spacing w:after="0"/>
              <w:rPr>
                <w:sz w:val="18"/>
                <w:szCs w:val="18"/>
                <w:color w:val="auto"/>
              </w:rPr>
            </w:pPr>
          </w:p>
        </w:tc>
      </w:tr>
      <w:tr>
        <w:trPr>
          <w:trHeight w:val="250"/>
        </w:trPr>
        <w:tc>
          <w:tcPr>
            <w:tcW w:w="4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425,179</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214,205</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102,066</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741,450</w:t>
            </w:r>
          </w:p>
        </w:tc>
        <w:tc>
          <w:tcPr>
            <w:tcW w:w="100" w:type="dxa"/>
            <w:vAlign w:val="bottom"/>
            <w:shd w:val="clear" w:color="auto" w:fill="CFF0FC"/>
          </w:tcPr>
          <w:p>
            <w:pPr>
              <w:spacing w:after="0"/>
              <w:rPr>
                <w:sz w:val="21"/>
                <w:szCs w:val="21"/>
                <w:color w:val="auto"/>
              </w:rPr>
            </w:pPr>
          </w:p>
        </w:tc>
      </w:tr>
      <w:tr>
        <w:trPr>
          <w:trHeight w:val="628"/>
        </w:trPr>
        <w:tc>
          <w:tcPr>
            <w:tcW w:w="1000" w:type="dxa"/>
            <w:vAlign w:val="bottom"/>
            <w:tcBorders>
              <w:top w:val="single" w:sz="8" w:color="CFF0FC"/>
            </w:tcBorders>
          </w:tcPr>
          <w:p>
            <w:pPr>
              <w:spacing w:after="0"/>
              <w:rPr>
                <w:sz w:val="24"/>
                <w:szCs w:val="24"/>
                <w:color w:val="auto"/>
              </w:rPr>
            </w:pPr>
          </w:p>
        </w:tc>
        <w:tc>
          <w:tcPr>
            <w:tcW w:w="306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-933450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-916940</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-933450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-916940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-933450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-916940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ind w:left="380"/>
        <w:spacing w:after="0"/>
        <w:rPr>
          <w:sz w:val="20"/>
          <w:szCs w:val="20"/>
          <w:color w:val="auto"/>
        </w:rPr>
      </w:pPr>
      <w:r>
        <w:rPr>
          <w:rFonts w:ascii="Times New Roman" w:cs="Times New Roman" w:eastAsia="Times New Roman" w:hAnsi="Times New Roman"/>
          <w:sz w:val="18"/>
          <w:szCs w:val="18"/>
          <w:color w:val="auto"/>
        </w:rPr>
        <w:t>Intangible assets consist of the following as of the respective period-ends: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5"/>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0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23"/>
                <w:szCs w:val="2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560,429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393,582</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557,958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24,580</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38,659</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carrying value of intangible assets</w:t>
            </w: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606,022</w:t>
            </w:r>
          </w:p>
        </w:tc>
        <w:tc>
          <w:tcPr>
            <w:tcW w:w="18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420,817</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601,784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2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90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(420,817)</w:t>
            </w: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CFF0FC"/>
            </w:tcBorders>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(369,487)</w:t>
            </w: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232,297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-334010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-316865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-25400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Amortization expense was $15.6 million and $16.8 million for the three months ended September 30, 2025 and 2024, respectively, and was $48.7 million and $50.3 million for the nine months ended September 30, 2025 and 2024, respectively.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Estimated amortization expense in future years is expected to be: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8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9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57,904</w:t>
            </w:r>
          </w:p>
        </w:tc>
        <w:tc>
          <w:tcPr>
            <w:tcW w:w="100" w:type="dxa"/>
            <w:vAlign w:val="bottom"/>
          </w:tcPr>
          <w:p>
            <w:pPr>
              <w:spacing w:after="0"/>
              <w:rPr>
                <w:sz w:val="18"/>
                <w:szCs w:val="18"/>
                <w:color w:val="auto"/>
              </w:rPr>
            </w:pPr>
          </w:p>
        </w:tc>
      </w:tr>
      <w:tr>
        <w:trPr>
          <w:trHeight w:val="216"/>
        </w:trPr>
        <w:tc>
          <w:tcPr>
            <w:tcW w:w="1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6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28,524</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Pr>
          <w:p>
            <w:pPr>
              <w:spacing w:after="0"/>
              <w:rPr>
                <w:sz w:val="18"/>
                <w:szCs w:val="18"/>
                <w:color w:val="auto"/>
              </w:rPr>
            </w:pPr>
          </w:p>
        </w:tc>
      </w:tr>
      <w:tr>
        <w:trPr>
          <w:trHeight w:val="216"/>
        </w:trPr>
        <w:tc>
          <w:tcPr>
            <w:tcW w:w="1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6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21,519</w:t>
            </w:r>
          </w:p>
        </w:tc>
        <w:tc>
          <w:tcPr>
            <w:tcW w:w="100" w:type="dxa"/>
            <w:vAlign w:val="bottom"/>
            <w:shd w:val="clear" w:color="auto" w:fill="CFF0FC"/>
          </w:tcPr>
          <w:p>
            <w:pPr>
              <w:spacing w:after="0"/>
              <w:rPr>
                <w:sz w:val="18"/>
                <w:szCs w:val="18"/>
                <w:color w:val="auto"/>
              </w:rPr>
            </w:pP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100" w:type="dxa"/>
            <w:vAlign w:val="bottom"/>
          </w:tcPr>
          <w:p>
            <w:pPr>
              <w:spacing w:after="0"/>
              <w:rPr>
                <w:sz w:val="18"/>
                <w:szCs w:val="18"/>
                <w:color w:val="auto"/>
              </w:rPr>
            </w:pPr>
          </w:p>
        </w:tc>
      </w:tr>
      <w:tr>
        <w:trPr>
          <w:trHeight w:val="250"/>
        </w:trPr>
        <w:tc>
          <w:tcPr>
            <w:tcW w:w="96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185,205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consist of the following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3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3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Advanced deposits</w:t>
            </w:r>
          </w:p>
        </w:tc>
        <w:tc>
          <w:tcPr>
            <w:tcW w:w="3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due to customers</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4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4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-1079500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 w:name="page16"/>
    <w:bookmarkEnd w:id="15"/>
    <w:p>
      <w:pPr>
        <w:spacing w:after="0" w:line="190"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Net</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following table provides a summary of the Company’s long-term debt, net at: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2021 Term Loan, due 2028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original issue discounts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long-term debt, net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688,804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695,568</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(2,322)</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(9,035)</w:t>
            </w:r>
          </w:p>
        </w:tc>
      </w:tr>
      <w:tr>
        <w:trPr>
          <w:trHeight w:val="210"/>
        </w:trPr>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1,034,211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25" w:lineRule="exact"/>
        <w:rPr>
          <w:sz w:val="20"/>
          <w:szCs w:val="20"/>
          <w:color w:val="auto"/>
        </w:rPr>
      </w:pPr>
    </w:p>
    <w:p>
      <w:pPr>
        <w:sectPr>
          <w:pgSz w:w="11900" w:h="16838" w:orient="portrait"/>
          <w:cols w:equalWidth="0" w:num="2">
            <w:col w:w="7060" w:space="720"/>
            <w:col w:w="3460"/>
          </w:cols>
          <w:pgMar w:left="320" w:top="1440" w:right="339" w:bottom="1440" w:gutter="0" w:footer="0" w:header="0"/>
        </w:sect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In March 2021, VM Consolidated, Inc. (“</w:t>
      </w:r>
      <w:r>
        <w:rPr>
          <w:rFonts w:ascii="Times New Roman" w:cs="Times New Roman" w:eastAsia="Times New Roman" w:hAnsi="Times New Roman"/>
          <w:sz w:val="18"/>
          <w:szCs w:val="18"/>
          <w:b w:val="1"/>
          <w:bCs w:val="1"/>
          <w:i w:val="1"/>
          <w:iCs w:val="1"/>
          <w:color w:val="auto"/>
        </w:rPr>
        <w:t>VM Consolidated</w:t>
      </w:r>
      <w:r>
        <w:rPr>
          <w:rFonts w:ascii="Times New Roman" w:cs="Times New Roman" w:eastAsia="Times New Roman" w:hAnsi="Times New Roman"/>
          <w:sz w:val="18"/>
          <w:szCs w:val="18"/>
          <w:color w:val="auto"/>
        </w:rPr>
        <w:t>”), the Company’s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$900.0 million, maturing on March 24, 2028. In connection with the 2021 Term Loan borrowings, the Company had $4.6 million of offering discount costs and $4.5 million in deferred financing costs, both of which were capitalized and are being amortized over the remaining life of the 2021 Term Loan.</w:t>
      </w:r>
    </w:p>
    <w:p>
      <w:pPr>
        <w:spacing w:after="0" w:line="7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February 2024, VM Consolidated entered into a third amendment to the 2021 Term Loan (the “</w:t>
      </w:r>
      <w:r>
        <w:rPr>
          <w:rFonts w:ascii="Times New Roman" w:cs="Times New Roman" w:eastAsia="Times New Roman" w:hAnsi="Times New Roman"/>
          <w:sz w:val="18"/>
          <w:szCs w:val="18"/>
          <w:b w:val="1"/>
          <w:bCs w:val="1"/>
          <w:i w:val="1"/>
          <w:iCs w:val="1"/>
          <w:color w:val="auto"/>
        </w:rPr>
        <w:t>Third Amendment</w:t>
      </w:r>
      <w:r>
        <w:rPr>
          <w:rFonts w:ascii="Times New Roman" w:cs="Times New Roman" w:eastAsia="Times New Roman" w:hAnsi="Times New Roman"/>
          <w:sz w:val="18"/>
          <w:szCs w:val="18"/>
          <w:color w:val="auto"/>
        </w:rPr>
        <w:t>”) and in October 2024, a fourth amendment to the 2021 Term Loan (the “</w:t>
      </w:r>
      <w:r>
        <w:rPr>
          <w:rFonts w:ascii="Times New Roman" w:cs="Times New Roman" w:eastAsia="Times New Roman" w:hAnsi="Times New Roman"/>
          <w:sz w:val="18"/>
          <w:szCs w:val="18"/>
          <w:b w:val="1"/>
          <w:bCs w:val="1"/>
          <w:i w:val="1"/>
          <w:iCs w:val="1"/>
          <w:color w:val="auto"/>
        </w:rPr>
        <w:t>Fourth Amendment</w:t>
      </w:r>
      <w:r>
        <w:rPr>
          <w:rFonts w:ascii="Times New Roman" w:cs="Times New Roman" w:eastAsia="Times New Roman" w:hAnsi="Times New Roman"/>
          <w:sz w:val="18"/>
          <w:szCs w:val="18"/>
          <w:color w:val="auto"/>
        </w:rPr>
        <w:t>”) to refinance the 2021 Term Loan (the “</w:t>
      </w:r>
      <w:r>
        <w:rPr>
          <w:rFonts w:ascii="Times New Roman" w:cs="Times New Roman" w:eastAsia="Times New Roman" w:hAnsi="Times New Roman"/>
          <w:sz w:val="18"/>
          <w:szCs w:val="18"/>
          <w:b w:val="1"/>
          <w:bCs w:val="1"/>
          <w:i w:val="1"/>
          <w:iCs w:val="1"/>
          <w:color w:val="auto"/>
        </w:rPr>
        <w:t>Refinancing Transactions</w:t>
      </w:r>
      <w:r>
        <w:rPr>
          <w:rFonts w:ascii="Times New Roman" w:cs="Times New Roman" w:eastAsia="Times New Roman" w:hAnsi="Times New Roman"/>
          <w:sz w:val="18"/>
          <w:szCs w:val="18"/>
          <w:color w:val="auto"/>
        </w:rPr>
        <w:t>”). Pursuant to the Third and Fourth Amendments, the interest rate was reduced by an aggregate 1.00% to SOFR plus 2.25% from SOFR plus 3.25%, with the SOFR floor unchanged at 0.00%. The credit spread adjustment, ranging from 0.11448% to 0.71513%, was eliminated. In addition, the 2021 Term Loan was amended to remove a provision for principal repayments which were previously required to be paid in quarterly installments. The Company evaluated the Refinancing Transactions on a lender-by-lender basis and accounted accordingly for debt extinguishment and debt modification costs (for the portion of the transactions that did not meet the accounting criteria for debt extinguishment).</w:t>
      </w:r>
    </w:p>
    <w:p>
      <w:pPr>
        <w:spacing w:after="0" w:line="7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made early repayments of $6.8 million and $4.5 million, respectively, on the 2021 Term Loan, and as a result the total principal outstanding was $688.8 million as of September 30, 2025.</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recorded less than $0.1 million of loss on extinguishment of debt during both the three and nine months ended September 30, 2025, related to the write-off of pre-existing deferred financing costs and discounts in connection with the early repayments. It recognized less than $0.1 million and $0.6 million loss on extinguishment of debt for the three and nine months ended September 30, 2024, primarily related to the write-off of pre-existing deferred financing costs and discounts in connection with the refinancing of the 2021 Term Loan in February 2024.</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2021 Term Loan bears interest based at the Company’s option, on either (i) SOFR plus an applicable margin of 2.25% per annum, or (ii) an alternate base rate plus an applicable margin of 1.25% per annum. As of September 30, 2025, the interest rate on the 2021 Term Loan was 6.4%.</w:t>
      </w:r>
    </w:p>
    <w:p>
      <w:pPr>
        <w:spacing w:after="0" w:line="54"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87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73"/>
        </w:trPr>
        <w:tc>
          <w:tcPr>
            <w:tcW w:w="8720" w:type="dxa"/>
            <w:vAlign w:val="bottom"/>
            <w:tcBorders>
              <w:bottom w:val="single" w:sz="8" w:color="auto"/>
            </w:tcBorders>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0"/>
        </w:trPr>
        <w:tc>
          <w:tcPr>
            <w:tcW w:w="872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5360" w:type="dxa"/>
            <w:vAlign w:val="bottom"/>
            <w:gridSpan w:val="4"/>
          </w:tcPr>
          <w:p>
            <w:pPr>
              <w:jc w:val="center"/>
              <w:ind w:right="3270"/>
              <w:spacing w:after="0" w:line="176" w:lineRule="exact"/>
              <w:rPr>
                <w:sz w:val="20"/>
                <w:szCs w:val="20"/>
                <w:color w:val="auto"/>
              </w:rPr>
            </w:pPr>
            <w:r>
              <w:rPr>
                <w:rFonts w:ascii="Times New Roman" w:cs="Times New Roman" w:eastAsia="Times New Roman" w:hAnsi="Times New Roman"/>
                <w:sz w:val="18"/>
                <w:szCs w:val="18"/>
                <w:color w:val="auto"/>
                <w:w w:val="99"/>
              </w:rPr>
              <w:t>&lt; 3.70:1.00 and &gt; 3.20:1.00</w:t>
            </w:r>
          </w:p>
        </w:tc>
        <w:tc>
          <w:tcPr>
            <w:tcW w:w="252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20" w:type="dxa"/>
            <w:vAlign w:val="bottom"/>
            <w:gridSpan w:val="5"/>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648"/>
        </w:trPr>
        <w:tc>
          <w:tcPr>
            <w:tcW w:w="3960" w:type="dxa"/>
            <w:vAlign w:val="bottom"/>
            <w:tcBorders>
              <w:top w:val="single" w:sz="8" w:color="CFF0FC"/>
            </w:tcBorders>
            <w:gridSpan w:val="3"/>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60" w:type="dxa"/>
            <w:vAlign w:val="bottom"/>
            <w:tcBorders>
              <w:top w:val="single" w:sz="8" w:color="CFF0FC"/>
            </w:tcBorders>
          </w:tcPr>
          <w:p>
            <w:pPr>
              <w:jc w:val="right"/>
              <w:ind w:right="291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CFF0FC"/>
            </w:tcBorders>
          </w:tcPr>
          <w:p>
            <w:pPr>
              <w:spacing w:after="0"/>
              <w:rPr>
                <w:sz w:val="24"/>
                <w:szCs w:val="24"/>
                <w:color w:val="auto"/>
              </w:rPr>
            </w:pPr>
          </w:p>
        </w:tc>
        <w:tc>
          <w:tcPr>
            <w:tcW w:w="23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Subsequent to September 30, 2025, the Company amended and restated the 2021 Term Loan agreement to refinance the entire outstanding amount under the 2021 Term Loan with a new senior secured term loan of the same principal amount and maturing on October 15, 2032. See Note 15, </w:t>
      </w:r>
      <w:r>
        <w:rPr>
          <w:rFonts w:ascii="Times New Roman" w:cs="Times New Roman" w:eastAsia="Times New Roman" w:hAnsi="Times New Roman"/>
          <w:sz w:val="18"/>
          <w:szCs w:val="18"/>
          <w:i w:val="1"/>
          <w:iCs w:val="1"/>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 for additional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enior Notes</w:t>
      </w:r>
    </w:p>
    <w:p>
      <w:pPr>
        <w:spacing w:after="0" w:line="115"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on April 15, 2029. In connection with the issuance of the Senior Notes, the Company incurred $5.7 million in lender and third-party costs, which were capitalized as deferred financing costs and are being amortized over the remaining life of the Senior Notes.</w:t>
      </w:r>
    </w:p>
    <w:p>
      <w:pPr>
        <w:spacing w:after="0" w:line="6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The Company may redeem all or a portion of the Senior Notes at the redemption prices set forth below in percentages by year, plus accrued and unpaid interest: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5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7"/>
              </w:rPr>
              <w:t>101.375%</w:t>
            </w:r>
          </w:p>
        </w:tc>
      </w:tr>
      <w:tr>
        <w:trPr>
          <w:trHeight w:val="234"/>
        </w:trPr>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 and thereafter</w:t>
            </w:r>
          </w:p>
        </w:tc>
        <w:tc>
          <w:tcPr>
            <w:tcW w:w="25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100.000%</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11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entered into a Revolving Credit Agreement in March 2018 (as amended,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On May 15, 2025, the Company exercised its option to increase the commitments under the terms of the Revolver and entered into a fourth amendment to the Revolver which increased the existing commitment from $75.0 million to $125.0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SOFR plus an applicable margin, or (2) an alternate base rate, plus an applicable margin. The margin percentage applied to (1) SOFR is either 1.25%, 1.50%, or 1.75%, or</w:t>
      </w:r>
    </w:p>
    <w:p>
      <w:pPr>
        <w:spacing w:after="0" w:line="4" w:lineRule="exact"/>
        <w:rPr>
          <w:sz w:val="20"/>
          <w:szCs w:val="20"/>
          <w:color w:val="auto"/>
        </w:rPr>
      </w:pPr>
    </w:p>
    <w:p>
      <w:pPr>
        <w:jc w:val="both"/>
        <w:ind w:firstLine="8"/>
        <w:spacing w:after="0" w:line="253" w:lineRule="auto"/>
        <w:tabs>
          <w:tab w:leader="none" w:pos="2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is either 0.25%, 0.50%, or 0.75%, depending on the Company’s average availability to borrow under the commitment. There is a credit spread adjustment of 0.10% for a one-month duration, 0.15% for a three-month duration, and 0.25% for a six-month duration, in addition to SOFR and the applicable margin percentages. There were no outstanding borrowings on the Revolver as of September 30, 2025 or December 31, 2024. The availability to borrow was $123.2 million, net of $1.8 million of outstanding letters of credit at September 30, 2025.</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the Company is also required to pay participation and fronting fees at 1.38% on $1.8 million of outstanding letters of credit as of September 30, 2025.</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Subsequent to September 30, 2025, the Company amended and restated the Revolver, which increased commitments from $125.0 million to $150.0 million and extended the maturity date to October 17, 2030. See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additional information.</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All borrowings, indebtedness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September 30, 2025, the Company was compliant with all debt covenants in its debt agreements.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recorded interest expense, including amortization of deferred financing costs and discounts, of $16.4 million and $18.7 million for the three months ended September 30, 2025 and 2024, respectively, and $49.6 million and $57.2 million for the nine months ended September 30, 2025 and 2024, respectively.</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weighted average effective interest rate on the Company’s outstanding borrowings was 6.1% and 6.2% as of September 30, 2025 and December 31,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 xml:space="preserve">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Fair value is based on observable inputs such as quoted prices for identical assets or liabilities in active markets.</w:t>
      </w:r>
    </w:p>
    <w:p>
      <w:pPr>
        <w:spacing w:after="0" w:line="198" w:lineRule="exact"/>
        <w:rPr>
          <w:sz w:val="20"/>
          <w:szCs w:val="20"/>
          <w:color w:val="auto"/>
        </w:rPr>
      </w:pPr>
    </w:p>
    <w:p>
      <w:pPr>
        <w:ind w:left="76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Fair value is determined using quoted prices for similar assets or liabilities in active markets,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inputs other than quoted prices that are directly or indirectly observable.</w:t>
      </w:r>
    </w:p>
    <w:p>
      <w:pPr>
        <w:spacing w:after="0" w:line="118" w:lineRule="exact"/>
        <w:rPr>
          <w:sz w:val="20"/>
          <w:szCs w:val="20"/>
          <w:color w:val="auto"/>
        </w:rPr>
      </w:pPr>
    </w:p>
    <w:p>
      <w:pPr>
        <w:ind w:left="76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Fair value is determined using one or more significant inputs that are unobservable in active markets at the measurement date, such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model, discounted cash flow, or similar technique.</w:t>
      </w:r>
    </w:p>
    <w:p>
      <w:pPr>
        <w:spacing w:after="0" w:line="5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long-term debt, net was calculated based upon available market information. The carrying value and the estimated fair value of long-term debt, net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in</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24"/>
        </w:trPr>
        <w:tc>
          <w:tcPr>
            <w:tcW w:w="10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3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400"/>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319"/>
              <w:spacing w:after="0" w:line="12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19"/>
              <w:spacing w:after="0" w:line="12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0"/>
                <w:szCs w:val="10"/>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1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9"/>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682,422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693,109</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687,203</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699,916</w:t>
            </w: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347,516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349,125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347,008</w:t>
            </w:r>
          </w:p>
        </w:tc>
        <w:tc>
          <w:tcPr>
            <w:tcW w:w="2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341,250</w:t>
            </w:r>
          </w:p>
        </w:tc>
      </w:tr>
    </w:tbl>
    <w:p>
      <w:pPr>
        <w:spacing w:after="0" w:line="2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an equity investment measured at cost with a carrying value of $2.0 million and $1.9 million as of September 30, 2025 and December 31, 2024, respectively,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nine months ended September 30, 2025 and 2024.</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recurring fair value measurement of the interest rate swap was valued based on observable inputs for similar assets and liabilities including swaption values and other observable inputs for interest rates and yield curves and was classified within Level 2 of the fair value hierarchy.</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presents the changes in the fair value of the interest rate swap in the gross balances within the below line items for the three and nine months ended September 30,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5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3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518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5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60" w:type="dxa"/>
            <w:vAlign w:val="bottom"/>
          </w:tcPr>
          <w:p>
            <w:pPr>
              <w:jc w:val="right"/>
              <w:ind w:right="398"/>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0" w:type="dxa"/>
            <w:vAlign w:val="bottom"/>
          </w:tcPr>
          <w:p>
            <w:pPr>
              <w:spacing w:after="0"/>
              <w:rPr>
                <w:sz w:val="18"/>
                <w:szCs w:val="18"/>
                <w:color w:val="auto"/>
              </w:rPr>
            </w:pPr>
          </w:p>
        </w:tc>
        <w:tc>
          <w:tcPr>
            <w:tcW w:w="6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8"/>
                <w:szCs w:val="18"/>
                <w:color w:val="auto"/>
              </w:rPr>
            </w:pPr>
          </w:p>
        </w:tc>
      </w:tr>
      <w:tr>
        <w:trPr>
          <w:trHeight w:val="216"/>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5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r>
      <w:tr>
        <w:trPr>
          <w:trHeight w:val="20"/>
        </w:trPr>
        <w:tc>
          <w:tcPr>
            <w:tcW w:w="1000" w:type="dxa"/>
            <w:vAlign w:val="bottom"/>
            <w:shd w:val="clear" w:color="auto" w:fill="CFF0FC"/>
          </w:tcPr>
          <w:p>
            <w:pPr>
              <w:spacing w:after="0" w:line="20" w:lineRule="exact"/>
              <w:rPr>
                <w:sz w:val="1"/>
                <w:szCs w:val="1"/>
                <w:color w:val="auto"/>
              </w:rPr>
            </w:pPr>
          </w:p>
        </w:tc>
        <w:tc>
          <w:tcPr>
            <w:tcW w:w="51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560" w:type="dxa"/>
            <w:vAlign w:val="bottom"/>
          </w:tcPr>
          <w:p>
            <w:pPr>
              <w:jc w:val="right"/>
              <w:ind w:right="398"/>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00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5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60" w:type="dxa"/>
            <w:vAlign w:val="bottom"/>
          </w:tcPr>
          <w:p>
            <w:pPr>
              <w:jc w:val="right"/>
              <w:ind w:right="398"/>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Pr>
          <w:p>
            <w:pPr>
              <w:spacing w:after="0"/>
              <w:rPr>
                <w:sz w:val="18"/>
                <w:szCs w:val="18"/>
                <w:color w:val="auto"/>
              </w:rPr>
            </w:pPr>
          </w:p>
        </w:tc>
        <w:tc>
          <w:tcPr>
            <w:tcW w:w="6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8"/>
                <w:szCs w:val="18"/>
                <w:color w:val="auto"/>
              </w:rPr>
            </w:pPr>
          </w:p>
        </w:tc>
      </w:tr>
      <w:tr>
        <w:trPr>
          <w:trHeight w:val="216"/>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56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r>
      <w:tr>
        <w:trPr>
          <w:trHeight w:val="20"/>
        </w:trPr>
        <w:tc>
          <w:tcPr>
            <w:tcW w:w="1000" w:type="dxa"/>
            <w:vAlign w:val="bottom"/>
            <w:shd w:val="clear" w:color="auto" w:fill="CFF0FC"/>
          </w:tcPr>
          <w:p>
            <w:pPr>
              <w:spacing w:after="0" w:line="20" w:lineRule="exact"/>
              <w:rPr>
                <w:sz w:val="1"/>
                <w:szCs w:val="1"/>
                <w:color w:val="auto"/>
              </w:rPr>
            </w:pPr>
          </w:p>
        </w:tc>
        <w:tc>
          <w:tcPr>
            <w:tcW w:w="51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560" w:type="dxa"/>
            <w:vAlign w:val="bottom"/>
          </w:tcPr>
          <w:p>
            <w:pPr>
              <w:jc w:val="right"/>
              <w:ind w:right="398"/>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-890905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right="20" w:firstLine="435"/>
        <w:spacing w:after="0" w:line="282" w:lineRule="auto"/>
        <w:rPr>
          <w:sz w:val="20"/>
          <w:szCs w:val="20"/>
          <w:color w:val="auto"/>
        </w:rPr>
      </w:pPr>
      <w:r>
        <w:rPr>
          <w:rFonts w:ascii="Times New Roman" w:cs="Times New Roman" w:eastAsia="Times New Roman" w:hAnsi="Times New Roman"/>
          <w:sz w:val="18"/>
          <w:szCs w:val="18"/>
          <w:color w:val="auto"/>
        </w:rPr>
        <w:t>The Company separately classified the current and non-current components based on the value of settlements due within 12 months (current) and greater than 12 months (non-current). The Company exercised its option to cancel the interest rate swap during the third quarter of fiscal year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basic and diluted net income per share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46,839</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117,753</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164,735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159,525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stock equivalents</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5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161,861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167,624</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Antidilutive shares excluded from diluted net income per</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Performance share units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antidilutive shares excluded</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-1139825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-1139825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-1139825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-1139825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Company’s interim income tax provision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was 27.6% and 28.4% for the three months ended September 30, 2025 and 2024, respectively, and 27.4% for both the nine months ended September 30, 2025 and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Legislation</w:t>
      </w:r>
    </w:p>
    <w:p>
      <w:pPr>
        <w:spacing w:after="0" w:line="115"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On July 4, 2025, the One Big Beautiful Bill Act (“</w:t>
      </w:r>
      <w:r>
        <w:rPr>
          <w:rFonts w:ascii="Times New Roman" w:cs="Times New Roman" w:eastAsia="Times New Roman" w:hAnsi="Times New Roman"/>
          <w:sz w:val="18"/>
          <w:szCs w:val="18"/>
          <w:b w:val="1"/>
          <w:bCs w:val="1"/>
          <w:i w:val="1"/>
          <w:iCs w:val="1"/>
          <w:color w:val="auto"/>
        </w:rPr>
        <w:t>OBBBA</w:t>
      </w:r>
      <w:r>
        <w:rPr>
          <w:rFonts w:ascii="Times New Roman" w:cs="Times New Roman" w:eastAsia="Times New Roman" w:hAnsi="Times New Roman"/>
          <w:sz w:val="18"/>
          <w:szCs w:val="18"/>
          <w:color w:val="auto"/>
        </w:rPr>
        <w:t>”) was enacted in the U.S. The OBBBA makes permanent key elements of the Tax Cuts and Jobs Act, including 100% bonus depreciation, domestic research cost expensing, and the business interest expense limitation. The Company’s U.S. income tax liability and net deferred tax assets have been updated to reflect the impact of the legislation.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11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 November 2022, the Company’s Board of Directors authorized a share repurchase program for up to an aggregate amount of $100.0 million of the Company’s outstanding shares of Class A common stock, par value $0.0001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over an 18-month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paid $8.1 million to repurchase 449,432 shares of its Class A Common Stock through open market transactions during fiscal year 2023. On September 5, 2023, the Company used the remaining availability under the share repurchase program for an accelerated share repurchase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and paid approximately $91.9 million to receive an initial delivery of 4,131,551 shares of its Class A Common Stock in accordance with an ASR agreement with a third-party financial institution. The final settlement occurred on January 12, 2024, at which time, the Company received an additional 534,499 shares of Class A Common Stock calculated using a volume-weighted average price over the term of the ASR agreement. In connection with the settlement, the Company reduced the par value from common stock and $1.8 million from additional paid-in capital calculated using an average share price, with an offset of $1.8 million to accumulated deficit on the condensed consolidated statements of stockholders’ equity.</w:t>
      </w:r>
    </w:p>
    <w:p>
      <w:pPr>
        <w:spacing w:after="0" w:line="8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October 2023, the Company’s Board of Directors authorized a share repurchase program for up to an aggregate amount of $100.0 million of its outstanding shares of Class A Common Stock over an 18-month period. In June 2024, the Company entered into a share repurchase agreement with a stockholder, pursuant to which it repurchased, directly from the stockholder, 2.0 million shares for an aggregate purchase price of $51.5 million. The repurchased shares were subsequently retired. In addition, the Company recorded approximately $0.4 million for direct costs related to the excise tax payable on net share repurchases. In connection with this repurchase, the Company reduced the par value from common stock and $6.7 million from additional paid-in capital calculated using an average share price, with an offset of $45.2 million to accumulated deficit on the condensed consolidated statements of stockholders’ equity.</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After the Company repurchased an aggregate 3.5 million shares for approximately $87.3 million in fiscal year 2024, in December 2024, the Company’s Board of Directors authorized the repurchase of up to an additional $100.0 million of its outstanding shares under the then-existing program, providing the Company with approximately $112.7 million available for repurchases. On December 11, 2024, the Company entered into an ASR agreement with a third-party financial institution and paid $112.7 million to receive an initial delivery of 3,821,958 shares of its Class A Common Stock. The final settlement occurred on March 3, 2025, at which time, the Company received an additional 685,934 shares of Class A Common Stock calculated using a volume-weighted average price over the term of the ASR agreement. In connection with the settlement, the Company reduced the par value from common stock and $2.4 million from additional paid-in capital calculated using an average share price, with an offset of $2.4 million to accumulated deficit on the condensed consolidated statements of stockholders’ equity. In addition, the Company recorded less than $0.1 million within accrued liabilities related to the excise taxes payable on net share repurchases on the condensed consolidated balance sheets as of September 30, 2025. All repurchased shares were subsequently retired. The prior repurchase authorization expired on April 30, 2025.</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May 17, 2025, the Company’s Board of Directors authorized a new share repurchase program for up to an aggregate amount of $100.0 million of the Company’s outstanding shares of Class A Common Stock. Under the repurchase program, the Company may purchase shares of Class A Common Stock until November 13, 2026 through open market purchases, in privately negotiated transactions or by other means, including trading plans intended to qualify under Rule 10b5-1 of the Exchange Act and ASR agreements, each as permitted under applicable rules and regulations. The amount and timing of repurchases will be determined at the Company’s discretion and will depend on a variety of factors, including price, general business and market conditions, applicable legal requirements, and alternative investment opportunities. On October 23, 2025, the Company’s Board of Directors authorized a $150.0 million increase to the size of the share repurchase program, authorizing share repurchases up to an aggregate $250.0 million. The repurchase program does not obligate the Company to acquire any particular amount of Class A Common Stock or at any specific time intervals and may be modified, suspended, or terminated at any time at the Company’s discretion. The Company has not yet repurchased shares of Class A Common Stock under this repurchase program. See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314"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details the components of stock-based compensation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60" w:type="dxa"/>
            <w:vAlign w:val="bottom"/>
            <w:vMerge w:val="restart"/>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2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28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18,696</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000" w:type="dxa"/>
            <w:vAlign w:val="bottom"/>
            <w:tcBorders>
              <w:top w:val="single" w:sz="8" w:color="CFF0FC"/>
            </w:tcBorders>
          </w:tcPr>
          <w:p>
            <w:pPr>
              <w:spacing w:after="0"/>
              <w:rPr>
                <w:sz w:val="24"/>
                <w:szCs w:val="24"/>
                <w:color w:val="auto"/>
              </w:rPr>
            </w:pPr>
          </w:p>
        </w:tc>
        <w:tc>
          <w:tcPr>
            <w:tcW w:w="286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-933450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-916305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-933450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-916305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-933450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-916305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12.  Tax Receivable Agreement</w:t>
      </w:r>
    </w:p>
    <w:p>
      <w:pPr>
        <w:spacing w:after="0" w:line="11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October 2018, the Company entered into a Tax Receivable Agreement (“</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color w:val="auto"/>
        </w:rPr>
        <w:t>”) with PE Greenlight Holdings, LLC. On August 3, 2022, PE Greenlight Holdings, LLC sold and transferred to Lakeside Smart Holdco L.P (“</w:t>
      </w:r>
      <w:r>
        <w:rPr>
          <w:rFonts w:ascii="Times New Roman" w:cs="Times New Roman" w:eastAsia="Times New Roman" w:hAnsi="Times New Roman"/>
          <w:sz w:val="18"/>
          <w:szCs w:val="18"/>
          <w:b w:val="1"/>
          <w:bCs w:val="1"/>
          <w:i w:val="1"/>
          <w:iCs w:val="1"/>
          <w:color w:val="auto"/>
        </w:rPr>
        <w:t>Lakeside</w:t>
      </w:r>
      <w:r>
        <w:rPr>
          <w:rFonts w:ascii="Times New Roman" w:cs="Times New Roman" w:eastAsia="Times New Roman" w:hAnsi="Times New Roman"/>
          <w:sz w:val="18"/>
          <w:szCs w:val="18"/>
          <w:color w:val="auto"/>
        </w:rPr>
        <w:t>”), all of its rights, remaining interests and obligations as of that date under the TRA. The TRA provides for the payment to Lakeside of 50.0% of the net cash savings, if any, in U.S. federal, state and local income tax that the Company actually realizes (or is deemed to realize in certain circumstances) under the agreement. The Company generally retains the benefit of the remaining 50.0% of these cash savings. The Company estimated the potential maximum benefit to be paid will be approximately $70.0 million, and recorded an initial liability and corresponding charge to equity at the inception of the TRA.</w:t>
      </w:r>
    </w:p>
    <w:p>
      <w:pPr>
        <w:spacing w:after="0" w:line="7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September 30, 2025, the TRA liability was $43.1 million of which approximately $5.3 million was the current portion and $37.8 million was the non-current portion, both of which are included in the respective tax receivable agreement liability line items on the condensed consolidated balance sheets. During the second quarter of 2025, the Company made an estimated payment of $5.0 million related to the 2024 tax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has issued various letters of credit under contractual arrangements with certain of its domestic and international vendors and customers. Outstanding letters of credit under these arrangements totaled $1.8 million at September 30, 2025. Additionally, the Company had $2.4 million of bank guarantees at September 30, 2025 required to support bids and contracts with certain international customers.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is subject to tax audits in the normal course of business and does not have material contingencies recorded related to such audits.</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accrued estimated amounts related to legal proceedings as of September 30, 2025 and December 31, 2024 within accrued liabilities on the condensed consolidated balance sheets. The ultimate cost of litigation or settlement could be materially different than the amount of the current estimates and accruals and could have a material adverse impact on the Company’s consolidated financial position, results of operations, or cash flows.</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Brantley v. City of Gretna </w:t>
      </w:r>
      <w:r>
        <w:rPr>
          <w:rFonts w:ascii="Times New Roman" w:cs="Times New Roman" w:eastAsia="Times New Roman" w:hAnsi="Times New Roman"/>
          <w:sz w:val="18"/>
          <w:szCs w:val="18"/>
          <w:color w:val="auto"/>
        </w:rPr>
        <w:t>is a class action lawsuit filed in the 24th Judicial District Court of Jefferson Parish, Louisiana against the City of Gretna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and its safety camera vendor, Redflex Traffic Systems, Inc., in April 2016. The Company acquired Redflex Traffic Systems, Inc. as part of its June 2021 purchase of Redflex Holdings Limited. The plaintiff class, which was certified on March 30, 2021, alleged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sought recovery of traffic infraction fines paid. The City and Redflex Traffic Systems, Inc. appealed the trial court’s ruling granting class certification, which was denied, and their petition for discretionary review of the certification ruling by the Louisiana Supreme Court was declined. The parties entered into a settlement agreement and preliminary approval was granted by the court in April 2025. The court provided final approval of the settlement on September 18, 2025. The settlement did not have a material impact on the Company’s financial position or income statement. A final dismissal order will be entered after the class action settlement is fully administered by a neutral claims administrator.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has three operating and reportable segments, Commercial Services, Government Solutions, and Parking Solutions. Commercial Services offers toll and violation management solutions and title and registration services to RACs, Direct Fleets, FMCs, and violation-issuing authorities. Government Solutions implements and administers traffic safety programs and products for municipalities and government agencies of all sizes. Parking Solutions provides an integrated suite of parking software and hardware solutions to its customers.</w:t>
      </w:r>
    </w:p>
    <w:p>
      <w:pPr>
        <w:spacing w:after="0" w:line="68"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The operating and reportable segments were determined based on how the Company’s Chief Operating Decision Maker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regularly reviews the operating results of the various components of the Company for which discrete financial information is available, including based on the nature of the products and services and the type of customer. The Company defines the CODM as its Chief Executive Officer. The Company’s CODM primarily uses actual revenues and segment profit (defined below) as compared to previously budgeted amounts to evaluate the operating performance, allocate resources, and deploy capital to the segments.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w:t>
      </w:r>
    </w:p>
    <w:p>
      <w:pPr>
        <w:spacing w:after="0" w:line="77"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in the fourth quarter of fiscal year 2024, and as a result, updated the presentation of financial information by reportable segment. In addition, the CODM does not use discrete asset information to evaluate operating performance at the segment level, and as such, the Company has not reported assets disaggregated by reportable segment.</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set forth financial information by segment for the respective periods: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9"/>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1"/>
        </w:trPr>
        <w:tc>
          <w:tcPr>
            <w:tcW w:w="100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Parking</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1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117,296</w:t>
            </w:r>
          </w:p>
        </w:tc>
        <w:tc>
          <w:tcPr>
            <w:tcW w:w="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108,293</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243,219</w:t>
            </w:r>
          </w:p>
        </w:tc>
        <w:tc>
          <w:tcPr>
            <w:tcW w:w="120" w:type="dxa"/>
            <w:vAlign w:val="bottom"/>
            <w:shd w:val="clear" w:color="auto" w:fill="CFF0FC"/>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120" w:type="dxa"/>
            <w:vAlign w:val="bottom"/>
          </w:tcPr>
          <w:p>
            <w:pPr>
              <w:spacing w:after="0"/>
              <w:rPr>
                <w:sz w:val="18"/>
                <w:szCs w:val="18"/>
                <w:color w:val="auto"/>
              </w:rPr>
            </w:pPr>
          </w:p>
        </w:tc>
      </w:tr>
      <w:tr>
        <w:trPr>
          <w:trHeight w:val="210"/>
        </w:trPr>
        <w:tc>
          <w:tcPr>
            <w:tcW w:w="56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117,296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22,082</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261,938</w:t>
            </w:r>
          </w:p>
        </w:tc>
        <w:tc>
          <w:tcPr>
            <w:tcW w:w="120" w:type="dxa"/>
            <w:vAlign w:val="bottom"/>
            <w:shd w:val="clear" w:color="auto" w:fill="CFF0FC"/>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120" w:type="dxa"/>
            <w:vAlign w:val="bottom"/>
          </w:tcPr>
          <w:p>
            <w:pPr>
              <w:spacing w:after="0"/>
              <w:rPr>
                <w:sz w:val="18"/>
                <w:szCs w:val="18"/>
                <w:color w:val="auto"/>
              </w:rPr>
            </w:pP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120" w:type="dxa"/>
            <w:vAlign w:val="bottom"/>
            <w:shd w:val="clear" w:color="auto" w:fill="CFF0FC"/>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86,584</w:t>
            </w:r>
          </w:p>
        </w:tc>
        <w:tc>
          <w:tcPr>
            <w:tcW w:w="120" w:type="dxa"/>
            <w:vAlign w:val="bottom"/>
          </w:tcPr>
          <w:p>
            <w:pPr>
              <w:spacing w:after="0"/>
              <w:rPr>
                <w:sz w:val="18"/>
                <w:szCs w:val="18"/>
                <w:color w:val="auto"/>
              </w:rPr>
            </w:pP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45,505</w:t>
            </w:r>
          </w:p>
        </w:tc>
        <w:tc>
          <w:tcPr>
            <w:tcW w:w="120" w:type="dxa"/>
            <w:vAlign w:val="bottom"/>
            <w:shd w:val="clear" w:color="auto" w:fill="CFF0FC"/>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8"/>
                <w:szCs w:val="18"/>
                <w:color w:val="auto"/>
              </w:rPr>
            </w:pP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(6,072)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(6,298)</w:t>
            </w:r>
          </w:p>
        </w:tc>
      </w:tr>
      <w:tr>
        <w:trPr>
          <w:trHeight w:val="20"/>
        </w:trPr>
        <w:tc>
          <w:tcPr>
            <w:tcW w:w="1000" w:type="dxa"/>
            <w:vAlign w:val="bottom"/>
            <w:shd w:val="clear" w:color="auto" w:fill="CFF0FC"/>
          </w:tcPr>
          <w:p>
            <w:pPr>
              <w:spacing w:after="0" w:line="20" w:lineRule="exact"/>
              <w:rPr>
                <w:sz w:val="1"/>
                <w:szCs w:val="1"/>
                <w:color w:val="auto"/>
              </w:rPr>
            </w:pPr>
          </w:p>
        </w:tc>
        <w:tc>
          <w:tcPr>
            <w:tcW w:w="46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31,311</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113,345</w:t>
            </w:r>
          </w:p>
        </w:tc>
        <w:tc>
          <w:tcPr>
            <w:tcW w:w="1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6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16,421</w:t>
            </w:r>
          </w:p>
        </w:tc>
        <w:tc>
          <w:tcPr>
            <w:tcW w:w="120" w:type="dxa"/>
            <w:vAlign w:val="bottom"/>
            <w:shd w:val="clear" w:color="auto" w:fill="CFF0FC"/>
          </w:tcPr>
          <w:p>
            <w:pPr>
              <w:spacing w:after="0"/>
              <w:rPr>
                <w:sz w:val="17"/>
                <w:szCs w:val="17"/>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r>
      <w:tr>
        <w:trPr>
          <w:trHeight w:val="216"/>
        </w:trPr>
        <w:tc>
          <w:tcPr>
            <w:tcW w:w="568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64,665</w:t>
            </w:r>
          </w:p>
        </w:tc>
        <w:tc>
          <w:tcPr>
            <w:tcW w:w="1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-753745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-753745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-753745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This consists of depreciation and amortization expense, stock-based compensation, and other costs to reconcile to total income before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11"/>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1"/>
        </w:trPr>
        <w:tc>
          <w:tcPr>
            <w:tcW w:w="10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192"/>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Parking</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0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109,139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91,003</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217,267</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20" w:type="dxa"/>
            <w:vAlign w:val="bottom"/>
          </w:tcPr>
          <w:p>
            <w:pPr>
              <w:spacing w:after="0"/>
              <w:rPr>
                <w:sz w:val="18"/>
                <w:szCs w:val="18"/>
                <w:color w:val="auto"/>
              </w:rPr>
            </w:pPr>
          </w:p>
        </w:tc>
      </w:tr>
      <w:tr>
        <w:trPr>
          <w:trHeight w:val="209"/>
        </w:trPr>
        <w:tc>
          <w:tcPr>
            <w:tcW w:w="50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109,139</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95,851</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225,551</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24,683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74,979</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14,825</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18,519</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39,061</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(4,272)</w:t>
            </w:r>
          </w:p>
        </w:tc>
      </w:tr>
      <w:tr>
        <w:trPr>
          <w:trHeight w:val="20"/>
        </w:trPr>
        <w:tc>
          <w:tcPr>
            <w:tcW w:w="1000" w:type="dxa"/>
            <w:vAlign w:val="bottom"/>
            <w:shd w:val="clear" w:color="auto" w:fill="CFF0FC"/>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72,867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104,697</w:t>
            </w:r>
          </w:p>
        </w:tc>
        <w:tc>
          <w:tcPr>
            <w:tcW w:w="1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0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18,723</w:t>
            </w:r>
          </w:p>
        </w:tc>
        <w:tc>
          <w:tcPr>
            <w:tcW w:w="120" w:type="dxa"/>
            <w:vAlign w:val="bottom"/>
            <w:shd w:val="clear" w:color="auto" w:fill="CFF0FC"/>
          </w:tcPr>
          <w:p>
            <w:pPr>
              <w:spacing w:after="0"/>
              <w:rPr>
                <w:sz w:val="17"/>
                <w:szCs w:val="17"/>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4"/>
                <w:szCs w:val="24"/>
                <w:color w:val="auto"/>
                <w:vertAlign w:val="superscript"/>
              </w:rPr>
              <w:t>(1)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36,535</w:t>
            </w:r>
          </w:p>
        </w:tc>
        <w:tc>
          <w:tcPr>
            <w:tcW w:w="120" w:type="dxa"/>
            <w:vAlign w:val="bottom"/>
          </w:tcPr>
          <w:p>
            <w:pPr>
              <w:spacing w:after="0"/>
              <w:rPr>
                <w:sz w:val="18"/>
                <w:szCs w:val="18"/>
                <w:color w:val="auto"/>
              </w:rPr>
            </w:pPr>
          </w:p>
        </w:tc>
      </w:tr>
      <w:tr>
        <w:trPr>
          <w:trHeight w:val="229"/>
        </w:trPr>
        <w:tc>
          <w:tcPr>
            <w:tcW w:w="50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48,493</w:t>
            </w:r>
          </w:p>
        </w:tc>
        <w:tc>
          <w:tcPr>
            <w:tcW w:w="120" w:type="dxa"/>
            <w:vAlign w:val="bottom"/>
            <w:shd w:val="clear" w:color="auto" w:fill="CFF0FC"/>
          </w:tcPr>
          <w:p>
            <w:pPr>
              <w:spacing w:after="0"/>
              <w:rPr>
                <w:sz w:val="19"/>
                <w:szCs w:val="19"/>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40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354"/>
        </w:trPr>
        <w:tc>
          <w:tcPr>
            <w:tcW w:w="11240" w:type="dxa"/>
            <w:vAlign w:val="bottom"/>
            <w:gridSpan w:val="19"/>
          </w:tcPr>
          <w:p>
            <w:pPr>
              <w:ind w:left="520"/>
              <w:spacing w:after="0"/>
              <w:rPr>
                <w:sz w:val="20"/>
                <w:szCs w:val="20"/>
                <w:color w:val="auto"/>
              </w:rPr>
            </w:pPr>
            <w:r>
              <w:rPr>
                <w:rFonts w:ascii="Times New Roman" w:cs="Times New Roman" w:eastAsia="Times New Roman" w:hAnsi="Times New Roman"/>
                <w:sz w:val="18"/>
                <w:szCs w:val="18"/>
                <w:color w:val="auto"/>
              </w:rPr>
              <w:t>(1) This consists of depreciation and amortization expense, stock-based compensation, and other costs to reconcile to total income before income</w:t>
            </w:r>
          </w:p>
        </w:tc>
      </w:t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For the Nine Months Ended September 30, 2025</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1"/>
        </w:trPr>
        <w:tc>
          <w:tcPr>
            <w:tcW w:w="10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right"/>
              <w:ind w:right="312"/>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jc w:val="right"/>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Parking</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0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6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327,735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300,246</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50,617</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678,598</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42,619</w:t>
            </w:r>
          </w:p>
        </w:tc>
        <w:tc>
          <w:tcPr>
            <w:tcW w:w="120" w:type="dxa"/>
            <w:vAlign w:val="bottom"/>
          </w:tcPr>
          <w:p>
            <w:pPr>
              <w:spacing w:after="0"/>
              <w:rPr>
                <w:sz w:val="18"/>
                <w:szCs w:val="18"/>
                <w:color w:val="auto"/>
              </w:rPr>
            </w:pPr>
          </w:p>
        </w:tc>
      </w:tr>
      <w:tr>
        <w:trPr>
          <w:trHeight w:val="209"/>
        </w:trPr>
        <w:tc>
          <w:tcPr>
            <w:tcW w:w="50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327,735</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331,482</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62,000</w:t>
            </w: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721,217</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21,047</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8,757</w:t>
            </w: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29,804</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239,039</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56,441</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58,058</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20,132</w:t>
            </w: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134,631</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(16,393)</w:t>
            </w:r>
          </w:p>
        </w:tc>
      </w:tr>
      <w:tr>
        <w:trPr>
          <w:trHeight w:val="20"/>
        </w:trPr>
        <w:tc>
          <w:tcPr>
            <w:tcW w:w="1000" w:type="dxa"/>
            <w:vAlign w:val="bottom"/>
            <w:shd w:val="clear" w:color="auto" w:fill="CFF0FC"/>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3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213,423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90,811</w:t>
            </w:r>
          </w:p>
        </w:tc>
        <w:tc>
          <w:tcPr>
            <w:tcW w:w="1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9,872</w:t>
            </w:r>
          </w:p>
        </w:tc>
        <w:tc>
          <w:tcPr>
            <w:tcW w:w="1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314,106</w:t>
            </w:r>
          </w:p>
        </w:tc>
        <w:tc>
          <w:tcPr>
            <w:tcW w:w="1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0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49,629</w:t>
            </w:r>
          </w:p>
        </w:tc>
        <w:tc>
          <w:tcPr>
            <w:tcW w:w="120" w:type="dxa"/>
            <w:vAlign w:val="bottom"/>
            <w:shd w:val="clear" w:color="auto" w:fill="CFF0FC"/>
          </w:tcPr>
          <w:p>
            <w:pPr>
              <w:spacing w:after="0"/>
              <w:rPr>
                <w:sz w:val="17"/>
                <w:szCs w:val="17"/>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r>
      <w:tr>
        <w:trPr>
          <w:trHeight w:val="216"/>
        </w:trPr>
        <w:tc>
          <w:tcPr>
            <w:tcW w:w="506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4"/>
                <w:szCs w:val="24"/>
                <w:color w:val="auto"/>
                <w:vertAlign w:val="superscript"/>
              </w:rPr>
              <w:t>(1)</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102,308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162,100</w:t>
            </w:r>
          </w:p>
        </w:tc>
        <w:tc>
          <w:tcPr>
            <w:tcW w:w="1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-3762375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-3762375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-3762375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-3762375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-2896870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-2879725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-753745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-753745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-753745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This consists of depreciation and amortization expense, stock-based compensation, and other costs to reconcile to total income before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gridSpan w:val="8"/>
          </w:tcPr>
          <w:p>
            <w:pPr>
              <w:ind w:left="11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1"/>
        </w:trPr>
        <w:tc>
          <w:tcPr>
            <w:tcW w:w="10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1"/>
                <w:szCs w:val="11"/>
                <w:color w:val="auto"/>
              </w:rPr>
            </w:pPr>
          </w:p>
        </w:tc>
        <w:tc>
          <w:tcPr>
            <w:tcW w:w="1300" w:type="dxa"/>
            <w:vAlign w:val="bottom"/>
            <w:gridSpan w:val="2"/>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80" w:type="dxa"/>
            <w:vAlign w:val="bottom"/>
          </w:tcPr>
          <w:p>
            <w:pPr>
              <w:spacing w:after="0"/>
              <w:rPr>
                <w:sz w:val="11"/>
                <w:szCs w:val="11"/>
                <w:color w:val="auto"/>
              </w:rPr>
            </w:pPr>
          </w:p>
        </w:tc>
        <w:tc>
          <w:tcPr>
            <w:tcW w:w="124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Parking</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0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5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309,013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272,747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50,245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632,005</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25,702</w:t>
            </w:r>
          </w:p>
        </w:tc>
        <w:tc>
          <w:tcPr>
            <w:tcW w:w="120" w:type="dxa"/>
            <w:vAlign w:val="bottom"/>
          </w:tcPr>
          <w:p>
            <w:pPr>
              <w:spacing w:after="0"/>
              <w:rPr>
                <w:sz w:val="18"/>
                <w:szCs w:val="18"/>
                <w:color w:val="auto"/>
              </w:rPr>
            </w:pPr>
          </w:p>
        </w:tc>
      </w:tr>
      <w:tr>
        <w:trPr>
          <w:trHeight w:val="209"/>
        </w:trPr>
        <w:tc>
          <w:tcPr>
            <w:tcW w:w="50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309,013</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287,753</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60,941</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657,707</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218,383</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120,356</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(13,473)</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(13,970)</w:t>
            </w:r>
          </w:p>
        </w:tc>
      </w:tr>
      <w:tr>
        <w:trPr>
          <w:trHeight w:val="209"/>
        </w:trPr>
        <w:tc>
          <w:tcPr>
            <w:tcW w:w="5060" w:type="dxa"/>
            <w:vAlign w:val="bottom"/>
            <w:tcBorders>
              <w:top w:val="single" w:sz="8" w:color="CFF0F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3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203,165</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87,124</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299,626</w:t>
            </w:r>
          </w:p>
        </w:tc>
        <w:tc>
          <w:tcPr>
            <w:tcW w:w="120" w:type="dxa"/>
            <w:vAlign w:val="bottom"/>
            <w:tcBorders>
              <w:top w:val="single" w:sz="8" w:color="CFF0FC"/>
            </w:tcBorders>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0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57,203</w:t>
            </w:r>
          </w:p>
        </w:tc>
        <w:tc>
          <w:tcPr>
            <w:tcW w:w="120" w:type="dxa"/>
            <w:vAlign w:val="bottom"/>
            <w:shd w:val="clear" w:color="auto" w:fill="CFF0FC"/>
          </w:tcPr>
          <w:p>
            <w:pPr>
              <w:spacing w:after="0"/>
              <w:rPr>
                <w:sz w:val="17"/>
                <w:szCs w:val="17"/>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4"/>
                <w:szCs w:val="24"/>
                <w:color w:val="auto"/>
                <w:vertAlign w:val="superscript"/>
              </w:rPr>
              <w:t>(1)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106,244</w:t>
            </w:r>
          </w:p>
        </w:tc>
        <w:tc>
          <w:tcPr>
            <w:tcW w:w="120" w:type="dxa"/>
            <w:vAlign w:val="bottom"/>
          </w:tcPr>
          <w:p>
            <w:pPr>
              <w:spacing w:after="0"/>
              <w:rPr>
                <w:sz w:val="18"/>
                <w:szCs w:val="18"/>
                <w:color w:val="auto"/>
              </w:rPr>
            </w:pPr>
          </w:p>
        </w:tc>
      </w:tr>
      <w:tr>
        <w:trPr>
          <w:trHeight w:val="249"/>
        </w:trPr>
        <w:tc>
          <w:tcPr>
            <w:tcW w:w="506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135,057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-890905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-890905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-890905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This consists of depreciation and amortization expense, stock-based compensation, and other costs to reconcile to total income before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5"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color w:val="auto"/>
        </w:rPr>
        <w:t xml:space="preserve">The Company provides information on credit loss expense by reportable segment,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for additional details.</w:t>
      </w:r>
    </w:p>
    <w:p>
      <w:pPr>
        <w:spacing w:after="0" w:line="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primarily operates within the United States, Australia, Canada, United Kingdom, and in various other countries in Europe and Asia.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revenues from international operations for the respective periods: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88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318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96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142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49,221</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8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2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196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35,701</w:t>
            </w:r>
          </w:p>
        </w:tc>
        <w:tc>
          <w:tcPr>
            <w:tcW w:w="142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100,308</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Revolving Credit Agreement</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October 17, 2025, certain of the Company’s direct and indirect wholly owned subsidiaries, including VM Consolidated, entered into an Amended and Restated Revolving Credit Agreement (the “</w:t>
      </w:r>
      <w:r>
        <w:rPr>
          <w:rFonts w:ascii="Times New Roman" w:cs="Times New Roman" w:eastAsia="Times New Roman" w:hAnsi="Times New Roman"/>
          <w:sz w:val="18"/>
          <w:szCs w:val="18"/>
          <w:b w:val="1"/>
          <w:bCs w:val="1"/>
          <w:i w:val="1"/>
          <w:iCs w:val="1"/>
          <w:color w:val="auto"/>
        </w:rPr>
        <w:t>Amended and Restated Revolving Credit Agreement</w:t>
      </w:r>
      <w:r>
        <w:rPr>
          <w:rFonts w:ascii="Times New Roman" w:cs="Times New Roman" w:eastAsia="Times New Roman" w:hAnsi="Times New Roman"/>
          <w:sz w:val="18"/>
          <w:szCs w:val="18"/>
          <w:color w:val="auto"/>
        </w:rPr>
        <w:t>”) to amend and restate the Revolver. The Amended and Restated Revolving Credit Agreement provides for a $150.0 million senior secured asset-based revolving credit facility with a $35.0 million sublimit for the issuance of letters of credit (the “</w:t>
      </w:r>
      <w:r>
        <w:rPr>
          <w:rFonts w:ascii="Times New Roman" w:cs="Times New Roman" w:eastAsia="Times New Roman" w:hAnsi="Times New Roman"/>
          <w:sz w:val="18"/>
          <w:szCs w:val="18"/>
          <w:b w:val="1"/>
          <w:bCs w:val="1"/>
          <w:i w:val="1"/>
          <w:iCs w:val="1"/>
          <w:color w:val="auto"/>
        </w:rPr>
        <w:t>Amended Revolver</w:t>
      </w:r>
      <w:r>
        <w:rPr>
          <w:rFonts w:ascii="Times New Roman" w:cs="Times New Roman" w:eastAsia="Times New Roman" w:hAnsi="Times New Roman"/>
          <w:sz w:val="18"/>
          <w:szCs w:val="18"/>
          <w:color w:val="auto"/>
        </w:rPr>
        <w:t>”), and matures on October 17, 2030 (subject to an earlier maturity date in certain circumstances).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4" w:name="page25"/>
    <w:bookmarkEnd w:id="24"/>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Outstanding borrowings under the Amended Revolver accrue interest at per annum rate equal to SOFR plus a margin ranging from 1.25% to 1.75% or a base rate plus a margin ranging from 0.25% to 0.75%, in each case, depending on the quarterly average undrawn availability under the Amended Revolver in the prior quarter. The unused commitment fee payable on the unused portion of the Amended Revolver is (x) 0.375%, when quarterly average usage was less than 50% of the loan commitments in the prior quarter or (y) 0.250%, when quarterly average usage of the Amended Revolver was greater than or equal to 50% of the loan commitments in the prior quarter. The Amended and Restated Revolving Credit Agreement also provides for the option, subject to receiving additional commitments from lenders and the satisfaction of certain conditions, to increase the loan commitments under the Amended Revolver by up to an amount equal to the greater of (x) $75.0 million and (y) the amount by which the borrowing base exceeds the aggregate commitments at such time. If at any time unused availability under the Amended Revolver is less than the greater of (i) 10.0% of the aggregate loan commitments and (ii) $15.0 million, VM Consolidated is required to maintain a minimum consolidated fixed charge coverage ratio of not less than 1.0 to 1.0 until such time as unused availability exceeds such threshold for a period of thirty consecutive days. The Amended and Restated Revolving Credit Agreement contains covenants as outlined in the Current Report on Form 8-K filed by the Company with the SEC on October 17, 2025, which is qualified in its entirety by reference to the full text of the Amended and Restated Revolving Credit Agreement incorporated therein and filed as Exhibit 10.1 to this Report.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Refinance</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October 17, 2025, VM Consolidated and certain of the Company’s subsidiaries entered into the Amendment and Restatement Agreement No. 2 to the Amended and Restated First Lien Term Loan Credit Agreement dated as of March 26, 2021 (such agreement amended and restated, the “</w:t>
      </w:r>
      <w:r>
        <w:rPr>
          <w:rFonts w:ascii="Times New Roman" w:cs="Times New Roman" w:eastAsia="Times New Roman" w:hAnsi="Times New Roman"/>
          <w:sz w:val="18"/>
          <w:szCs w:val="18"/>
          <w:b w:val="1"/>
          <w:bCs w:val="1"/>
          <w:i w:val="1"/>
          <w:iCs w:val="1"/>
          <w:color w:val="auto"/>
        </w:rPr>
        <w:t>Amended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Restated Term Loan Agreement</w:t>
      </w:r>
      <w:r>
        <w:rPr>
          <w:rFonts w:ascii="Times New Roman" w:cs="Times New Roman" w:eastAsia="Times New Roman" w:hAnsi="Times New Roman"/>
          <w:sz w:val="18"/>
          <w:szCs w:val="18"/>
          <w:color w:val="auto"/>
        </w:rPr>
        <w:t>”), to refinance the existing senior secured term loans in an aggregate outstanding principal amount of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$688.8 million with a new senior secured term loan of the same principal amount maturing on October 15, 2032 (the “</w:t>
      </w:r>
      <w:r>
        <w:rPr>
          <w:rFonts w:ascii="Times New Roman" w:cs="Times New Roman" w:eastAsia="Times New Roman" w:hAnsi="Times New Roman"/>
          <w:sz w:val="18"/>
          <w:szCs w:val="18"/>
          <w:b w:val="1"/>
          <w:bCs w:val="1"/>
          <w:i w:val="1"/>
          <w:iCs w:val="1"/>
          <w:color w:val="auto"/>
        </w:rPr>
        <w:t>Amended Term Loan</w:t>
      </w:r>
      <w:r>
        <w:rPr>
          <w:rFonts w:ascii="Times New Roman" w:cs="Times New Roman" w:eastAsia="Times New Roman" w:hAnsi="Times New Roman"/>
          <w:sz w:val="18"/>
          <w:szCs w:val="18"/>
          <w:color w:val="auto"/>
        </w:rPr>
        <w:t>”). The proceeds from the Amended Term Loan were used in their entirety to prepay in full the outstanding principal amount of the existing term loan under the 2021 Term Loan agreement.</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Amended Term Loan bears interest at a per annum rate equal to SOFR plus an applicable margin of 2.00%, or a base rate plus an applicable margin of 1.00%, amortizes in equal quarterly installments in aggregate amounts equal to 1.00% of the original principal amount of the Amended Term Loan beginning March 31, 2026, with the balance payable at maturity, is subject to mandatory prepayment provisions upon the occurrence of certain specified events, and is repayable at any time at the borrowers’ election, provided that repayment of the Amended Term Loan with proceeds of certain indebtedness prior to the six-month anniversary of October 17, 2025 will require a prepayment premium of 1.00% of the aggregate principal amount of such prepayment. The Amended Term Loan contains covenants as outlined in the Current Report on Form 8-K filed by the Company with the SEC on October 17, 2025, which is qualified in its entirety by reference to the full text of the Amended and Restated Term Loan Agreement incorporated therein and filed as Exhibit 10.2 to this Report. The obligations of certain of the Company’s subsidiaries under the Amended Revolver and Amended Term Loan are secured by liens on substantially all of the assets of such subsidiaries.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Authorization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May 2025, the Company’s Board of Directors authorized a share repurchase program for up to an aggregate amount of $100.0 million of the Company’s outstanding shares of Class A Common Stock over an 18-month period. On October 23, 2025, the Company’s Board of Directors authorized the repurchase of up to an additional $150.0 million of the Company’s outstanding shares of Class A Common Stock under the existing May 2025 program, providing the Company with $250.0 million available for repurchases. Under the repurchase program, the Company may purchase shares of Class A Common Stock until November 13, 2026 through open market purchases, in privately negotiated transactions or by other means, including trading plans intended to qualify under Rule 10b5-1 of the Securities Exchange Act of 1934, as amended, and ASR agreements, each as permitted under applicable rules and regulations. The amount and timing of repurchases will be determined at the Company’s discretion and will depend on a variety of factors, including price, general business and market conditions, applicable legal requirements, and alternative investment opportunities. The repurchase program does not obligate the Company to acquire any particular amount of Class A Common Stock or at any specific time intervals and may be modified, suspended or terminated at any time. The Company has not yet repurchased shares of Class A Common Stock under this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Annual Report, and our financial statements and the related notes included in Part I, Item 1 “Financial Statements” of this Report. This discussion contains forward-looking statements based upon current expectations that involve risks and uncertainties. Please refer to the section in this Report entitled “Cautionary Note Regarding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a leading provider of smart mobility technology solutions, principally operating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direct commercial fleet owner-operators (“</w:t>
      </w:r>
      <w:r>
        <w:rPr>
          <w:rFonts w:ascii="Times New Roman" w:cs="Times New Roman" w:eastAsia="Times New Roman" w:hAnsi="Times New Roman"/>
          <w:sz w:val="18"/>
          <w:szCs w:val="18"/>
          <w:b w:val="1"/>
          <w:bCs w:val="1"/>
          <w:i w:val="1"/>
          <w:iCs w:val="1"/>
          <w:color w:val="auto"/>
        </w:rPr>
        <w:t>Direct Fleets</w:t>
      </w:r>
      <w:r>
        <w:rPr>
          <w:rFonts w:ascii="Times New Roman" w:cs="Times New Roman" w:eastAsia="Times New Roman" w:hAnsi="Times New Roman"/>
          <w:sz w:val="18"/>
          <w:szCs w:val="18"/>
          <w:color w:val="auto"/>
        </w:rPr>
        <w:t>”), and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as well as governments, universities, parking operators, healthcare facilities, transportation hubs, and violation-issuing authorities. Our vision is to continue to develop and use technology and data intelligence to make transportation safer, smarter, and more connected globally.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three operating and reportable segments, Commercial Services, Government Solutions, and Parking Solutions:</w:t>
      </w:r>
    </w:p>
    <w:p>
      <w:pPr>
        <w:spacing w:after="0" w:line="117" w:lineRule="exact"/>
        <w:rPr>
          <w:sz w:val="20"/>
          <w:szCs w:val="20"/>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Services segment offers toll and violation management solutions and title and registration services for commercial fleet customers, including RACs and FMCs in North America. In Europe, we provide tolling and violations processing services.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Government Solutions segment offers photo enforcement solutions and services to its customers. We provide complete, end-to-end speed, red-light, school bus stop arm, and bus lane enforcement solutions. Our international operations primarily involve the sale of traffic enforcement products and recurring maintenance services related to the equipment and software.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Parking Solutions segment provides an integrated suite of parking software, transaction processing, and hardware solutions to universities, municipalities, commercial parking operators, and health care facilities in the United States and Canada.</w:t>
      </w:r>
    </w:p>
    <w:p>
      <w:pPr>
        <w:spacing w:after="0" w:line="16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We operate under long-term contracts and a reoccurring service revenue model. We continue to execute our strategy to grow revenue organically year-over-year and focus on initiatives that support our long-term strategy. During the periods presented, we:</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revenue by $63.5 million, or 9.7%, from $657.7 million in the nine months ended September 30, 2024 to $721.2 million in the same period in 2025. The increase was mainly due to service revenue resulting from increased travel volume in the Commercial Services segment and installation revenue from the New York City program, the growth from bus lane and school bus stop arm enforcement programs, back-office software-as-a-service (“</w:t>
      </w:r>
      <w:r>
        <w:rPr>
          <w:rFonts w:ascii="Times New Roman" w:cs="Times New Roman" w:eastAsia="Times New Roman" w:hAnsi="Times New Roman"/>
          <w:sz w:val="18"/>
          <w:szCs w:val="18"/>
          <w:b w:val="1"/>
          <w:bCs w:val="1"/>
          <w:i w:val="1"/>
          <w:iCs w:val="1"/>
          <w:color w:val="auto"/>
        </w:rPr>
        <w:t>SaaS</w:t>
      </w:r>
      <w:r>
        <w:rPr>
          <w:rFonts w:ascii="Times New Roman" w:cs="Times New Roman" w:eastAsia="Times New Roman" w:hAnsi="Times New Roman"/>
          <w:sz w:val="18"/>
          <w:szCs w:val="18"/>
          <w:color w:val="auto"/>
        </w:rPr>
        <w:t>”) programs and higher product sales in the Government Solutions segment.</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cash flows from operating activities of $215.8 million and $183.2 million for the nine months ended September 30, 2025 and 2024, respectively. Our cash on hand was $196.1 million as of September 30, 2025.</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Lowered interest expense by $7.6 million for the nine months ended September 30, 2025 compared to the same period in 2024 due to debt refinancing in fiscal year 2024, further discussed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York City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i w:val="1"/>
          <w:iCs w:val="1"/>
          <w:color w:val="auto"/>
        </w:rPr>
        <w:t>”) Red-Light Camera Expansion</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NYCDOT instructed us through a change order to our existing contract with NYCDOT to install up to 250 red-light cameras by year-end 2025 as part of a legislatively authorized expansion. We installed 130 red-light cameras during the third quarter of 2025, which contributed approximately $17.0 million of revenue for the three months ended September 30, 2025, of which, approximately $6.3 million was product revenue and approximately $10.7 million was installation services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NYCDOT Contract</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March 31, 2025, NYCDOT announced that it identified us as the vendor to manage New York City’s automated enforcement camera safety programs for an expected five-year period after our current contract expires in December 2025, with an option for the parties to extend for an additional five years. The New York City automated enforcement program remains an active procurement. We are currently engaged in contract negotiations with NYCDOT and if the contract terms and pricing are materially different from our current contract, or if the parties ultimately fail to consummate a new agreement, it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Refinancing</w:t>
      </w:r>
    </w:p>
    <w:p>
      <w:pPr>
        <w:spacing w:after="0" w:line="11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October 17, 2025, (i) certain of our direct and indirect wholly owned subsidiaries, including VM Consolidated, Inc. (“</w:t>
      </w:r>
      <w:r>
        <w:rPr>
          <w:rFonts w:ascii="Times New Roman" w:cs="Times New Roman" w:eastAsia="Times New Roman" w:hAnsi="Times New Roman"/>
          <w:sz w:val="18"/>
          <w:szCs w:val="18"/>
          <w:b w:val="1"/>
          <w:bCs w:val="1"/>
          <w:i w:val="1"/>
          <w:iCs w:val="1"/>
          <w:color w:val="auto"/>
        </w:rPr>
        <w:t>VM Consolidated</w:t>
      </w:r>
      <w:r>
        <w:rPr>
          <w:rFonts w:ascii="Times New Roman" w:cs="Times New Roman" w:eastAsia="Times New Roman" w:hAnsi="Times New Roman"/>
          <w:sz w:val="18"/>
          <w:szCs w:val="18"/>
          <w:color w:val="auto"/>
        </w:rPr>
        <w:t>”), entered into an Amended and Restated Revolving Credit Agreement (the “</w:t>
      </w:r>
      <w:r>
        <w:rPr>
          <w:rFonts w:ascii="Times New Roman" w:cs="Times New Roman" w:eastAsia="Times New Roman" w:hAnsi="Times New Roman"/>
          <w:sz w:val="18"/>
          <w:szCs w:val="18"/>
          <w:b w:val="1"/>
          <w:bCs w:val="1"/>
          <w:i w:val="1"/>
          <w:iCs w:val="1"/>
          <w:color w:val="auto"/>
        </w:rPr>
        <w:t>Amended and Restated Revolving Credit Agreement</w:t>
      </w:r>
      <w:r>
        <w:rPr>
          <w:rFonts w:ascii="Times New Roman" w:cs="Times New Roman" w:eastAsia="Times New Roman" w:hAnsi="Times New Roman"/>
          <w:sz w:val="18"/>
          <w:szCs w:val="18"/>
          <w:color w:val="auto"/>
        </w:rPr>
        <w:t>”) which provides for a $150 million senior secured asset-based revolving credit facility with a $35 million sublimit for the issuance of letters of credit, and matures on October 17, 2030 (subject to an earlier maturity date in certain circumstances) (the “</w:t>
      </w:r>
      <w:r>
        <w:rPr>
          <w:rFonts w:ascii="Times New Roman" w:cs="Times New Roman" w:eastAsia="Times New Roman" w:hAnsi="Times New Roman"/>
          <w:sz w:val="18"/>
          <w:szCs w:val="18"/>
          <w:b w:val="1"/>
          <w:bCs w:val="1"/>
          <w:i w:val="1"/>
          <w:iCs w:val="1"/>
          <w:color w:val="auto"/>
        </w:rPr>
        <w:t>Amended Revolver</w:t>
      </w:r>
      <w:r>
        <w:rPr>
          <w:rFonts w:ascii="Times New Roman" w:cs="Times New Roman" w:eastAsia="Times New Roman" w:hAnsi="Times New Roman"/>
          <w:sz w:val="18"/>
          <w:szCs w:val="18"/>
          <w:color w:val="auto"/>
        </w:rPr>
        <w:t>”), and (ii) VM Consolidated and certain of our subsidiaries entered into the Amendment and Restatement Agreement No. 2 to the Amended and Restated First Lien Term Loan Credit Agreement dated as of March 26, 2021 (such agreement amended and restated, the “</w:t>
      </w:r>
      <w:r>
        <w:rPr>
          <w:rFonts w:ascii="Times New Roman" w:cs="Times New Roman" w:eastAsia="Times New Roman" w:hAnsi="Times New Roman"/>
          <w:sz w:val="18"/>
          <w:szCs w:val="18"/>
          <w:b w:val="1"/>
          <w:bCs w:val="1"/>
          <w:i w:val="1"/>
          <w:iCs w:val="1"/>
          <w:color w:val="auto"/>
        </w:rPr>
        <w:t>Amended and Restated Term Loan Agreement</w:t>
      </w:r>
      <w:r>
        <w:rPr>
          <w:rFonts w:ascii="Times New Roman" w:cs="Times New Roman" w:eastAsia="Times New Roman" w:hAnsi="Times New Roman"/>
          <w:sz w:val="18"/>
          <w:szCs w:val="18"/>
          <w:color w:val="auto"/>
        </w:rPr>
        <w:t>”), to refinance the existing senior secured term loans in an aggregate outstanding principal amount of approximately $688.8 million with a new senior secured term loan of the same principal amount maturing on October 15, 2032 (the “</w:t>
      </w:r>
      <w:r>
        <w:rPr>
          <w:rFonts w:ascii="Times New Roman" w:cs="Times New Roman" w:eastAsia="Times New Roman" w:hAnsi="Times New Roman"/>
          <w:sz w:val="18"/>
          <w:szCs w:val="18"/>
          <w:b w:val="1"/>
          <w:bCs w:val="1"/>
          <w:i w:val="1"/>
          <w:iCs w:val="1"/>
          <w:color w:val="auto"/>
        </w:rPr>
        <w:t>Amended Term Loan</w:t>
      </w:r>
      <w:r>
        <w:rPr>
          <w:rFonts w:ascii="Times New Roman" w:cs="Times New Roman" w:eastAsia="Times New Roman" w:hAnsi="Times New Roman"/>
          <w:sz w:val="18"/>
          <w:szCs w:val="18"/>
          <w:color w:val="auto"/>
        </w:rPr>
        <w:t xml:space="preserve">”). For more information on the refinancing, see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the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4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May 2025, our Board of Directors authorized a share repurchase program for up to an aggregate amount of $100.0 million of our outstanding shares of Class A Common Stock over an 18-month period. On October 23, 2025, our Board of Directors authorized the repurchase of up to an additional $150.0 million of our outstanding shares of Class A Common Stock under the existing May 2025 program, providing us with $250.0 million available for repurchases. Under the repurchase program, we may purchase shares of Class A Common Stock until November 13, 2026 through open market purchases, in privately negotiated transactions or by other means, including trading plans intended to qualify under Rule 10b5-1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accelerated share repurchase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agreements, each as permitted under applicable rules and regulations. The amount and timing of repurchases will be determined at our discretion and will depend on a variety of factors, including price, general business and market conditions, applicable legal requirements, and alternative investment opportunities. The repurchase program does not obligate us to acquire any particular amount of Class A Common Stock or at any specific time intervals and may be modified, suspended, or terminated at any time at our discretion. We have not yet repurchased shares of Class A Common Stock under this program.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Results of Operations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depends on a number of factors that present opportunities for us but also pose risks and challenges, including those discussed below and in Part I, Item 1A. “Risk Factors” of our Annual Report and in Part II, Item 1A. “Risk Factors” of this Quarterly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Macroeconomic Conditions</w:t>
      </w:r>
    </w:p>
    <w:p>
      <w:pPr>
        <w:spacing w:after="0" w:line="16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business is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the inflationary impact on items such as wages and travel-related costs, future travel demand, legislation regarding the adoption, expansion, or prohibition of automated enforcement and traffic safety technology by local, state, or national governments, and the impact of the government regulations and actions, including tariffs, trade protection measures, or a prolonged government shutdown. We continue to monitor the potential favorable or unfavorable impacts of these and other factors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Travel Demand</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Commercial Services segment is largely impacted by its customer demand which in turn is impacted by a variety of factors including seasonality, demand for business and leisure travel, reductions in the level of air travel, higher airfare costs, increases in energy prices, general international, national, and local economic conditions and cycles, and consumer confidence, as well as other factors affecting travel levels, such as military conflicts, terrorist incidents, natural disasters, epidemic diseases, or a prolonged government shutdown.</w:t>
      </w:r>
    </w:p>
    <w:p>
      <w:pPr>
        <w:spacing w:after="0" w:line="68"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color w:val="auto"/>
        </w:rPr>
        <w:t>We monitor the U.S. Transportation and Security Administration (the “</w:t>
      </w:r>
      <w:r>
        <w:rPr>
          <w:rFonts w:ascii="Times New Roman" w:cs="Times New Roman" w:eastAsia="Times New Roman" w:hAnsi="Times New Roman"/>
          <w:sz w:val="18"/>
          <w:szCs w:val="18"/>
          <w:b w:val="1"/>
          <w:bCs w:val="1"/>
          <w:i w:val="1"/>
          <w:iCs w:val="1"/>
          <w:color w:val="auto"/>
        </w:rPr>
        <w:t>TSA</w:t>
      </w:r>
      <w:r>
        <w:rPr>
          <w:rFonts w:ascii="Times New Roman" w:cs="Times New Roman" w:eastAsia="Times New Roman" w:hAnsi="Times New Roman"/>
          <w:sz w:val="18"/>
          <w:szCs w:val="18"/>
          <w:color w:val="auto"/>
        </w:rPr>
        <w:t>”) passenger volume (“</w:t>
      </w:r>
      <w:r>
        <w:rPr>
          <w:rFonts w:ascii="Times New Roman" w:cs="Times New Roman" w:eastAsia="Times New Roman" w:hAnsi="Times New Roman"/>
          <w:sz w:val="18"/>
          <w:szCs w:val="18"/>
          <w:b w:val="1"/>
          <w:bCs w:val="1"/>
          <w:i w:val="1"/>
          <w:iCs w:val="1"/>
          <w:color w:val="auto"/>
        </w:rPr>
        <w:t>TSA Passenger Volume</w:t>
      </w:r>
      <w:r>
        <w:rPr>
          <w:rFonts w:ascii="Times New Roman" w:cs="Times New Roman" w:eastAsia="Times New Roman" w:hAnsi="Times New Roman"/>
          <w:sz w:val="18"/>
          <w:szCs w:val="18"/>
          <w:color w:val="auto"/>
        </w:rPr>
        <w:t>”) as one of several measures for Commercial Services revenue growth. TSA Passenger Volume measures the number of passengers screened by the TSA at United States airports, which correlates to the number of vehicles rented by travelers and toll road usage. TSA Passenger Volume in the third quarter of 2025 was about 1% greater than TSA Passenger Volume for the same period in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Tolling Penetration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Commercial Services segment, which offers automated toll and violations management solutions to fleet customers, is impacted by the number of toll roads in the United States and Europe and the geographic concentration of such roads. We monitor the expansion and penetration of toll roadways across the United States and Europe and the percentage of toll roads that rely on cashless or all-electronic infrastructure.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Enabling Legislation</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Government Solutions segment is positively impacted, in significant part, by enabling legislation that permits photo enforcement programs at the federal, state, and local level in the United States. Accordingly, we depend on national, state, and local governments authorizing the use of automated photo enforcement and not otherwise materially restricting its use.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Components of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Our Commercial Services segment generates service revenue primarily through the operation and management of tolling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spacing w:after="0" w:line="1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Government Solutions segment generates service revenue through the operation and maintenance of photo enforcement systems and certain hardware installation and relocation activities.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Parking Solutions segment generates service revenue mainly from offering SaaS, subscription fees, professional services, and citation processing services related to parking management solutions to its customers.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8" w:name="page29"/>
    <w:bookmarkEnd w:id="28"/>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are generated by the sale of photo enforcement equipment in the Government Solutions segment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hardware in the Parking Solutions segment. Customer buying patterns vary greatly from period to period related to product sales.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9"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recurring service costs, certain hardware installation and relocation costs, collection and other third-party costs in our segments.</w:t>
      </w:r>
    </w:p>
    <w:p>
      <w:pPr>
        <w:spacing w:after="0" w:line="158"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consists of the cost to acquire photo enforcement equipment purchased by Government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certain hardware installation costs, and costs to develop hardware sold to Parking Solutions customers.</w:t>
      </w:r>
    </w:p>
    <w:p>
      <w:pPr>
        <w:spacing w:after="0" w:line="158" w:lineRule="exact"/>
        <w:rPr>
          <w:sz w:val="20"/>
          <w:szCs w:val="20"/>
          <w:color w:val="auto"/>
        </w:rPr>
      </w:pPr>
    </w:p>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primarily include payroll and payroll-related costs (including stock-based compensation), subcontractor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payment processing, and other operational costs, including print, postage, and communication costs.</w:t>
      </w:r>
    </w:p>
    <w:p>
      <w:pPr>
        <w:spacing w:after="0" w:line="158" w:lineRule="exact"/>
        <w:rPr>
          <w:sz w:val="20"/>
          <w:szCs w:val="20"/>
          <w:color w:val="auto"/>
        </w:rPr>
      </w:pPr>
    </w:p>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include payroll and payroll-related costs (including stock-based compensation), real estate lease expense, insurance costs, professional services fees, and general corporate expenses.</w:t>
      </w:r>
    </w:p>
    <w:p>
      <w:pPr>
        <w:spacing w:after="0" w:line="15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Amortization and (Gain) Loss on Disposal of Assets, Net</w:t>
      </w:r>
      <w:r>
        <w:rPr>
          <w:rFonts w:ascii="Times New Roman" w:cs="Times New Roman" w:eastAsia="Times New Roman" w:hAnsi="Times New Roman"/>
          <w:sz w:val="18"/>
          <w:szCs w:val="18"/>
          <w:color w:val="auto"/>
        </w:rPr>
        <w:t>. Depreciation, amortization and (gain) loss on disposal of assets, net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on property, plant and equipment, and amortization of definite-lived intangible assets. This line item also includes any one-time gains or losses incurred in connection with the disposal of certain assets.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This includes interest expense and amortization of deferred financing costs and discounts and is net of interest income.</w:t>
      </w:r>
    </w:p>
    <w:p>
      <w:pPr>
        <w:spacing w:after="0" w:line="225"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Interest Rate Swap. </w:t>
      </w:r>
      <w:r>
        <w:rPr>
          <w:rFonts w:ascii="Times New Roman" w:cs="Times New Roman" w:eastAsia="Times New Roman" w:hAnsi="Times New Roman"/>
          <w:sz w:val="18"/>
          <w:szCs w:val="18"/>
          <w:color w:val="auto"/>
        </w:rPr>
        <w:t>Loss on interest rate swap related to the changes associated with the derivative instrument re-measured to fair value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the reporting period and the related periodic cash receipts or payments.</w:t>
      </w:r>
    </w:p>
    <w:p>
      <w:pPr>
        <w:spacing w:after="0" w:line="158" w:lineRule="exact"/>
        <w:rPr>
          <w:sz w:val="20"/>
          <w:szCs w:val="20"/>
          <w:color w:val="auto"/>
        </w:rPr>
      </w:pPr>
    </w:p>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consists of the write-off of pre-existing original issue discounts and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costs associated with debt extinguishment.</w:t>
      </w:r>
    </w:p>
    <w:p>
      <w:pPr>
        <w:spacing w:after="0" w:line="158"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primarily consists of volume rebates earned from total spend on credit card transactions, gains or losses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transactions, and other non-operating expenses.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Compared to Three Months Ended September 30, 2024</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8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4"/>
          </w:tcPr>
          <w:p>
            <w:pPr>
              <w:jc w:val="center"/>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7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7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243,219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217,267</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92.9%</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96.3%</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25,952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8,284</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126.0%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261,938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225,551</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100.0%</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36,387</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Cost of service revenue, excluding depreciation and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5,378</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71.9%</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12,826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5,621</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4.9%</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7,205</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128.2%</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88,036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76,026</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33.6%</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47,757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47,918</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18.2%</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(161)</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29,264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26,718</w:t>
            </w:r>
          </w:p>
        </w:tc>
        <w:tc>
          <w:tcPr>
            <w:tcW w:w="22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11.2%</w:t>
            </w:r>
          </w:p>
        </w:tc>
        <w:tc>
          <w:tcPr>
            <w:tcW w:w="1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2,546</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 of assets, net</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187,129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161,661</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71.4%</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71.7%</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25,468</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74,809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63,890</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28.6%</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16,421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18,723</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6.3%</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(2,302)</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interest rate swap</w:t>
            </w:r>
          </w:p>
        </w:tc>
        <w:tc>
          <w:tcPr>
            <w:tcW w:w="2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22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(913)</w:t>
            </w:r>
          </w:p>
        </w:tc>
        <w:tc>
          <w:tcPr>
            <w:tcW w:w="3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0.0%</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0.0%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(12)</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(36.4)%</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(6,298)</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(4,272)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(2.4)%</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other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10,144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15,397</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3.9%</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(5,253)</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64,665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48,493</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24.7%</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17,826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13,761</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6.8%</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4,065</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46,839</w:t>
            </w:r>
          </w:p>
        </w:tc>
        <w:tc>
          <w:tcPr>
            <w:tcW w:w="24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34,732</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17.9%</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-1216660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-1216660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-1216660</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-1216660</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-1216660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-427990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-427990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-427990</wp:posOffset>
            </wp:positionV>
            <wp:extent cx="1371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-427990</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-427990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-162560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-162560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-162560</wp:posOffset>
            </wp:positionV>
            <wp:extent cx="137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-162560</wp:posOffset>
            </wp:positionV>
            <wp:extent cx="1371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-162560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$26.0 million, or 11.9%, to $243.2 million for the three months ended September 30, 2025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$217.3 million for the three months ended September 30, 2024, representing 92.9% and 96.3% of total revenue, respectively. The following table depicts service revenue by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80" w:type="dxa"/>
            <w:vAlign w:val="bottom"/>
            <w:gridSpan w:val="4"/>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60" w:type="dxa"/>
            <w:vAlign w:val="bottom"/>
            <w:gridSpan w:val="4"/>
          </w:tcPr>
          <w:p>
            <w:pPr>
              <w:jc w:val="center"/>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700" w:type="dxa"/>
            <w:vAlign w:val="bottom"/>
            <w:vMerge w:val="restart"/>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Services</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117,296</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109,139</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Solutions</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91,003</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41.3%</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2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Parking Solutions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service revenue</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243,219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217,267</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92.9%</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96.3%</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25,952</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1111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1111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1111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1111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Commercial Services service revenue increased by $8.2 million, or 7.5%, from $109.1 million for the three months ended September 30, 2024 to $117.3 million for the three months ended September 30, 2025. The increase was primarily due to increased product adoption and tolling activity compared to the prior year which contributed to a $5.4 million growth in RAC tolling revenue during the three months ended September 30, 2025, compared to the same period in 2024. In addition, we derived $2.2 million of increased revenue from our European operations, partially offset by lower revenue generated from our FMC customers due to customer churn.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Government Solutions service revenue increased by $17.3 million, or 19.0%, from $91.0 million for the three months ended September 30, 2024, to $108.3 million for the three months ended September 30, 2025. The increase was primarily driven by a $10.7 million increase from installation service revenue driven by the NYCDOT red-light expansion program and $3.2 million from the expansion of bus lane and school bus stop arm enforcement programs, with the remaining increase driven primarily by speed and red-light enforcement programs.</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Parking Solutions service revenue increased to $17.6 million for the three months ended September 30, 2025, from $17.1 million for the three months ended September 30, 2024. The increased revenue from SaaS product offerings and professional services revenue was partially offset by a decrease in subscription services revenue related to parking management solutions.</w:t>
      </w:r>
    </w:p>
    <w:p>
      <w:pPr>
        <w:spacing w:after="0" w:line="17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were $18.7 million and $8.3 million for the three months ended September 30, 2025 and 2024, respectively.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increased by $10.4 million, which was due to a $9.4 million increase in product sales in the Government Solutions segment driven by international product sales and red-light camera sales to NYCDOT as well as a $1.0 million increase in product sales from the Parking Solutions segment. Customer buying patterns vary greatly from period to period related to product sales.</w:t>
      </w:r>
    </w:p>
    <w:p>
      <w:pPr>
        <w:spacing w:after="0" w:line="18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increased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$5.4 million for the three months ended September 30, 2024 to $9.2 million for the same period in 2025, mainly due to costs of NYCDOT camera sales and increased recurring service costs.</w:t>
      </w:r>
    </w:p>
    <w:p>
      <w:pPr>
        <w:spacing w:after="0" w:line="173"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by $7.2 million from $5.6 million in the three months ended September 30, 2024 to $12.8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three months ended September 30, 2025, which was in line with the increase in product sales discussed above.</w:t>
      </w:r>
    </w:p>
    <w:p>
      <w:pPr>
        <w:spacing w:after="0" w:line="15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$12.0 million, or 15.8%, from $76.0 million for the three months ended September 30,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$88.0 million for the three months ended September 30, 2025. The increase in 2025 compared to the prior period was primarily in the Government Solutions segment for approximately $9.8 million due to increases in wages and subcontractor costs. Operating expenses as a percentage of total revenue decreased from 33.7% to 33.6% for the three months ended September 30, 2024 and 2025, respectively. The following table presents operating expenses by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60" w:type="dxa"/>
            <w:vAlign w:val="bottom"/>
            <w:gridSpan w:val="4"/>
          </w:tcPr>
          <w:p>
            <w:pPr>
              <w:jc w:val="center"/>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22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32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Solutions</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46,168</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4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Parking Solutions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by segment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86,584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74,979</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33.1%</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88,036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76,026</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628"/>
        </w:trPr>
        <w:tc>
          <w:tcPr>
            <w:tcW w:w="1000" w:type="dxa"/>
            <w:vAlign w:val="bottom"/>
            <w:tcBorders>
              <w:top w:val="single" w:sz="8" w:color="CFF0FC"/>
            </w:tcBorders>
          </w:tcPr>
          <w:p>
            <w:pPr>
              <w:spacing w:after="0"/>
              <w:rPr>
                <w:sz w:val="24"/>
                <w:szCs w:val="24"/>
                <w:color w:val="auto"/>
              </w:rPr>
            </w:pPr>
          </w:p>
        </w:tc>
        <w:tc>
          <w:tcPr>
            <w:tcW w:w="3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-933450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-916305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-933450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-916305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-933450</wp:posOffset>
            </wp:positionV>
            <wp:extent cx="1111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-916305</wp:posOffset>
            </wp:positionV>
            <wp:extent cx="1111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-933450</wp:posOffset>
            </wp:positionV>
            <wp:extent cx="1111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-916305</wp:posOffset>
            </wp:positionV>
            <wp:extent cx="1111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-933450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-916305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1" w:name="page32"/>
    <w:bookmarkEnd w:id="31"/>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slightly to $47.8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compared to $47.9 million for the same period in 2024. This is primarily due to a $4.7 million decrease in transaction, restructuring, and other expenses partially offset by a $2.4 million increase in credit loss expense and a $2.2 million increase in wages and benefits expense compared to the same period in the prior year. Selling, general and administrative expenses as a percentage of total revenue decreased from 21.2% to 18.2% for the three months ended September 30, 2024 and 2025, respectively. The following table presents selling, general and administrative expenses by segment: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40" w:type="dxa"/>
            <w:vAlign w:val="bottom"/>
            <w:gridSpan w:val="4"/>
          </w:tcPr>
          <w:p>
            <w:pPr>
              <w:jc w:val="center"/>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16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3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Services</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Solutions</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Parking Solutions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 by segment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45,505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39,061</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17.4%</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(6,605)</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47,757</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47,918</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1111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1111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1111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1111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$2.6 million to $29.3 million for the three months ended September 30, 2025 from $26.7 million for the same period in 2024. This was primarily due to an increase in depreciation expense for the Government Solutions segment and Commercial Services segment in the 2025 period.</w:t>
      </w:r>
    </w:p>
    <w:p>
      <w:pPr>
        <w:spacing w:after="0" w:line="17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decreased by approximately $2.3 million from $18.7 million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$16.4 million for the same period in 2025. This was primarily attributable to an additional 50 basis-point reduction in the interest rate from refinancing our debt in October 2024 coupled with decreasing SOFR rates.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w:t>
      </w:r>
    </w:p>
    <w:p>
      <w:pPr>
        <w:spacing w:after="0" w:line="17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on Interest Rate Swap. </w:t>
      </w:r>
      <w:r>
        <w:rPr>
          <w:rFonts w:ascii="Times New Roman" w:cs="Times New Roman" w:eastAsia="Times New Roman" w:hAnsi="Times New Roman"/>
          <w:sz w:val="18"/>
          <w:szCs w:val="18"/>
          <w:color w:val="auto"/>
        </w:rPr>
        <w:t>We recorded a loss of $0.9 million during the three months ended September 30, 2024, of which $1.2 million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derivative instrument re-measured to fair value at the end of the reporting period, offset by $0.3 million related to the monthly cash proceeds on the interest rate swap. We exercised our option to cancel the interest rate swap agreement effective the end of the third quarter of 2024.</w:t>
      </w:r>
    </w:p>
    <w:p>
      <w:pPr>
        <w:spacing w:after="0" w:line="17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recorded less than $0.1 million of loss on extinguishment of debt during both the three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and 2024 related to the write-off of pre-existing deferred financing costs and discounts in connection with the early repayment on the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20" w:firstLine="37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$6.3 million for the three months ended September 30, 2025 compared to $4.3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The increase was primarily from increases</w:t>
      </w:r>
    </w:p>
    <w:p>
      <w:pPr>
        <w:spacing w:after="0"/>
        <w:rPr>
          <w:sz w:val="20"/>
          <w:szCs w:val="20"/>
          <w:color w:val="auto"/>
        </w:rPr>
      </w:pPr>
      <w:r>
        <w:rPr>
          <w:rFonts w:ascii="Times New Roman" w:cs="Times New Roman" w:eastAsia="Times New Roman" w:hAnsi="Times New Roman"/>
          <w:sz w:val="18"/>
          <w:szCs w:val="18"/>
          <w:color w:val="auto"/>
        </w:rPr>
        <w:t>in volume rebates earned from total spend on credit card transactions due to increased tolling and travel activity.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32" w:name="page33"/>
    <w:bookmarkEnd w:id="32"/>
    <w:p>
      <w:pPr>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$17.8 million representing an effective tax rate of 27.6%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a tax provision of $13.8 million, with an effective tax rate of 28.4% for the same period in 2024.</w:t>
      </w:r>
    </w:p>
    <w:p>
      <w:pPr>
        <w:spacing w:after="0" w:line="15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$46.8 million for the three months ended September 30, 2025, as compared to a net income of $34.7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2024. The $12.1 million increase in net income was primarily due to the increase in service revenue and product sales, a decrease in interest expense, and the other statement of operations activity discussed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Nine Months Ended September 30, 2024</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8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gridSpan w:val="4"/>
          </w:tcPr>
          <w:p>
            <w:pPr>
              <w:jc w:val="center"/>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7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7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678,598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632,005</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94.1%</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96.1%</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46,593</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25,702</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5.9%</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65.8%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721,217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657,707</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100.0%</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63,510</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Cost of service revenue, excluding depreciation and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14,324</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r>
        <w:trPr>
          <w:trHeight w:val="204"/>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29,804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18,755</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4.1%</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11,049</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58.9%</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243,092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221,569</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33.7%</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21,523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147,724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142,432</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20.5%</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5,292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86,551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81,215</w:t>
            </w:r>
          </w:p>
        </w:tc>
        <w:tc>
          <w:tcPr>
            <w:tcW w:w="22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12.0%</w:t>
            </w:r>
          </w:p>
        </w:tc>
        <w:tc>
          <w:tcPr>
            <w:tcW w:w="1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5,336</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 of assets, net</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525,829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478,295</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72.9%</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72.7%</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47,534</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195,388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179,412</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27.1%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15,976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49,629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57,203</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6.9%</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(7,574)</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interest rate swap</w:t>
            </w:r>
          </w:p>
        </w:tc>
        <w:tc>
          <w:tcPr>
            <w:tcW w:w="2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22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(494)</w:t>
            </w:r>
          </w:p>
        </w:tc>
        <w:tc>
          <w:tcPr>
            <w:tcW w:w="3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0.0%</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(559)</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(89.0)%</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(16,410)</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(13,970)</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(2,440)</w:t>
            </w: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other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33,288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44,355</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4.6%</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(11,067)</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135,057</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27,043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44,347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36,953</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6.2%</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7,394</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117,753</w:t>
            </w:r>
          </w:p>
        </w:tc>
        <w:tc>
          <w:tcPr>
            <w:tcW w:w="24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98,104</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14.9%</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19,649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-1216660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-1216660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-1216660</wp:posOffset>
            </wp:positionV>
            <wp:extent cx="1371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-1216660</wp:posOffset>
            </wp:positionV>
            <wp:extent cx="1371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-1216660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-427990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-427990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-427990</wp:posOffset>
            </wp:positionV>
            <wp:extent cx="137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-427990</wp:posOffset>
            </wp:positionV>
            <wp:extent cx="137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-427990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-162560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-162560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-162560</wp:posOffset>
            </wp:positionV>
            <wp:extent cx="1371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-162560</wp:posOffset>
            </wp:positionV>
            <wp:extent cx="137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-162560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$46.6 million, or 7.4%, to $678.6 million for the nine months ended September 30, 2025 from $632.0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2024, representing 94.1% and 96.1% of total revenue, respectively. The following table depicts service revenue by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80" w:type="dxa"/>
            <w:vAlign w:val="bottom"/>
            <w:gridSpan w:val="4"/>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60" w:type="dxa"/>
            <w:vAlign w:val="bottom"/>
            <w:gridSpan w:val="4"/>
          </w:tcPr>
          <w:p>
            <w:pPr>
              <w:jc w:val="center"/>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700" w:type="dxa"/>
            <w:vAlign w:val="bottom"/>
            <w:vMerge w:val="restart"/>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Services</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327,735</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309,013</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Solutions</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300,246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272,747</w:t>
            </w: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41.6%</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Parking Solutions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50,245</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service revenue</w:t>
            </w: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678,598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632,005</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94.1%</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46,593</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669"/>
        </w:trPr>
        <w:tc>
          <w:tcPr>
            <w:tcW w:w="1000" w:type="dxa"/>
            <w:vAlign w:val="bottom"/>
            <w:tcBorders>
              <w:top w:val="single" w:sz="8" w:color="CFF0FC"/>
            </w:tcBorders>
          </w:tcPr>
          <w:p>
            <w:pPr>
              <w:spacing w:after="0"/>
              <w:rPr>
                <w:sz w:val="24"/>
                <w:szCs w:val="24"/>
                <w:color w:val="auto"/>
              </w:rPr>
            </w:pPr>
          </w:p>
        </w:tc>
        <w:tc>
          <w:tcPr>
            <w:tcW w:w="170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6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-959485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-942340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-959485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-942340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-959485</wp:posOffset>
            </wp:positionV>
            <wp:extent cx="1111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-942340</wp:posOffset>
            </wp:positionV>
            <wp:extent cx="1111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-959485</wp:posOffset>
            </wp:positionV>
            <wp:extent cx="1111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-942340</wp:posOffset>
            </wp:positionV>
            <wp:extent cx="1111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-959485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-942340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3" w:name="page34"/>
    <w:bookmarkEnd w:id="33"/>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Commercial Services service revenue increased by $18.7 million, or 6.1%, from $309.0 million for the nine months ended September 30, 2024 to $327.7 million for the nine months ended September 30, 2025. The increase was primarily due to increased product adoption and tolling activity compared to the prior year. These factors contributed to a $12.3 million growth in RAC tolling revenue and the remaining increase was driven mainly by an increase of $4.1 million from European operations during the nine months ended September 30, 2025, compared to the same period in 2024.</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Government Solutions service revenue increased by $27.5 million, or 10.1%, from $272.7 million for the nine months ended September 30, 2024, to $300.2 million for the nine months ended September 30, 2025. The increase was primarily driven by $11.7 million from the expansion of bus lane and school bus stop arm enforcement programs, $10.1 million from installation service revenue driven by the NYCDOT red-light expansion program, and the remaining increase is mainly from speed and red-light enforcement programs.</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Parking Solutions service revenue increased to $50.6 million for the nine months ended September 30, 2025, from $50.2 million for the nine months ended September 30, 2024. The increased revenue from SaaS product offerings and professional services was offset by a decrease in subscription services related to parking management solutions.</w:t>
      </w:r>
    </w:p>
    <w:p>
      <w:pPr>
        <w:spacing w:after="0" w:line="174"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were $42.6 million and $25.7 million for the nine months ended September 30, 2025 and 2024, respectively.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increased by $16.9 million due to a $16.2 million increase in product sales in the Government Solutions segment driven by international product sales and red-light camera sales to NYCDOT. Customer buying patterns vary greatly from period to period related to product sales.</w:t>
      </w:r>
    </w:p>
    <w:p>
      <w:pPr>
        <w:spacing w:after="0" w:line="17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increased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$14.3 million for the nine months ended September 30, 2024 to $18.7 million for the nine months ended September 30, 2025, mainly due to costs of NYCDOT camera sales and increased recurring service costs.</w:t>
      </w:r>
    </w:p>
    <w:p>
      <w:pPr>
        <w:spacing w:after="0" w:line="173" w:lineRule="exact"/>
        <w:rPr>
          <w:sz w:val="20"/>
          <w:szCs w:val="20"/>
          <w:color w:val="auto"/>
        </w:rPr>
      </w:pPr>
    </w:p>
    <w:p>
      <w:pPr>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by approximately $11.0 million from $18.8 million in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$29.8 million in the nine months ended September 30, 2025, which was in line with the increase in product sales discussed above.</w:t>
      </w:r>
    </w:p>
    <w:p>
      <w:pPr>
        <w:spacing w:after="0" w:line="15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$21.5 million, or 9.7%, from $221.6 million for the nine months ended September 30,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$243.1 million for the nine months ended September 30, 2025. The increase in 2025 compared to the prior year was primarily in the Government Solutions segment for approximately $19.4 million due to increases in wages and subcontractor and operational equipment costs, partially offset by a decrease in wage expense in the Parking Solutions segment. Operating expenses as a percentage of total revenue remained flat at 33.7% for both the nine months ended September 30, 2024 and 2025. The following table presents operating expenses by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80" w:type="dxa"/>
            <w:vAlign w:val="bottom"/>
            <w:gridSpan w:val="4"/>
          </w:tcPr>
          <w:p>
            <w:pPr>
              <w:jc w:val="center"/>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2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3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320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Services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69,351</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Solutions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155,344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135,923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Parking Solutions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(1,410)</w:t>
            </w:r>
          </w:p>
        </w:tc>
        <w:tc>
          <w:tcPr>
            <w:tcW w:w="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by segment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239,039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218,383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33.1%</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243,092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221,569</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21,523</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629"/>
        </w:trPr>
        <w:tc>
          <w:tcPr>
            <w:tcW w:w="1000" w:type="dxa"/>
            <w:vAlign w:val="bottom"/>
            <w:tcBorders>
              <w:top w:val="single" w:sz="8" w:color="CFF0FC"/>
            </w:tcBorders>
          </w:tcPr>
          <w:p>
            <w:pPr>
              <w:spacing w:after="0"/>
              <w:rPr>
                <w:sz w:val="24"/>
                <w:szCs w:val="24"/>
                <w:color w:val="auto"/>
              </w:rPr>
            </w:pPr>
          </w:p>
        </w:tc>
        <w:tc>
          <w:tcPr>
            <w:tcW w:w="3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6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-934085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-916940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-934085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-916940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-934085</wp:posOffset>
            </wp:positionV>
            <wp:extent cx="1111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-916940</wp:posOffset>
            </wp:positionV>
            <wp:extent cx="1111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-934085</wp:posOffset>
            </wp:positionV>
            <wp:extent cx="1111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-916940</wp:posOffset>
            </wp:positionV>
            <wp:extent cx="1111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-934085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-916940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4" w:name="page35"/>
    <w:bookmarkEnd w:id="34"/>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to $147.7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compared to $142.4 million for the same period in 2024. This is primarily due to a $7.0 million increase in credit loss expense and $4.6 million in increased professional services fees, partially offset by a decrease in transaction and restructuring expenses compared to the same period in 2024. Selling, general and administrative expenses as a percentage of total revenue decreased from 21.7% to 20.5% for the nine months ended September 30, 2024 and 2025, respectively. The following table presents selling, general and administrative expenses by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gridSpan w:val="4"/>
          </w:tcPr>
          <w:p>
            <w:pPr>
              <w:jc w:val="center"/>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16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3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Services</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Solutions</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53,490</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Parking Solutions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 by segment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134,631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120,356</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22,076</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(8,983)</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147,724</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142,432</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1111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1111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1111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1111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$5.4 million to $86.6 million for the nine months ended September 30, 2025 from $81.2 million for the same period in 2024. This was primarily due to an increase in depreciation expense related to equipment and software in the 2025 period compared to the 2024 period.</w:t>
      </w:r>
    </w:p>
    <w:p>
      <w:pPr>
        <w:spacing w:after="0" w:line="17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decreased by $7.6 million from $57.2 million for the nine months ended September 30, 2024 to $49.6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in 2025. This was primarily attributable to an additional 50 basis-point reduction in the interest rate from refinancing our debt in October 2024 coupled with decreasing SOFR rates.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w:t>
      </w:r>
    </w:p>
    <w:p>
      <w:pPr>
        <w:spacing w:after="0" w:line="17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on Interest Rate Swap. </w:t>
      </w:r>
      <w:r>
        <w:rPr>
          <w:rFonts w:ascii="Times New Roman" w:cs="Times New Roman" w:eastAsia="Times New Roman" w:hAnsi="Times New Roman"/>
          <w:sz w:val="18"/>
          <w:szCs w:val="18"/>
          <w:color w:val="auto"/>
        </w:rPr>
        <w:t>We recorded a $0.5 million loss during the nine months ended September 30, 2024, of which $1.3 million is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derivative instrument re-measured to fair value at the end of the reporting period offset by $(0.8) million related to the monthly cash proceeds. We exercised our option to cancel the interest rate swap agreement effective the end of the third quarter of 2024.</w:t>
      </w:r>
    </w:p>
    <w:p>
      <w:pPr>
        <w:spacing w:after="0" w:line="17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recorded less than $0.1 million of loss on extinguishment of debt during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related to the write-off of pre-existing deferred financing costs and discounts in connection with the early repayments on the 2021 Term Loan. We recorded a $0.6 million loss on extinguishment of debt during the nine months ended September 30, 2024 related to the write-off of pre-existing deferred financing costs and discounts in connection with the refinancing of the 2021 Term Loan in February 2024.</w:t>
      </w:r>
    </w:p>
    <w:p>
      <w:pPr>
        <w:spacing w:after="0" w:line="180"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$16.4 million for the nine months ended September 30, 2025 compared to approximately $14.0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2024. The increase was mainly from increases</w:t>
      </w:r>
    </w:p>
    <w:p>
      <w:pPr>
        <w:jc w:val="both"/>
        <w:spacing w:after="0" w:line="260" w:lineRule="auto"/>
        <w:rPr>
          <w:sz w:val="20"/>
          <w:szCs w:val="20"/>
          <w:color w:val="auto"/>
        </w:rPr>
      </w:pPr>
      <w:r>
        <w:rPr>
          <w:rFonts w:ascii="Times New Roman" w:cs="Times New Roman" w:eastAsia="Times New Roman" w:hAnsi="Times New Roman"/>
          <w:sz w:val="18"/>
          <w:szCs w:val="18"/>
          <w:color w:val="auto"/>
        </w:rPr>
        <w:t>in volume rebates earned from total spend on credit card transactions due to increased tolling and travel activity as well as non-operating income from foreign currency transactions in the 2025 period.</w:t>
      </w:r>
    </w:p>
    <w:p>
      <w:pPr>
        <w:spacing w:after="0" w:line="179" w:lineRule="exact"/>
        <w:rPr>
          <w:sz w:val="20"/>
          <w:szCs w:val="20"/>
          <w:color w:val="auto"/>
        </w:rPr>
      </w:pPr>
    </w:p>
    <w:p>
      <w:pPr>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$44.3 million representing an effective tax rate of 27.4%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a tax provision of $37.0 million, with an effective tax rate of 27.4% for the same period in 2024.</w:t>
      </w:r>
    </w:p>
    <w:p>
      <w:pPr>
        <w:spacing w:after="0" w:line="15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$117.8 million for the nine months ended September 30, 2025, as compared to a net income of $98.1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2024. The $19.6 million increase in net income was primarily due to the increase in service revenue and product sales, a decrease in interest expense, and the other statement of operations activity discussed above.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principal sources of liquidity are cash flows from operations and the available borrowing under our Revolver.</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provided by operating activities, and our ability to borrow under our Revolver will be sufficient to meet operating cash requirements, service debt obligations, and fund potential share repurchases for at least the next 12 months and thereafter for the foreseeable future.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w:t>
      </w:r>
    </w:p>
    <w:p>
      <w:pPr>
        <w:spacing w:after="0" w:line="75"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have incurred significant long-term debt as a result of acquisitions completed in prior years. Should we pursue strategic acquisitions, we may need to raise additional capital, which may be in the form of additional long-term debt, borrowings on our Revolver, or equity financings, all of which may not be available to us on favorable terms or at all. We have the ability to borrow under our Revolver to meet obligations as they come due.</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entered into the Revolver in March 2018. On May 15, 2025, we exercised our option to increase the commitments under the terms of the Revolver and entered into a fourth amendment to the Revolver which increased the existing commitment from $75.0 million to $125.0 million available for loans and letters of credit. As of September 30, 2025, we had no outstanding borrowings and $123.2 million available for borrowing, net of letters of credit, under our Revolver. Our cash on hand was $196.1 million as of September 30, 2025.</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On October 17, 2025, VM Consolidated amended and restated the Revolver and entered into the Amended and Restated Revolving Credit Agreement governing the Amended Revolver which increased commitments from $125.0 million to $150.0 million and extended the maturity date to October 17, 2030. See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the Condensed Consolidated Financial Statements for additional information.</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fiscal year 2024, we refinanced the 2021 Term Loan which reduced the interest rate by an aggregate 1.00% and eliminated the applicable credit spread adjustment. We made early repayments of approximately $2.3 million and $6.8 million on our 2021 Term Loan during the three and nine months ended September 30, 2025, and as a result, the total principal outstanding on the 2021 Term Loan was $688.8 million as of September 30, 2025.</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On October 17, 2025, we refinanced the existing senior secured term loans under the 2021 Term Loan in an aggregate outstanding principal amount of approximately $688.8 million with the Amended Term Loan of the same principal amount maturing on October 15, 2032. See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the Condensed Consolidated Financial Statements for additional information.</w:t>
      </w:r>
    </w:p>
    <w:p>
      <w:pPr>
        <w:spacing w:after="0" w:line="68" w:lineRule="exact"/>
        <w:rPr>
          <w:sz w:val="20"/>
          <w:szCs w:val="20"/>
          <w:color w:val="auto"/>
        </w:rPr>
      </w:pPr>
    </w:p>
    <w:p>
      <w:pPr>
        <w:ind w:firstLine="554"/>
        <w:spacing w:after="0" w:line="266" w:lineRule="auto"/>
        <w:rPr>
          <w:sz w:val="20"/>
          <w:szCs w:val="20"/>
          <w:color w:val="auto"/>
        </w:rPr>
      </w:pPr>
      <w:r>
        <w:rPr>
          <w:rFonts w:ascii="Times New Roman" w:cs="Times New Roman" w:eastAsia="Times New Roman" w:hAnsi="Times New Roman"/>
          <w:sz w:val="18"/>
          <w:szCs w:val="18"/>
          <w:color w:val="auto"/>
        </w:rPr>
        <w:t>At September 30, 2025, the tax receivable agreement liability was approximately $43.1 million. During the second quarter of 2025, we made an estimated payment of $5.0 million related to the 2024 tax year. We expect to make payments of approximately $5.3 million per year for the next eight years and approximately $1.1 million in the final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11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October 2023, our Board of Directors authorized a share repurchase program for up to an aggregate amount of $100.0 million of our outstanding shares of Class A Common Stock over an 18-month period. After we repurchased an aggregate 3.5 million shares for approximately $87.3 million in fiscal year 2024, in December 2024, our Board of Directors authorized the repurchase of up to an additional $100.0 million of our outstanding shares under the then-existing program, providing us with approximately $112.7 million available for repurchases. On December 11, 2024, we entered into an ASR agreement with a third-party financial institution and paid $112.7 million to receive an initial delivery of 3,821,958 shares of our Class A Common Stock. The final settlement occurred on March 3, 2025, at which time, we received an additional 685,934 shares calculated using a volume-weighted average price over the term of the ASR agreement. All repurchased shares were subsequently retired. The authorization under this repurchase program ended on April 30, 2025.</w:t>
      </w:r>
    </w:p>
    <w:p>
      <w:pPr>
        <w:spacing w:after="0" w:line="8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During the nine months ended September 30, 2025, we paid approximately $1.7 million for excise taxes related to 2024 net share repurchases.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May 17, 2025, our Board of Directors authorized a new share repurchase program for up to an aggregate amount of $100.0 million of our outstanding shares of Class A Common Stock. On October 23, 2025, our Board of Directors authorized a $150.0 million increase to the size of the share repurchase program, authorizing share repurchases up to an aggregate $250.0 million. Under the repurchase program, we may purchase shares of Class A Common Stock until November 13, 2026 through open market purchases, in privately negotiated transactions or by other means, including trading plans intended to qualify under Rule 10b5-1 of the Exchange Act, and ASR agreements, each as permitted under applicable rules and regulations. The amount and timing of repurchases will be determined at our discretion and will depend on a variety of factors, including price, general business and market conditions, applicable legal requirements, and alternative investment opportunities. The repurchase program does not obligate us to acquire any particular amount of Class A Common Stock or at any specific time intervals and may be modified, suspended, or terminated at any time at our discretion. We have not yet repurchased shares of Class A Common Stock under this program.</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certain captions indicated on our statements of cash flows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6720" w:type="dxa"/>
            <w:vAlign w:val="bottom"/>
            <w:vMerge w:val="restart"/>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672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215,828</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183,155</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(51,031)</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(13,320)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(59,574)</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increased by $32.6 million from $183.2 million for the nine months ended September 30, 2024 to $215.8 million for the nine months ended September 30, 2025. Net income year-over-year increased by $19.6 million, from $98.1 million in 2024 to $117.8 million in 2025. The aggregate adjustments to reconcile net income to net cash provided by operating activities increased $14.8 million mainly due to increased credit loss expense, deferred income tax, and depreciation expense. The aggregate changes in operating assets and liabilities decreased by $1.8 million in 2025 compared to the prior year primarily due to an increase in the net use of working capital, of which, the majority is attributable to an increase in accounts receivable partially offset by a large payment that reduced accounts payable in the first half of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$84.7 million and $51.0 million for the nine months ended September 30, 2025 and 2024, respectively. The increase in cash used was primarily driven by a $32.9 million increase for purchases of installation and service parts and property and equipment mainly for the Government Solutions segment compared to the same period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$13.3 million and $59.6 million for the nine months ended September 30, 2025 and 2024, respectively. The decreased use in cash from financing activities was mainly due to $51.5 million of share repurchases in 2024 and no comparable repurchases in the current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March 2021, VM Consolidated, our wholly owned subsidiary, entered into the 2021 Term Loan with a syndicate of lenders. The 2021 Term Loan has an aggregate borrowing of $900.0 million, maturing on March 24, 2028. In connection with the 2021 Term Loan borrowings, we had $4.6 million of offering discount costs and $4.5 million in deferred financing costs, both of which were capitalized and are being amortized over the remaining life of the 2021 Term Loan.</w:t>
      </w:r>
    </w:p>
    <w:p>
      <w:pPr>
        <w:spacing w:after="0" w:line="176"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February 2024, VM Consolidated entered into a third amendment to the 2021 Term Loan (the “</w:t>
      </w:r>
      <w:r>
        <w:rPr>
          <w:rFonts w:ascii="Times New Roman" w:cs="Times New Roman" w:eastAsia="Times New Roman" w:hAnsi="Times New Roman"/>
          <w:sz w:val="18"/>
          <w:szCs w:val="18"/>
          <w:b w:val="1"/>
          <w:bCs w:val="1"/>
          <w:i w:val="1"/>
          <w:iCs w:val="1"/>
          <w:color w:val="auto"/>
        </w:rPr>
        <w:t>Third Amendment</w:t>
      </w:r>
      <w:r>
        <w:rPr>
          <w:rFonts w:ascii="Times New Roman" w:cs="Times New Roman" w:eastAsia="Times New Roman" w:hAnsi="Times New Roman"/>
          <w:sz w:val="18"/>
          <w:szCs w:val="18"/>
          <w:color w:val="auto"/>
        </w:rPr>
        <w:t>”) and in October 2024, a fourth amendment to the 2021 Term Loan (the “</w:t>
      </w:r>
      <w:r>
        <w:rPr>
          <w:rFonts w:ascii="Times New Roman" w:cs="Times New Roman" w:eastAsia="Times New Roman" w:hAnsi="Times New Roman"/>
          <w:sz w:val="18"/>
          <w:szCs w:val="18"/>
          <w:b w:val="1"/>
          <w:bCs w:val="1"/>
          <w:i w:val="1"/>
          <w:iCs w:val="1"/>
          <w:color w:val="auto"/>
        </w:rPr>
        <w:t>Fourth Amendment</w:t>
      </w:r>
      <w:r>
        <w:rPr>
          <w:rFonts w:ascii="Times New Roman" w:cs="Times New Roman" w:eastAsia="Times New Roman" w:hAnsi="Times New Roman"/>
          <w:sz w:val="18"/>
          <w:szCs w:val="18"/>
          <w:color w:val="auto"/>
        </w:rPr>
        <w:t>”) to refinance the 2021 Term Loan (the “</w:t>
      </w:r>
      <w:r>
        <w:rPr>
          <w:rFonts w:ascii="Times New Roman" w:cs="Times New Roman" w:eastAsia="Times New Roman" w:hAnsi="Times New Roman"/>
          <w:sz w:val="18"/>
          <w:szCs w:val="18"/>
          <w:b w:val="1"/>
          <w:bCs w:val="1"/>
          <w:i w:val="1"/>
          <w:iCs w:val="1"/>
          <w:color w:val="auto"/>
        </w:rPr>
        <w:t>Refinancing Transactions</w:t>
      </w:r>
      <w:r>
        <w:rPr>
          <w:rFonts w:ascii="Times New Roman" w:cs="Times New Roman" w:eastAsia="Times New Roman" w:hAnsi="Times New Roman"/>
          <w:sz w:val="18"/>
          <w:szCs w:val="18"/>
          <w:color w:val="auto"/>
        </w:rPr>
        <w:t>”). Pursuant to the Third Amendment and Fourth Amendment, the interest rate was reduced by an aggregate 1.00% to Term Secured Overnight Financing Rate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plus 2.25% from SOFR plus 3.25% with the SOFR floor unchanged at 0.00%. The credit spread adjustment, ranging from 0.11448% to 0.71513%, was eliminated. In addition, the 2021 Term Loan was amended to remove a provision for principal repayments which were previously required to be paid in quarterly installments.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and 2024, we made early repayments of $6.8 million and $4.5 million, respectively, on the 2021 Term Loan, and as a result the total principal outstanding was $688.8 million as of September 30, 2025.</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recorded less than $0.1 million of loss on extinguishment of debt during both the three and nine months ended September 30, 2025, related to the write-off of pre-existing deferred financing costs and discounts in connection with the early repayments. We recognized less than $0.1 million and $0.6 million loss on extinguishment of debt for the three and nine months ended September 30, 2024, primarily related to the write-off of pre-existing deferred financing costs and discounts in connection with the refinancing of the 2021 Term Loan in February 2024.</w:t>
      </w:r>
    </w:p>
    <w:p>
      <w:pPr>
        <w:spacing w:after="0" w:line="18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2021 Term Loan bears interest based at our option, on either (i) SOFR plus an applicable margin of 2.25% per annum, or (ii) an alternate base rate plus an applicable margin of 1.25% per annum. As of September 30, 2025, the interest rate on the 2021 Term Loan was 6.4%.</w:t>
      </w:r>
    </w:p>
    <w:p>
      <w:pPr>
        <w:spacing w:after="0" w:line="162"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9"/>
        </w:trPr>
        <w:tc>
          <w:tcPr>
            <w:tcW w:w="87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73"/>
        </w:trPr>
        <w:tc>
          <w:tcPr>
            <w:tcW w:w="8720" w:type="dxa"/>
            <w:vAlign w:val="bottom"/>
            <w:tcBorders>
              <w:bottom w:val="single" w:sz="8" w:color="auto"/>
            </w:tcBorders>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9"/>
        </w:trPr>
        <w:tc>
          <w:tcPr>
            <w:tcW w:w="872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5360" w:type="dxa"/>
            <w:vAlign w:val="bottom"/>
            <w:gridSpan w:val="4"/>
          </w:tcPr>
          <w:p>
            <w:pPr>
              <w:jc w:val="center"/>
              <w:ind w:right="3360"/>
              <w:spacing w:after="0" w:line="176" w:lineRule="exact"/>
              <w:rPr>
                <w:sz w:val="20"/>
                <w:szCs w:val="20"/>
                <w:color w:val="auto"/>
              </w:rPr>
            </w:pPr>
            <w:r>
              <w:rPr>
                <w:rFonts w:ascii="Times New Roman" w:cs="Times New Roman" w:eastAsia="Times New Roman" w:hAnsi="Times New Roman"/>
                <w:sz w:val="18"/>
                <w:szCs w:val="18"/>
                <w:color w:val="auto"/>
                <w:w w:val="99"/>
              </w:rPr>
              <w:t>&lt; 3.70:1.00 and &gt; 3.20:1.00</w:t>
            </w:r>
          </w:p>
        </w:tc>
        <w:tc>
          <w:tcPr>
            <w:tcW w:w="252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20" w:type="dxa"/>
            <w:vAlign w:val="bottom"/>
            <w:gridSpan w:val="5"/>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Subsequent to September 30, 2025, we refinanced the existing senior secured term loans under the 2021 Term Loan in an aggregate outstanding principal amount of approximately $688.8 million with the Amended Term Loan of the same principal amount maturing on October 15, 2032. See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the Condensed Consolidated Financial Statements for additional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5" w:lineRule="exact"/>
        <w:rPr>
          <w:sz w:val="20"/>
          <w:szCs w:val="20"/>
          <w:color w:val="auto"/>
        </w:rPr>
      </w:pPr>
    </w:p>
    <w:p>
      <w:pPr>
        <w:jc w:val="both"/>
        <w:ind w:right="20" w:firstLine="374"/>
        <w:spacing w:after="0" w:line="268" w:lineRule="auto"/>
        <w:rPr>
          <w:sz w:val="20"/>
          <w:szCs w:val="20"/>
          <w:color w:val="auto"/>
        </w:rPr>
      </w:pPr>
      <w:r>
        <w:rPr>
          <w:rFonts w:ascii="Times New Roman" w:cs="Times New Roman" w:eastAsia="Times New Roman" w:hAnsi="Times New Roman"/>
          <w:sz w:val="18"/>
          <w:szCs w:val="18"/>
          <w:color w:val="auto"/>
        </w:rPr>
        <w:t>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on April 15, 2029. In connection with the issuance of the Senior Notes, we incurred $5.7 million in lender and third-party costs, which were capitalized as deferred financing costs and are being amortized over the remaining life of the Senior Notes.</w:t>
      </w:r>
    </w:p>
    <w:p>
      <w:pPr>
        <w:spacing w:after="0" w:line="6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We may redeem all or a portion of the Senior Notes at the redemption prices set forth below in percentages by year, plus accrued and unpaid interest: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0"/>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5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7"/>
              </w:rPr>
              <w:t>101.375%</w:t>
            </w:r>
          </w:p>
        </w:tc>
      </w:tr>
      <w:tr>
        <w:trPr>
          <w:trHeight w:val="234"/>
        </w:trPr>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 and thereafter</w:t>
            </w:r>
          </w:p>
        </w:tc>
        <w:tc>
          <w:tcPr>
            <w:tcW w:w="25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100.000%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May 15, 2025, we exercised our option to increase the commitments under the terms of the Revolver and entered into a fourth amendment to the Revolver which increased the existing commitment from $75.0 million to $125.0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SOFR plus an applicable margin, or (2) an alternate base rate, plus an applicable margin. The margin percentage applied to (1) SOFR is either 1.25%, 1.50%, or 1.75%, or (2) the base rate is either 0.25%, 0.50%, or 0.75%, depending on our average availability to borrow under the commitment. There is a credit spread adjustment of 0.10% for a one-month duration, 0.15% for a three-month duration, and 0.25% for a six-month duration, in addition to SOFR and the applicable margin percentages. There were no outstanding borrowings on the Revolver as of September 30, 2025 or December 31, 2024. The availability to borrow was $123.2 million, net of $1.8 million of outstanding letters of credit at September 30, 2025.</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we are also required to pay participation and fronting fees at 1.38% on $1.8 million of outstanding letters of credit as of September 30, 2025.</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our assets are pledged as collateral to secure our indebtedness under the 2021 Term Loan. At September 30, 2025, we were compliant with all debt covenants in our debt agreements.</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Subsequent to September 30, 2025, VM Consolidated amended and restated the Revolver and entered into the Amended and Restated Revolving Credit Agreement governing the Amended Revolver which increased commitments from $125.0 million to $150.0 million and extended the maturity date to October 17, 2030. See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the Condensed Consolidated Financial Statements for additional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recorded interest expense, including amortization of deferred financing costs and discounts, of $16.4 million and $18.7 million for the three months ended September 30, 2025 and 2024, respectively, and $49.6 million and $57.2 million for the nine months ended September 30, 2025 and 2024,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have any material off-balance sheet financing arrangements as of September 30,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Please refer to our Annual Report for our critical accounting policies, estimates and judgments. We believe that our estimates and assumptions are reasonable in the circumstances; however, actual results could differ materially from those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For a discussion of recent accounting pronouncements,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Part I, Item 1, Financial Statements.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color w:val="auto"/>
        </w:rPr>
        <w:t xml:space="preserve">We are exposed to interest rate risk due to the variable interest rate on the 2021 Term Loan described in Part I, Item 2,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Interest rate risk represents our exposure to fluctuations in interest rates associated with the variable rate debt represented by the 2021 Term Loan, which has an outstanding balance of $688.8 million at September 30, 2025. The 2021 Term Loan bears interest based, at our option, on either (i) SOFR plus an applicable margin of 2.25% per annum, or (ii) an alternate base rate plus an applicable margin of 1.25% per annum. As of September 30, 2025, the interest rate on the 2021 Term Loan was 6.4%.</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Based on the September 30, 2025 balance outstanding, each 1% movement in interest rates will result in an approximately $6.9 million change in annual interest expense.</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December 2022, we entered into a cancelable interest rate swap agreement to hedge our exposure to interest rate fluctuations associated with the LIBOR (now transitioned to SOFR) portion of the variable interest rate on our 2021 Term Loan. We exercised our option to cancel the interest rate swap effective the end of the third quarter of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evaluated the effectiveness of our disclosure controls and procedures as of September 30, 2025. Based upon such evaluation, our principal executive officer and principal financial officer have concluded that our disclosure controls and procedures were effective at the reasonable assurance level as of such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(as defined in Rules 13a-15(f) and 15d-15(f) under the Exchange Act) during the quarter ended September 30, 2025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subject to legal and regulatory actions that arise from time to time in the ordinary course of business, and may be subject to similar or other claims in the future. Legal disputes and other claims and proceedings may relate to, among other things, intellectual property, commercial arrangements, negligence and fiduciary duty claims, vicarious liability based on conduct of individuals or entities outside of our control, including our third-party service providers, antitrust claims, deceptive trade practices, general fraud claims, and employment law claims, including compliance with wage and hour regulations. In addition to more general litigation, at times we have also been a named party in claims made against our customers, including putative class actions challenging the legality and constitutionality of automated photo enforcement and other similar programs of our Government Solutions customers, and consumer fraud claims brought against us and our Commercial Services customers alleging faulty disclosures regarding our services. From time to time, we may also be reviewed or investigated by U.S. federal, state, or local regulators, or regulators in the foreign jurisdictions in which we operate regarding these and other matters, including proper licensing and tax assessments. All litigation is inherently unpredictable and we could incur judgments or enter into settlements or claims in the future that could materially impact our results.</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As described in our Annual Report and our Quarterly Reports on Form 10-Q for the quarters ended March 31, 2025 and June 30, 2025, </w:t>
      </w:r>
      <w:r>
        <w:rPr>
          <w:rFonts w:ascii="Times New Roman" w:cs="Times New Roman" w:eastAsia="Times New Roman" w:hAnsi="Times New Roman"/>
          <w:sz w:val="18"/>
          <w:szCs w:val="18"/>
          <w:i w:val="1"/>
          <w:iCs w:val="1"/>
          <w:color w:val="auto"/>
        </w:rPr>
        <w:t>Brantley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City of Gretna </w:t>
      </w:r>
      <w:r>
        <w:rPr>
          <w:rFonts w:ascii="Times New Roman" w:cs="Times New Roman" w:eastAsia="Times New Roman" w:hAnsi="Times New Roman"/>
          <w:sz w:val="18"/>
          <w:szCs w:val="18"/>
          <w:color w:val="auto"/>
        </w:rPr>
        <w:t>is a class action lawsuit filed in the 24th Judicial District Court of Jefferson Parish, Louisiana against the City of Gretna (the “</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camera vendor, Redflex Traffic Systems, Inc., in April 2016. The Company acquired Redflex Traffic Systems, Inc. as part of its June 2021 purchase of Redflex Holdings Limited. The plaintiff class, which was certified on March 30, 2021, alleged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sought recovery of traffic infraction fines paid. The City and Redflex Traffic Systems, Inc. appealed the trial court’s ruling granting class certification, which was denied, and their petition for discretionary review of the certification ruling by the Louisiana Supreme Court was declined. The parties entered into a settlement agreement and preliminary approval was granted by the court in April 2025. The court provided final approval of the settlement on September 18, 2025. A final dismissal order will be entered after the class action settlement is fully administered by a neutral claims administrator.</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We have accrued estimated amounts related to legal proceedings as of September 30, 2025 and December 31, 2024 within accrued liabilities on the condensed consolidated balance sheets. The information contained in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of this Quarterly Report on Form 10-Q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Part I, Item 1A. “Risk Factors” in our Annual Report includes a discussion of our risk factors. Other than the risk factors below and the risk factor included in our Quarterly Report on Form 10-Q for the quarter ended March 31, 2025, which are incorporated herein by reference, there have been no material changes from the risk factors described in our Annual Report. We may disclose changes to such risk factors or disclose additional risk factors from time to time in our future SEC filings.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industry and macroeconomic conditions, including the impact of government actions and regulations on our customers or us, may materially and adversely impact our business, results of operations, and financial condition.</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provide smart mobility technology solutions to customers in our Commercial Services, Government Solutions, and Parking Solutions business segments. Accordingly, the demand for our products in the past has been, and in the future may be, impacted by industry and macroeconomic trends and conditions impacting our customers, including seasonality, demand for business and leisure travel, changes to or disruptions in governmental budgeting, reductions in the level of air travel, higher airfare costs, energy shortages and cost increases, international, national, and local economic conditions and cycles, as well as other factors affecting travel levels, such as military conflicts, terrorist incidents, natural disasters, epidemic diseases, or a prolonged government shutdown. For example, our Commercial Services segment may be impacted by travel demand and extreme weather events which may impact overall travel demand in the United States. Our Government Solutions segment may be impacted to the extent our customers experience a reduction in political acceptance of or additional government restrictions on automated safety programs. Our Parking Solutions segment may be impacted to the extent our customers see an increase in usage of public transportation or rideshare, either of which may cause a decrease in parking usage. Furthermore, uncertain economic conditions may make it more difficult for us to raise funds through borrowings or private or public sales of debt or equity securities. We cannot predict the timing, strength, or duration of any economic slowdown, instability or recovery, generally or within any particular industry.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Government actions and regulations, such as tariffs and trade protection measures, may negatively impact our business. Political challenges between the United States and countries in which we operate, and changes to trade policies, including tariff rates and customs duties, trade relations between the United States and those countries, and other macroeconomic issues could adversely impact our business. The United States administration has announced tariffs on certain products imported into the United States, and some countries have imposed tariffs in response to the actions of the United States. There is also a possibility of future tariffs, trade protection measures, or other restrictions imposed by the United States or other countries.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consumer spending and activities may be materially adversely affected in response to financial market volatility, negative financial news, changes to or disruptions in governmental budgeting processes or amounts, conditions in the real estate and mortgage markets, declines in income or asset values, energy prices, labor and healthcare costs, and other economic factors, all of which may have a negative effect on our business and results of operations. Additionally, uncertainty about, or a decline in, global or regional economic conditions may have a significant impact on our suppliers, manufacturers, logistics providers, distributors, and other partners. Potential effects on our suppliers and partners include financial instability, inability to obtain credit to finance operations, and insolvency.</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Negative conditions in the general economy, both in the United States and abroad, including conditions resulting from changes in gross domestic product growth, inflation, financial and credit market fluctuations, international trade relations, government shutdowns, pandemics, political turmoil, natural catastrophes, warfare, and terrorist attacks on the United States or elsewhere, could negatively affect customer demand and the growth of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level of indebtedness could cause our business to suffer and incurring additional debt could intensify debt-related risks.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have a substantial amount of debt, including approximately $688.8 million outstanding under our first lien term loan facility as of October 17, 2025. Additionally, pursuant to an indenture, VM Consolidated issued an aggregate principal amount of $350 million in Senior Unsecured Notes due 2029. We may also incur substantial additional debt in the future to, among other things, finance our acquisition strategy. We have the option to increase commitments under our Amended Revolver by up to $75.0 million, all of which would be secured. We also have the ability to add one or more incremental term facilities or incremental revolving facilities or increase the amount of our Amended Term Loan, in each case by an unlimited amount, subject to obtaining additional commitments from lenders and the satisfaction of a maximum first lien, secured or total net leverage ratio or minimum fixed charge coverage ratio, on a pro forma basis, all of which may be secured. Our substantial debt could have important consequences, any of which could be intensified if new debt is added to our current debt levels. For example, it could:</w:t>
      </w:r>
    </w:p>
    <w:p>
      <w:pPr>
        <w:spacing w:after="0" w:line="8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industry conditions;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for future working capital, capital expenditures, strategic acquisitions, and other general corporate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fluctuations because the interest rate on certain of our debt is variable;</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debt, thereby reducing the availability of our cash flow for operations and other purposes;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general business obligations, including our obligations to our lenders, resulting in possible defaults on and acceleration of such indebtedness;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indebtedness or increase the associated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sell assets to reduce debt or influence our decision about whether to do so;</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or prevent us from carrying out capital spending that is necessary or important to our growth strategy and efforts to improve operating margins; and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any competitors that have less debt or comparable debt at more favorable interest rates and that, as a result, may be better positioned to withstand economic downturns.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in the agreements governing our indebtedness could restrict our operating flexibility.</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agreements governing our indebtedness limit our ability to take certain actions. These restrictions may limit our ability to operate our businesses, prohibit or limit our ability to enhance our operations or take advantage of potential business opportunities as they arise, and cause us to take actions that are not favorable to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ind w:firstLine="425"/>
        <w:spacing w:after="0" w:line="258" w:lineRule="auto"/>
        <w:rPr>
          <w:sz w:val="20"/>
          <w:szCs w:val="20"/>
          <w:color w:val="auto"/>
        </w:rPr>
      </w:pPr>
      <w:r>
        <w:rPr>
          <w:rFonts w:ascii="Times New Roman" w:cs="Times New Roman" w:eastAsia="Times New Roman" w:hAnsi="Times New Roman"/>
          <w:sz w:val="18"/>
          <w:szCs w:val="18"/>
          <w:color w:val="auto"/>
        </w:rPr>
        <w:t>The agreements governing our indebtedness restrict, among other things and subject to certain exceptions, our and our restricted subsidiaries’ ability to incur additional indebtedness, pay dividends or other payments on capital stock, guarantee other obligations, grant liens on assets, make loans, acquisitions, or other investments, transfer or dispose of assets, make optional payments or modify certain debt instruments, engage in transactions with affiliates, amend organizational documents, engage in mergers or consolidations, enter into arrangements that restrict the ability to pay dividends, engage in business activities that are materially different from existing business activities, and change the nature of the business we conduct.</w:t>
      </w:r>
    </w:p>
    <w:p>
      <w:pPr>
        <w:spacing w:after="0" w:line="75" w:lineRule="exact"/>
        <w:rPr>
          <w:sz w:val="20"/>
          <w:szCs w:val="20"/>
          <w:color w:val="auto"/>
        </w:rPr>
      </w:pPr>
    </w:p>
    <w:p>
      <w:pPr>
        <w:jc w:val="both"/>
        <w:ind w:firstLine="433"/>
        <w:spacing w:after="0" w:line="256" w:lineRule="auto"/>
        <w:rPr>
          <w:sz w:val="20"/>
          <w:szCs w:val="20"/>
          <w:color w:val="auto"/>
        </w:rPr>
      </w:pPr>
      <w:r>
        <w:rPr>
          <w:rFonts w:ascii="Times New Roman" w:cs="Times New Roman" w:eastAsia="Times New Roman" w:hAnsi="Times New Roman"/>
          <w:sz w:val="18"/>
          <w:szCs w:val="18"/>
          <w:color w:val="auto"/>
        </w:rPr>
        <w:t>Under our Amended Term Loan, we could be required to make periodic prepayments based on excess cash flow (as defined by the Amended and Restated Term Loan Agreement) thereby limiting the amount of cash flow that can be reinvested in our business. Under our Amended Revolver, if availability goes below a certain threshold, we will be required to comply with a minimum “consolidated fixed charge coverage ratio” financial covenant as calculated therein. Moreover, if availability falls below a certain threshold for a specified number of business days, we could be required to remit our cash funds to a dominion account maintained by the administrative agent to the Amended Revolver, which under certain circumstances could require daily review and approval of operating disbursements by the administrative agent.</w:t>
      </w:r>
    </w:p>
    <w:p>
      <w:pPr>
        <w:spacing w:after="0" w:line="79" w:lineRule="exact"/>
        <w:rPr>
          <w:sz w:val="20"/>
          <w:szCs w:val="20"/>
          <w:color w:val="auto"/>
        </w:rPr>
      </w:pPr>
    </w:p>
    <w:p>
      <w:pPr>
        <w:jc w:val="both"/>
        <w:ind w:firstLine="455"/>
        <w:spacing w:after="0" w:line="253" w:lineRule="auto"/>
        <w:rPr>
          <w:sz w:val="20"/>
          <w:szCs w:val="20"/>
          <w:color w:val="auto"/>
        </w:rPr>
      </w:pPr>
      <w:r>
        <w:rPr>
          <w:rFonts w:ascii="Times New Roman" w:cs="Times New Roman" w:eastAsia="Times New Roman" w:hAnsi="Times New Roman"/>
          <w:sz w:val="18"/>
          <w:szCs w:val="18"/>
          <w:color w:val="auto"/>
        </w:rPr>
        <w:t>Our ability to comply with the covenants and restrictions contained in agreements governing our indebtedness may be affected by economic conditions and by financial, market and competitive factors, many of which are beyond our control. Our ability to comply with these covenants in future periods will also depend substantially on the pricing and sales volume of our products and services and our ability to successfully implement our overall business strategy. The breach of any of these covenants or restrictions could result in a default under one or more of the agreements governing our indebtedness that would permit the applicable lenders to declare all amounts outstanding thereunder to be due and payable, together with accrued and unpaid interest. In that case, we may be unable to borrow under our Amended and Restated Revolving Credit Agreement or otherwise, may not be able to repay the amounts due under the agreements governing our indebtedness, and may not be able to make cash available by dividend, debt repayment, or otherwise. In addition, if we are unable to pay the amounts due under the Amended Term Loan, our lenders could proceed against the collateral securing the indebtedness under the Amended Term Loan, which consists of substantially all of our assets. Any of the foregoing could have material adverse effects to our financial position, results of operations, or cash flows and could cause us to become bankrupt or insolvent.</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programs will enhance long-term shareholder value. Stock repurchases could also increase the volatility of the trading price of our stock and diminish our cash reserves. In addition, Congress enacted the Inflation Reduction Act in 2022, which, among other provisions, provides for a 1% excise tax on net stock repurchases.</w:t>
      </w:r>
    </w:p>
    <w:p>
      <w:pPr>
        <w:spacing w:after="0" w:line="6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October 2023, our Board of Directors authorized a share repurchase program for up to an aggregate amount of $100.0 million of our outstanding shares of Class A Common Stock over an 18-month period in open market, ASR, or privately negotiated transactions. In June 2024, we entered into a share repurchase agreement with a stockholder, pursuant to which we repurchased, directly from the stockholder, 2.0 million shares of our Class A Common Stock for an aggregate purchase price of $51.5 million. During the fourth quarter of 2024, we repurchased approximately 1.5 million shares of our Class A Common Stock through open market transactions and paid $35.8 million.</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December 2024, our Board of Directors authorized the repurchase of up to an additional $100.0 million of our outstanding shares of Class A Common Stock under the October 2023 program, providing the Company with approximately $112.7 million available for repurchases. On December 11, 2024, we entered into an ASR agreement with a third-party financial institution to purchase $112.7 million of our Class A Common Stock. Pursuant to the terms of the ASR agreement, we received and retired 3,821,958 shares of our Class A Common Stock and paid $112.7 million. The final settlement occurred on March 3, 2025, at which time we received an additional 685,934 shares of our Class A Common Stock using a volume-weighted average price over the term of the ASR agreement. All repurchased shares were subsequently retired.</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paid a total of $200.0 million for share repurchases during the year ended December 31, 2024. In addition, we recorded approximately $1.7 million within accrued liabilities related to the excise taxes payable on net share repurchases on the consolidated balance sheets as of December 31, 2024, which has been paid as of June 30, 2025. The prior repurchase authorization expired on April 30, 2025.</w:t>
      </w:r>
    </w:p>
    <w:p>
      <w:pPr>
        <w:spacing w:after="0" w:line="6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May 17, 2025, our Board of Directors authorized a new share repurchase program to repurchase up to an aggregate amount of $100.0 million of our outstanding shares of Class A Common Stock over an 18-month period in open market, ASR, or privately negotiated transactions. On October 23, 2025, our Board of Directors authorized the repurchase of up to an additional $150.0 million of our outstanding shares of Class A Common Stock under the existing share repurchase program authorized in May 2025. This additional authorization, together with the $100.0 million available under the initial authorization, provides the Company with an aggregate $250.0 million available for repurchases. We did not make any share repurchases under this program during the third quarter of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timing, price, and quantity of purchases under the repurchase programs have been, and will continue to be, made at the discretion of our management based upon a variety of factors including share price, general and business market conditions, compliance with applicable laws and regulations, corporate and regulatory requirements, and alternative uses of capital. There is no guarantee as to the exact number of shares that we will repurchase and we cannot guarantee that share repurchase programs will enhance long-term stockholder value. Additionally, the Inflation Reduction Act of 2022 introduced a 1% excise tax on share repurchases, which has increased the costs associated with repurchasing shares of our Class A Common Stock. Our share repurchase programs could affect the trading price of our Class A Common Stock and increase volatility. In addition, our repurchases under our share repurchase programs have diminished, and could continue to diminish, our cash reserves.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have any purchases of our Class A Common Stock during the three months ended September 30,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have any sales of unregistered equity securities during the three months ended September 30,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(as defined in Rule 16a-1(f) promulgated under the Exchange Act) adopted or terminated a Rule 10b5-1 trading arrangement or a non-Rule 10b5-1 trading arrangement (as each term is defined in Item 408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9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4980" w:type="dxa"/>
            <w:vAlign w:val="bottom"/>
            <w:gridSpan w:val="9"/>
          </w:tcPr>
          <w:p>
            <w:pPr>
              <w:spacing w:after="0" w:line="169"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Second Amended and Restated Certificate of Incorporation of</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56"/>
              <w:spacing w:after="0" w:line="169" w:lineRule="exact"/>
              <w:rPr>
                <w:sz w:val="20"/>
                <w:szCs w:val="20"/>
                <w:color w:val="auto"/>
              </w:rPr>
            </w:pPr>
            <w:r>
              <w:rPr>
                <w:rFonts w:ascii="Times New Roman" w:cs="Times New Roman" w:eastAsia="Times New Roman" w:hAnsi="Times New Roman"/>
                <w:sz w:val="18"/>
                <w:szCs w:val="18"/>
                <w:color w:val="auto"/>
                <w:w w:val="99"/>
              </w:rPr>
              <w:t>001-37979</w:t>
            </w: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6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October 22, 2018</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Verra Mobility Corporation.</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980" w:type="dxa"/>
            <w:vAlign w:val="bottom"/>
            <w:gridSpan w:val="9"/>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Amended and Restated Bylaws of Verra Mobility Corporation.</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001-37979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19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980" w:type="dxa"/>
            <w:vAlign w:val="bottom"/>
            <w:gridSpan w:val="9"/>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Amended and Restated Revolving Credit Agreement, dated as of</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001-37979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17, 2025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October 17, 2025, among Greenlight Acquisition Corporation, VM</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Consolidated, Inc., each of the other borrowers and guarantors</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party thereto, the lenders from time to time party thereto and Bank</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of America, N.A., as Administrative Agent, Collateral Agent,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Swingline Lender and Issuing Bank.</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980" w:type="dxa"/>
            <w:vAlign w:val="bottom"/>
            <w:gridSpan w:val="9"/>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Amendment and Restatement Agreement No. 2, dated as of</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001-37979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17, 2025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October 17, 2025, among Greenlight Acquisition Corporation, VM</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Consolidated, Inc., each of the other borrowers and guarantors</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party thereto, the lenders from time to time party thereto and Bank</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of America, N.A., as Administrative Agent and Collateral Agent.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tcBorders>
              <w:right w:val="single" w:sz="8" w:color="0000EE"/>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1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86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8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does not appear in</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firstLine="8"/>
        <w:spacing w:after="0" w:line="282"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VERRA MOBILITY CORPORATION</w:t>
            </w:r>
          </w:p>
        </w:tc>
      </w:tr>
      <w:tr>
        <w:trPr>
          <w:trHeight w:val="44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76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Craig Conti</w:t>
            </w:r>
          </w:p>
        </w:tc>
      </w:tr>
      <w:tr>
        <w:trPr>
          <w:trHeight w:val="191"/>
        </w:trPr>
        <w:tc>
          <w:tcPr>
            <w:tcW w:w="3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Craig Conti</w:t>
            </w:r>
          </w:p>
        </w:tc>
      </w:tr>
      <w:tr>
        <w:trPr>
          <w:trHeight w:val="216"/>
        </w:trPr>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864"/>
        </w:trPr>
        <w:tc>
          <w:tcPr>
            <w:tcW w:w="3620" w:type="dxa"/>
            <w:vAlign w:val="bottom"/>
          </w:tcPr>
          <w:p>
            <w:pPr>
              <w:spacing w:after="0"/>
              <w:rPr>
                <w:sz w:val="24"/>
                <w:szCs w:val="24"/>
                <w:color w:val="auto"/>
              </w:rPr>
            </w:pPr>
          </w:p>
        </w:tc>
        <w:tc>
          <w:tcPr>
            <w:tcW w:w="2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46</w:t>
            </w:r>
          </w:p>
        </w:tc>
        <w:tc>
          <w:tcPr>
            <w:tcW w:w="5000" w:type="dxa"/>
            <w:vAlign w:val="bottom"/>
          </w:tcPr>
          <w:p>
            <w:pPr>
              <w:spacing w:after="0"/>
              <w:rPr>
                <w:sz w:val="24"/>
                <w:szCs w:val="24"/>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Roberts, certify that:</w:t>
      </w:r>
    </w:p>
    <w:p>
      <w:pPr>
        <w:spacing w:after="0" w:line="185"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29, 2025</w:t>
            </w:r>
          </w:p>
        </w:tc>
        <w:tc>
          <w:tcPr>
            <w:tcW w:w="298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Roberts</w:t>
            </w:r>
          </w:p>
        </w:tc>
      </w:tr>
      <w:tr>
        <w:trPr>
          <w:trHeight w:val="191"/>
        </w:trPr>
        <w:tc>
          <w:tcPr>
            <w:tcW w:w="42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Roberts</w:t>
            </w:r>
          </w:p>
        </w:tc>
      </w:tr>
      <w:tr>
        <w:trPr>
          <w:trHeight w:val="234"/>
        </w:trPr>
        <w:tc>
          <w:tcPr>
            <w:tcW w:w="42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303"/>
        </w:trPr>
        <w:tc>
          <w:tcPr>
            <w:tcW w:w="42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Conti, certify that:</w:t>
      </w:r>
    </w:p>
    <w:p>
      <w:pPr>
        <w:spacing w:after="0" w:line="185"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29, 2025</w:t>
            </w:r>
          </w:p>
        </w:tc>
        <w:tc>
          <w:tcPr>
            <w:tcW w:w="298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Conti</w:t>
            </w:r>
          </w:p>
        </w:tc>
      </w:tr>
      <w:tr>
        <w:trPr>
          <w:trHeight w:val="191"/>
        </w:trPr>
        <w:tc>
          <w:tcPr>
            <w:tcW w:w="42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Conti</w:t>
            </w:r>
          </w:p>
        </w:tc>
      </w:tr>
      <w:tr>
        <w:trPr>
          <w:trHeight w:val="234"/>
        </w:trPr>
        <w:tc>
          <w:tcPr>
            <w:tcW w:w="42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42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the period ended September 30, 2025 as filed with the Securities and Exchange Commission on the date hereof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David Roberts, President and Chief Executive Officer of the Company, hereby certify, pursuant to 17 U.S.C. Section 1350, as adopted pursuant to Section 906 of the Sarbanes-Oxley Act of 2002, that to the best of my knowledge:</w:t>
      </w:r>
    </w:p>
    <w:p>
      <w:pPr>
        <w:spacing w:after="0" w:line="72"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29, 2025</w:t>
            </w:r>
          </w:p>
        </w:tc>
        <w:tc>
          <w:tcPr>
            <w:tcW w:w="23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Roberts</w:t>
            </w:r>
          </w:p>
        </w:tc>
      </w:tr>
      <w:tr>
        <w:trPr>
          <w:trHeight w:val="191"/>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Roberts</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303"/>
        </w:trPr>
        <w:tc>
          <w:tcPr>
            <w:tcW w:w="36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the period ended September 30, 2025 as filed with the Securities and Exchange Commission on the date hereof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Craig Conti, Chief Financial Officer of the Company, hereby certify, pursuant to 17 U.S.C. Section 1350, as adopted pursuant to Section 906 of the Sarbanes-Oxley Act of 2002, that to the best of my knowledge:</w:t>
      </w:r>
    </w:p>
    <w:p>
      <w:pPr>
        <w:spacing w:after="0" w:line="67"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29, 2025</w:t>
            </w:r>
          </w:p>
        </w:tc>
        <w:tc>
          <w:tcPr>
            <w:tcW w:w="23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Conti</w:t>
            </w:r>
          </w:p>
        </w:tc>
      </w:tr>
      <w:tr>
        <w:trPr>
          <w:trHeight w:val="191"/>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Conti</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36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4"/>
    </w:lvl>
  </w:abstractNum>
  <w:abstractNum w:abstractNumId="8">
    <w:nsid w:val="6B68079A"/>
    <w:multiLevelType w:val="hybridMultilevel"/>
    <w:lvl w:ilvl="0">
      <w:lvlJc w:val="left"/>
      <w:lvlText w:val="%1."/>
      <w:numFmt w:val="decimal"/>
      <w:start w:val="5"/>
    </w:lvl>
  </w:abstractNum>
  <w:abstractNum w:abstractNumId="9">
    <w:nsid w:val="4E6AFB66"/>
    <w:multiLevelType w:val="hybridMultilevel"/>
    <w:lvl w:ilvl="0">
      <w:lvlJc w:val="left"/>
      <w:lvlText w:val="%1."/>
      <w:numFmt w:val="decimal"/>
      <w:start w:val="6"/>
    </w:lvl>
  </w:abstractNum>
  <w:abstractNum w:abstractNumId="10">
    <w:nsid w:val="25E45D32"/>
    <w:multiLevelType w:val="hybridMultilevel"/>
    <w:lvl w:ilvl="0">
      <w:lvlJc w:val="left"/>
      <w:lvlText w:val="(%1)"/>
      <w:numFmt w:val="decimal"/>
      <w:start w:val="2"/>
    </w:lvl>
  </w:abstractNum>
  <w:abstractNum w:abstractNumId="11">
    <w:nsid w:val="519B500D"/>
    <w:multiLevelType w:val="hybridMultilevel"/>
    <w:lvl w:ilvl="0">
      <w:lvlJc w:val="left"/>
      <w:lvlText w:val="%1."/>
      <w:numFmt w:val="decimal"/>
      <w:start w:val="7"/>
    </w:lvl>
  </w:abstractNum>
  <w:abstractNum w:abstractNumId="12">
    <w:nsid w:val="431BD7B7"/>
    <w:multiLevelType w:val="hybridMultilevel"/>
    <w:lvl w:ilvl="0">
      <w:lvlJc w:val="left"/>
      <w:lvlText w:val="%1."/>
      <w:numFmt w:val="decimal"/>
      <w:start w:val="8"/>
    </w:lvl>
  </w:abstractNum>
  <w:abstractNum w:abstractNumId="13">
    <w:nsid w:val="3F2DBA31"/>
    <w:multiLevelType w:val="hybridMultilevel"/>
    <w:lvl w:ilvl="0">
      <w:lvlJc w:val="left"/>
      <w:lvlText w:val="%1."/>
      <w:numFmt w:val="decimal"/>
      <w:start w:val="9"/>
    </w:lvl>
  </w:abstractNum>
  <w:abstractNum w:abstractNumId="14">
    <w:nsid w:val="7C83E458"/>
    <w:multiLevelType w:val="hybridMultilevel"/>
    <w:lvl w:ilvl="0">
      <w:lvlJc w:val="left"/>
      <w:lvlText w:val="%1."/>
      <w:numFmt w:val="decimal"/>
      <w:start w:val="1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299" Type="http://schemas.openxmlformats.org/officeDocument/2006/relationships/hyperlink" Target="https://www.sec.gov/Archives/edgar/data/1682745/000156459018024644/vrrm-ex31_941.htm" TargetMode="External"/><Relationship Id="rId300" Type="http://schemas.openxmlformats.org/officeDocument/2006/relationships/hyperlink" Target="https://www.sec.gov/ix?doc=/Archives/edgar/data/1682745/000095017023062035/vrrm-20231108.htm" TargetMode="External"/><Relationship Id="rId301" Type="http://schemas.openxmlformats.org/officeDocument/2006/relationships/hyperlink" Target="https://www.sec.gov/Archives/edgar/data/1682745/000119312525242530/vrrm-ex10_1.htm" TargetMode="External"/><Relationship Id="rId302" Type="http://schemas.openxmlformats.org/officeDocument/2006/relationships/hyperlink" Target="https://www.sec.gov/Archives/edgar/data/1682745/000119312525242530/vrrm-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2025-10-29T16:12:54Z</dcterms:created>
  <dcterms:modified xsi:type="dcterms:W3CDTF">2025-10-29T16:12:54Z</dcterms:modified>
</cp:coreProperties>
</file>